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11827"/>
          <w:sz w:val="26"/>
        </w:rPr>
        <w:t>RETAIL SALES &amp; ASSORTMENT VELOCITY ASSESSMENT</w:t>
      </w:r>
    </w:p>
    <w:p>
      <w:pPr>
        <w:spacing w:before="60" w:after="40"/>
      </w:pPr>
      <w:r>
        <w:rPr>
          <w:b/>
          <w:color w:val="1E3A8A"/>
          <w:sz w:val="19"/>
        </w:rPr>
        <w:t>6. Executive Headline</w:t>
        <w:br/>
      </w:r>
      <w:r>
        <w:rPr>
          <w:sz w:val="17"/>
        </w:rPr>
        <w:t>A $7.71M Net Sales business with healthy 46.3% gross margins, but heavily concentrated in Location B (78.6%) and top 20% SKUs (59.4%), carrying 1,230 Dead Stock SKUs ($40.4k trapped COGS) and an immediate $17.6k COGS data anomaly in Accessories.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b/>
                <w:color w:val="4B5563"/>
                <w:sz w:val="14"/>
              </w:rPr>
              <w:t>NET SALES</w:t>
              <w:br/>
            </w:r>
            <w:r>
              <w:rPr>
                <w:b/>
                <w:color w:val="1E3A8A"/>
                <w:sz w:val="18"/>
              </w:rPr>
              <w:t>$7,712,364.96</w:t>
              <w:br/>
            </w:r>
            <w:r>
              <w:rPr>
                <w:color w:val="6B7280"/>
                <w:sz w:val="13"/>
              </w:rPr>
              <w:t>8,843 Product Rows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b/>
                <w:color w:val="4B5563"/>
                <w:sz w:val="14"/>
              </w:rPr>
              <w:t>GROSS PROFIT</w:t>
              <w:br/>
            </w:r>
            <w:r>
              <w:rPr>
                <w:b/>
                <w:color w:val="1E3A8A"/>
                <w:sz w:val="18"/>
              </w:rPr>
              <w:t>$3,570,633.28 (46.30%)</w:t>
              <w:br/>
            </w:r>
            <w:r>
              <w:rPr>
                <w:color w:val="6B7280"/>
                <w:sz w:val="13"/>
              </w:rPr>
              <w:t>Healthy Assortment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b/>
                <w:color w:val="4B5563"/>
                <w:sz w:val="14"/>
              </w:rPr>
              <w:t>PARETO CONCENTRATION</w:t>
              <w:br/>
            </w:r>
            <w:r>
              <w:rPr>
                <w:b/>
                <w:color w:val="1E3A8A"/>
                <w:sz w:val="18"/>
              </w:rPr>
              <w:t>Top 20% SKUs = 59.4% $</w:t>
              <w:br/>
            </w:r>
            <w:r>
              <w:rPr>
                <w:color w:val="6B7280"/>
                <w:sz w:val="13"/>
              </w:rPr>
              <w:t>Top 10 Vendors = 40.6%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b/>
                <w:color w:val="4B5563"/>
                <w:sz w:val="14"/>
              </w:rPr>
              <w:t>DEAD STOCK AT RISK</w:t>
              <w:br/>
            </w:r>
            <w:r>
              <w:rPr>
                <w:b/>
                <w:color w:val="B91C1C"/>
                <w:sz w:val="18"/>
              </w:rPr>
              <w:t>1,230 SKUs / $40.4k COGS</w:t>
              <w:br/>
            </w:r>
            <w:r>
              <w:rPr>
                <w:color w:val="6B7280"/>
                <w:sz w:val="13"/>
              </w:rPr>
              <w:t>Bottom 10% Velocity</w:t>
            </w:r>
          </w:p>
        </w:tc>
      </w:tr>
    </w:tbl>
    <w:p>
      <w:pPr>
        <w:spacing w:before="80" w:after="40"/>
      </w:pPr>
      <w:r>
        <w:rPr>
          <w:b/>
          <w:color w:val="1E3A8A"/>
          <w:sz w:val="19"/>
        </w:rPr>
        <w:t>7. Performance Overview</w:t>
        <w:br/>
      </w:r>
      <w:r>
        <w:rPr>
          <w:sz w:val="16"/>
        </w:rPr>
        <w:t>Across 6 months, 268,741 units were sold across 228,144 orders. Assortment volume is driven by Flower ($3.04M / 39.4% share), Vape ($1.91M / 24.8%), and Pre-Roll ($1.27M / 16.5%). Profit margins remain resilient across key categories: Concentrates (50.6%), Vape (48.8%), Pre-Roll (46.7%), Edibles (45.8%), and Flower (44.9%). Location B represents the commercial engine ($6.06M), Location A provides stable volume ($1.59M), while Location C severely underperforms ($60.1k total sales).</w:t>
      </w:r>
    </w:p>
    <w:p>
      <w:pPr>
        <w:spacing w:before="80" w:after="40"/>
      </w:pPr>
      <w:r>
        <w:rPr>
          <w:b/>
          <w:color w:val="1E3A8A"/>
          <w:sz w:val="19"/>
        </w:rPr>
        <w:t>8. Key Drivers and Exceptions</w:t>
        <w:br/>
      </w:r>
      <w:r>
        <w:rPr>
          <w:sz w:val="16"/>
        </w:rPr>
        <w:t>• Pareto Concentration: 1,071 items (top 20%) generate 59.4% of revenue. Reaching 80% of sales requires only 2,055 SKUs (38.4% of catalog).</w:t>
        <w:br/>
        <w:t>• Accessories Margin Deficit Anomaly: Accessories displays an artificial -13.8% margin due to SKU 'Series-A-0189' recorded with $17,612.50 in COGS against $382.30 sales (incurring a -$17.2k loss). Correcting this record returns Accessories to a healthy +35% margin.</w:t>
        <w:br/>
        <w:t>• Returns &amp; Outliers: 3 customer refund rows ($-206.29 net sales) and 12 zero-COGS rows ($804.73 sales @ 100% margin) identified and audited.</w:t>
      </w:r>
    </w:p>
    <w:p>
      <w:pPr>
        <w:spacing w:before="80" w:after="40"/>
      </w:pPr>
      <w:r>
        <w:rPr>
          <w:b/>
          <w:color w:val="1E3A8A"/>
          <w:sz w:val="19"/>
        </w:rPr>
        <w:t>9. Priority Products / Categories / Locations / Vendors</w:t>
        <w:br/>
      </w:r>
      <w:r>
        <w:rPr>
          <w:sz w:val="16"/>
        </w:rPr>
        <w:t>• Top Volume Drivers (Protect): Series-C-0832 ($14.7k sales, 45.9% margin), Series-C-0565 ($12.4k sales, 48.0% margin), Series-E-0218 ($11.9k sales, 46.3% margin).</w:t>
        <w:br/>
        <w:t>• Core Vendors: Top 10 vendors drive 40.58% of revenue ($3.13M), anchored by Vendor-089 ($563.5k), Vendor-023 ($385.4k), and Vendor-046 ($383.4k).</w:t>
        <w:br/>
        <w:t>• Priority Assortment Tiers: 2,197 Fast Movers (62.9% of sales); 1,230 Dead Stock SKUs (selling ≤ 1–2 units) holding $40,413.52 trapped working capital.</w:t>
      </w:r>
    </w:p>
    <w:p>
      <w:pPr>
        <w:spacing w:before="80" w:after="40"/>
      </w:pPr>
      <w:r>
        <w:rPr>
          <w:b/>
          <w:color w:val="1E3A8A"/>
          <w:sz w:val="19"/>
        </w:rPr>
        <w:t>10. Recommended Actions (Next 30 Days)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  <w:sz w:val="15"/>
              </w:rPr>
              <w:t>TARGET FOCUS</w:t>
            </w:r>
          </w:p>
        </w:tc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  <w:sz w:val="15"/>
              </w:rPr>
              <w:t>OPERATIONAL IMPLEMENTATION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r>
              <w:rPr>
                <w:b/>
                <w:sz w:val="15"/>
              </w:rPr>
              <w:t>1. PROTECT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5"/>
              </w:rPr>
              <w:t>1,092 Fast Movers (≥45% Margin)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5"/>
              </w:rPr>
              <w:t>Contract SLA replenishment &amp; shelf space priority to eliminate stockouts on top revenue generators.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5"/>
              </w:rPr>
              <w:t>2. REPRICE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5"/>
              </w:rPr>
              <w:t>377 Fast Movers (&lt;40% Margin)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5"/>
              </w:rPr>
              <w:t>Renegotiate wholesale cost tiers with Vendor-089 or adjust retail prices +2-3% (e.g. Series-C-0606).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r>
              <w:rPr>
                <w:b/>
                <w:sz w:val="15"/>
              </w:rPr>
              <w:t>3. CLEAR / CUT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5"/>
              </w:rPr>
              <w:t>1,230 Dead Stock SKUs ($40.4k COGS)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5"/>
              </w:rPr>
              <w:t>Execute a 30-day promotional clearance to recover capital and de-clutter store display space.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5"/>
              </w:rPr>
              <w:t>4. REBALANCE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5"/>
              </w:rPr>
              <w:t>Location C (670 SKUs / $60.1k sales)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5"/>
              </w:rPr>
              <w:t>Trim Location C catalog by 50% to focus purely on top 150 company-wide bestsellers.</w:t>
            </w:r>
          </w:p>
        </w:tc>
      </w:tr>
    </w:tbl>
    <w:p>
      <w:pPr>
        <w:spacing w:before="80" w:after="40"/>
      </w:pPr>
      <w:r>
        <w:rPr>
          <w:b/>
          <w:color w:val="1E3A8A"/>
          <w:sz w:val="19"/>
        </w:rPr>
        <w:t>11. Limitations and Next-Data Request</w:t>
        <w:br/>
      </w:r>
      <w:r>
        <w:rPr>
          <w:i/>
          <w:color w:val="4B5563"/>
          <w:sz w:val="16"/>
        </w:rPr>
        <w:t>Snapshot Scope Limitations: The dataset lacks transaction timestamps (no sales decay/recency signal) and stock-on-hand balances (cannot compute true sell-through rate or days-of-inventory). Next Data Request: (1) Timestamped POS receipt logs, (2) Daily on-hand &amp; safety stock inventory feeds, (3) Supplier lead-times and MOQs to operationalize automated Reorder Point (ROP) purchasing.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