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Accuracy, Precision, Recall, and F1-Score of Four Distilled Student Models</w:t>
      </w:r>
    </w:p>
    <w:p>
      <w:pPr>
        <w:jc w:val="both"/>
      </w:pPr>
      <w:r>
        <w:t>This table reports the classification metrics of the four distilled student models trained from different teacher sources. Values are macro/overall validation metrics from the saved model_training_graphs summary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Model</w:t>
            </w:r>
          </w:p>
        </w:tc>
        <w:tc>
          <w:tcPr>
            <w:tcW w:type="dxa" w:w="21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Accuracy (%)</w:t>
            </w:r>
          </w:p>
        </w:tc>
        <w:tc>
          <w:tcPr>
            <w:tcW w:type="dxa" w:w="21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Precision (%)</w:t>
            </w:r>
          </w:p>
        </w:tc>
        <w:tc>
          <w:tcPr>
            <w:tcW w:type="dxa" w:w="21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Recall (%)</w:t>
            </w:r>
          </w:p>
        </w:tc>
        <w:tc>
          <w:tcPr>
            <w:tcW w:type="dxa" w:w="21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F1-score (%)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ConvNeXt student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44.90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56.31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45.01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43.48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EfficientNet-B0 student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52.28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51.44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51.82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50.30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MobileNetV3-Small student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54.92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55.22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54.66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54.38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ResNet50 student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59.28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60.92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59.05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58.71</w:t>
            </w:r>
          </w:p>
        </w:tc>
      </w:tr>
    </w:tbl>
    <w:p>
      <w:pPr>
        <w:jc w:val="center"/>
      </w:pPr>
      <w:r>
        <w:rPr>
          <w:i/>
          <w:sz w:val="18"/>
        </w:rPr>
        <w:t>Table 1 Classification metrics of the four distilled student models.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