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Comparison of Our Four Distilled Driver-Distraction Student Models</w:t>
      </w:r>
    </w:p>
    <w:p>
      <w:pPr>
        <w:jc w:val="both"/>
      </w:pPr>
      <w:r>
        <w:t>The table follows the same compact benchmark style used in lightweight driver-state model papers. All four rows represent the same TinyML student architecture trained by knowledge distillation from different teacher models. Accuracy values are taken from models_accuracy_loss_only_summary.csv. Model size is calculated from the 22,728-byte INT8 TFLite artifact.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Model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Parameters (M)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Size (MB)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Accuracy (%)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FPS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Type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ConvNeXt student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0.00553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0.0217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44.90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0.41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Tiny distilled student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EfficientNet-B0 student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0.00553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0.0217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52.28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0.41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Tiny distilled student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MobileNetV3-Small student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0.00553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0.0217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54.92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0.41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Tiny distilled student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ResNet50 student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0.00553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0.0217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59.28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0.41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Tiny distilled student</w:t>
            </w:r>
          </w:p>
        </w:tc>
      </w:tr>
    </w:tbl>
    <w:p>
      <w:pPr>
        <w:jc w:val="center"/>
      </w:pPr>
      <w:r>
        <w:rPr>
          <w:i/>
          <w:sz w:val="18"/>
        </w:rPr>
        <w:t>Table 1 Benchmark comparison of the four distilled student models.</w:t>
      </w:r>
    </w:p>
    <w:p>
      <w:pPr>
        <w:jc w:val="both"/>
      </w:pPr>
      <w:r>
        <w:t>Notes: Each model uses 96 x 96 x 3 input, INT8 deployment, and a 204,800-byte tensor arena. FPS is computed as 1000 / latency_ms using the recorded latency of 2419.6 ms, giving approximately 0.41 FPS. The parameter count is 5,530, computed from the shared student architecture.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