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i w:val="0"/>
          <w:sz w:val="32"/>
        </w:rPr>
        <w:t>TinyML-Based Driver Distraction Detection Using Knowledge Distillation on Resource-Constrained Microcontrollers</w:t>
      </w:r>
    </w:p>
    <w:p>
      <w:pPr>
        <w:spacing w:before="240" w:after="120"/>
        <w:jc w:val="left"/>
      </w:pPr>
      <w:r>
        <w:rPr>
          <w:rFonts w:ascii="Times New Roman" w:hAnsi="Times New Roman" w:eastAsia="Times New Roman"/>
          <w:b/>
          <w:i w:val="0"/>
          <w:sz w:val="28"/>
        </w:rPr>
        <w:t>Abstract</w:t>
      </w:r>
    </w:p>
    <w:p>
      <w:pPr>
        <w:spacing w:line="360" w:lineRule="auto" w:after="120"/>
        <w:ind w:firstLine="720"/>
        <w:jc w:val="both"/>
      </w:pPr>
      <w:r>
        <w:rPr>
          <w:rFonts w:ascii="Times New Roman" w:hAnsi="Times New Roman" w:eastAsia="Times New Roman"/>
          <w:b w:val="0"/>
          <w:i w:val="0"/>
          <w:sz w:val="24"/>
        </w:rPr>
        <w:t>Driver distraction is a major road-safety concern, yet continuous image-based monitoring is difficult to deploy on low-cost embedded hardware because conventional deep neural networks require substantial memory and computation. This work develops a compact TinyML framework for classifying ten driver-behaviour categories directly on resource-constrained microcontrollers. A high-capacity image classifier is used as a teacher, while a small depthwise-separable convolutional neural network learns from both the ground-truth labels and the teacher's softened class-probability distribution. The response-based knowledge-distillation objective combines sparse categorical cross-entropy with temperature-scaled Kullback-Leibler divergence, allowing the student to preserve useful inter-class relationships while remaining suitable for integer-only inference. The resulting students use 96 x 96 RGB INT8 inputs, contain 5,930 trainable parameters, occupy approximately 22.7 KB as TensorFlow Lite models, and execute with a 200 KB TensorFlow Lite Micro tensor arena. Four teacher candidates, based on MobileNetV3-Small, EfficientNet-B0, ResNet50, and ConvNeXt, were evaluated through separately distilled students. The models were integrated with LED-based decision output and serial diagnostics and tested using PlatformIO and Wokwi configurations for ESP32, ESP32-S3/M5Stack CoreS3, and Raspberry Pi Pico RP2040 targets. In representative Wokwi experiments, the 96 x 96 RGB student required 204,800 bytes of tensor-arena memory; inference took approximately 48.39 s in ESP32-S3 simulation and 0.868 s in RP2040 simulation. These simulator timings are reported separately from hardware estimates because Wokwi execution speed is host- and emulation-dependent. The experiments demonstrate that knowledge distillation, INT8 quantization, reduced input resolution, and depthwise-separable convolution can transform a server-oriented vision pipeline into a deployable microcontroller classifier, while also revealing the accuracy, latency, and memory trade-offs that must be considered when selecting the final embedded model.</w:t>
      </w:r>
    </w:p>
    <w:p>
      <w:pPr>
        <w:spacing w:after="240"/>
      </w:pPr>
      <w:r>
        <w:rPr>
          <w:rFonts w:ascii="Times New Roman" w:hAnsi="Times New Roman" w:eastAsia="Times New Roman"/>
          <w:b w:val="0"/>
          <w:i/>
          <w:sz w:val="22"/>
        </w:rPr>
        <w:t>Keywords: driver distraction detection, TinyML, knowledge distillation, TensorFlow Lite Micro, INT8 quantization, ESP32-S3, RP2040, edge AI.</w:t>
      </w:r>
    </w:p>
    <w:p>
      <w:pPr>
        <w:spacing w:before="240" w:after="120"/>
        <w:jc w:val="left"/>
      </w:pPr>
      <w:r>
        <w:rPr>
          <w:rFonts w:ascii="Times New Roman" w:hAnsi="Times New Roman" w:eastAsia="Times New Roman"/>
          <w:b/>
          <w:i w:val="0"/>
          <w:sz w:val="28"/>
        </w:rPr>
        <w:t>1. Introduction</w:t>
      </w:r>
    </w:p>
    <w:p>
      <w:pPr>
        <w:spacing w:line="360" w:lineRule="auto" w:after="120"/>
        <w:ind w:firstLine="720"/>
        <w:jc w:val="both"/>
      </w:pPr>
      <w:r>
        <w:rPr>
          <w:rFonts w:ascii="Times New Roman" w:hAnsi="Times New Roman" w:eastAsia="Times New Roman"/>
          <w:b w:val="0"/>
          <w:i w:val="0"/>
          <w:sz w:val="24"/>
        </w:rPr>
        <w:t>Driver distraction detection aims to identify behaviours that divert a driver's visual, manual, or cognitive attention from the driving task. Typical image classes include safe driving, texting, making phone calls, operating the radio, drinking, reaching behind, adjusting hair or makeup, and talking to a passenger. Camera-based deep-learning systems can distinguish these behaviours more precisely than a simple binary sensor; however, many published vision architectures are designed for desktop GPUs, cloud servers, or high-performance edge computers. Such platforms are not always appropriate for an inexpensive in-vehicle warning device, particularly when low power consumption, local processing, predictable response time, and data privacy are required.</w:t>
      </w:r>
    </w:p>
    <w:p>
      <w:pPr>
        <w:spacing w:line="360" w:lineRule="auto" w:after="120"/>
        <w:ind w:firstLine="720"/>
        <w:jc w:val="both"/>
      </w:pPr>
      <w:r>
        <w:rPr>
          <w:rFonts w:ascii="Times New Roman" w:hAnsi="Times New Roman" w:eastAsia="Times New Roman"/>
          <w:b w:val="0"/>
          <w:i w:val="0"/>
          <w:sz w:val="24"/>
        </w:rPr>
        <w:t>Running the classifier locally also avoids transmitting driver images to an external service. This reduces communication delay and allows the warning system to continue operating when a network connection is unavailable. The difficulty is that microcontrollers provide only a small fraction of the memory and processing capability available to conventional deep-learning platforms. For example, the ESP32 family and the RP2040 offer only hundreds of kilobytes of internal SRAM, whereas an unoptimized vision network may require several megabytes for intermediate feature maps even when its stored model file appears small. Therefore, model-file size alone is not a sufficient measure of embedded feasibility; tensor-arena size, peak activation memory, operator support, input representation, and inference latency must also be evaluated.</w:t>
      </w:r>
    </w:p>
    <w:p>
      <w:pPr>
        <w:spacing w:before="160" w:after="120"/>
        <w:jc w:val="left"/>
      </w:pPr>
      <w:r>
        <w:rPr>
          <w:rFonts w:ascii="Times New Roman" w:hAnsi="Times New Roman" w:eastAsia="Times New Roman"/>
          <w:b/>
          <w:i w:val="0"/>
          <w:sz w:val="24"/>
        </w:rPr>
        <w:t>1.1 Motivation and Problem Definition</w:t>
      </w:r>
    </w:p>
    <w:p>
      <w:pPr>
        <w:spacing w:line="360" w:lineRule="auto" w:after="120"/>
        <w:ind w:firstLine="720"/>
        <w:jc w:val="both"/>
      </w:pPr>
      <w:r>
        <w:rPr>
          <w:rFonts w:ascii="Times New Roman" w:hAnsi="Times New Roman" w:eastAsia="Times New Roman"/>
          <w:b w:val="0"/>
          <w:i w:val="0"/>
          <w:sz w:val="24"/>
        </w:rPr>
        <w:t>The initial 224 x 224 x 3 floating-point classifier used in this project occupied 179,868 bytes in flash but required approximately 4,903,680 bytes during tensor allocation. A 256 KB arena failed, and successful execution on the ESP32-S3 simulation required a 6 MB arena placed in 8 MB of external PSRAM. This result exposed a central embedded-AI problem: compact stored weights do not guarantee low execution memory. Although the original model classified the test image as c5_operating_radio, its memory demand prevented comfortable deployment on a standard ESP32 without PSRAM.</w:t>
      </w:r>
    </w:p>
    <w:p>
      <w:pPr>
        <w:spacing w:line="360" w:lineRule="auto" w:after="120"/>
        <w:ind w:firstLine="720"/>
        <w:jc w:val="both"/>
      </w:pPr>
      <w:r>
        <w:rPr>
          <w:rFonts w:ascii="Times New Roman" w:hAnsi="Times New Roman" w:eastAsia="Times New Roman"/>
          <w:b w:val="0"/>
          <w:i w:val="0"/>
          <w:sz w:val="24"/>
        </w:rPr>
        <w:t>The research problem is therefore to retain useful multi-class driver-behaviour recognition while reducing the model's input, parameter count, activation memory, and execution cost enough for microcontroller deployment. At the same time, the model must produce transparent outputs for experimental validation. The firmware consequently reports tensor shapes, model and arena sizes, class probabilities, and latency, and maps the final decision to two LEDs: green for a detected distraction and red for safe driving or model failure.</w:t>
      </w:r>
    </w:p>
    <w:p>
      <w:pPr>
        <w:spacing w:before="160" w:after="120"/>
        <w:jc w:val="left"/>
      </w:pPr>
      <w:r>
        <w:rPr>
          <w:rFonts w:ascii="Times New Roman" w:hAnsi="Times New Roman" w:eastAsia="Times New Roman"/>
          <w:b/>
          <w:i w:val="0"/>
          <w:sz w:val="24"/>
        </w:rPr>
        <w:t>1.2 Proposed TinyML Framework</w:t>
      </w:r>
    </w:p>
    <w:p>
      <w:pPr>
        <w:spacing w:line="360" w:lineRule="auto" w:after="120"/>
        <w:ind w:firstLine="720"/>
        <w:jc w:val="both"/>
      </w:pPr>
      <w:r>
        <w:rPr>
          <w:rFonts w:ascii="Times New Roman" w:hAnsi="Times New Roman" w:eastAsia="Times New Roman"/>
          <w:b w:val="0"/>
          <w:i w:val="0"/>
          <w:sz w:val="24"/>
        </w:rPr>
        <w:t>The proposed framework uses teacher-student knowledge distillation. Large teacher candidates based on MobileNetV3-Small, EfficientNet-B0, ResNet50, and ConvNeXt first provide probability distributions for the training images. These outputs are cached so that the teacher does not need to run during every student-training epoch. The student is a compact depthwise-separable convolutional neural network consisting of an initial convolution, repeated depthwise and pointwise convolution blocks with max-pooling, global average pooling, dropout, and a ten-class logits layer. Rectified linear unit activation is used in the student's hidden layers, while the output layer remains linear for numerically stable loss calculation.</w:t>
      </w:r>
    </w:p>
    <w:p>
      <w:pPr>
        <w:spacing w:line="360" w:lineRule="auto" w:after="120"/>
        <w:ind w:firstLine="720"/>
        <w:jc w:val="both"/>
      </w:pPr>
      <w:r>
        <w:rPr>
          <w:rFonts w:ascii="Times New Roman" w:hAnsi="Times New Roman" w:eastAsia="Times New Roman"/>
          <w:b w:val="0"/>
          <w:i w:val="0"/>
          <w:sz w:val="24"/>
        </w:rPr>
        <w:t>Training combines hard-label supervision with response-based distillation. Sparse categorical cross-entropy teaches the student the correct class, while temperature-scaled Kullback-Leibler divergence encourages it to reproduce the teacher's softened probability distribution. In the implemented configuration, the default temperature is 4.0 and the hard-label weighting coefficient is 0.45. This means that both the annotated target and the teacher's relative confidence across incorrect classes contribute to learning. After training, full-integer INT8 quantization converts the model to a format supported by TensorFlow Lite Micro and reduces both weight storage and arithmetic cost.</w:t>
      </w:r>
    </w:p>
    <w:p>
      <w:pPr>
        <w:spacing w:before="160" w:after="120"/>
        <w:jc w:val="left"/>
      </w:pPr>
      <w:r>
        <w:rPr>
          <w:rFonts w:ascii="Times New Roman" w:hAnsi="Times New Roman" w:eastAsia="Times New Roman"/>
          <w:b/>
          <w:i w:val="0"/>
          <w:sz w:val="24"/>
        </w:rPr>
        <w:t>1.3 Research Aim and Objectives</w:t>
      </w:r>
    </w:p>
    <w:p>
      <w:pPr>
        <w:spacing w:line="360" w:lineRule="auto" w:after="120"/>
        <w:ind w:firstLine="720"/>
        <w:jc w:val="both"/>
      </w:pPr>
      <w:r>
        <w:rPr>
          <w:rFonts w:ascii="Times New Roman" w:hAnsi="Times New Roman" w:eastAsia="Times New Roman"/>
          <w:b w:val="0"/>
          <w:i w:val="0"/>
          <w:sz w:val="24"/>
        </w:rPr>
        <w:t>The aim of this work is to design and experimentally evaluate a driver-distraction classifier that can operate locally on low-cost microcontrollers while maintaining a practical balance among classification quality, latency, flash usage, and SRAM consumption. The specific objectives are:</w:t>
      </w:r>
    </w:p>
    <w:p>
      <w:pPr>
        <w:pStyle w:val="ListBullet"/>
        <w:spacing w:after="60"/>
        <w:ind w:left="567" w:hanging="283"/>
      </w:pPr>
      <w:r>
        <w:rPr>
          <w:rFonts w:ascii="Times New Roman" w:hAnsi="Times New Roman" w:eastAsia="Times New Roman"/>
          <w:b w:val="0"/>
          <w:i w:val="0"/>
          <w:sz w:val="24"/>
        </w:rPr>
        <w:t>To train and compare compact students distilled from four different teacher architectures.</w:t>
      </w:r>
    </w:p>
    <w:p>
      <w:pPr>
        <w:pStyle w:val="ListBullet"/>
        <w:spacing w:after="60"/>
        <w:ind w:left="567" w:hanging="283"/>
      </w:pPr>
      <w:r>
        <w:rPr>
          <w:rFonts w:ascii="Times New Roman" w:hAnsi="Times New Roman" w:eastAsia="Times New Roman"/>
          <w:b w:val="0"/>
          <w:i w:val="0"/>
          <w:sz w:val="24"/>
        </w:rPr>
        <w:t>To reduce the input from the original 224 x 224 RGB representation to a microcontroller-oriented 96 x 96 INT8 representation.</w:t>
      </w:r>
    </w:p>
    <w:p>
      <w:pPr>
        <w:pStyle w:val="ListBullet"/>
        <w:spacing w:after="60"/>
        <w:ind w:left="567" w:hanging="283"/>
      </w:pPr>
      <w:r>
        <w:rPr>
          <w:rFonts w:ascii="Times New Roman" w:hAnsi="Times New Roman" w:eastAsia="Times New Roman"/>
          <w:b w:val="0"/>
          <w:i w:val="0"/>
          <w:sz w:val="24"/>
        </w:rPr>
        <w:t>To quantify model size, tensor-arena demand, prediction behaviour, and inference latency on ESP32-class and RP2040 targets.</w:t>
      </w:r>
    </w:p>
    <w:p>
      <w:pPr>
        <w:pStyle w:val="ListBullet"/>
        <w:spacing w:after="60"/>
        <w:ind w:left="567" w:hanging="283"/>
      </w:pPr>
      <w:r>
        <w:rPr>
          <w:rFonts w:ascii="Times New Roman" w:hAnsi="Times New Roman" w:eastAsia="Times New Roman"/>
          <w:b w:val="0"/>
          <w:i w:val="0"/>
          <w:sz w:val="24"/>
        </w:rPr>
        <w:t>To verify deployment through PlatformIO firmware, Wokwi simulation, serial diagnostics, and distraction-status LEDs.</w:t>
      </w:r>
    </w:p>
    <w:p>
      <w:pPr>
        <w:pStyle w:val="ListBullet"/>
        <w:spacing w:after="60"/>
        <w:ind w:left="567" w:hanging="283"/>
      </w:pPr>
      <w:r>
        <w:rPr>
          <w:rFonts w:ascii="Times New Roman" w:hAnsi="Times New Roman" w:eastAsia="Times New Roman"/>
          <w:b w:val="0"/>
          <w:i w:val="0"/>
          <w:sz w:val="24"/>
        </w:rPr>
        <w:t>To identify which teacher-student combination offers the most useful accuracy-memory-latency compromise for final hardware testing.</w:t>
      </w:r>
    </w:p>
    <w:p>
      <w:pPr>
        <w:spacing w:before="160" w:after="120"/>
        <w:jc w:val="left"/>
      </w:pPr>
      <w:r>
        <w:rPr>
          <w:rFonts w:ascii="Times New Roman" w:hAnsi="Times New Roman" w:eastAsia="Times New Roman"/>
          <w:b/>
          <w:i w:val="0"/>
          <w:sz w:val="24"/>
        </w:rPr>
        <w:t>1.4 Main Contributions</w:t>
      </w:r>
    </w:p>
    <w:p>
      <w:pPr>
        <w:spacing w:line="360" w:lineRule="auto" w:after="120"/>
        <w:ind w:firstLine="720"/>
        <w:jc w:val="both"/>
      </w:pPr>
      <w:r>
        <w:rPr>
          <w:rFonts w:ascii="Times New Roman" w:hAnsi="Times New Roman" w:eastAsia="Times New Roman"/>
          <w:b w:val="0"/>
          <w:i w:val="0"/>
          <w:sz w:val="24"/>
        </w:rPr>
        <w:t>This work contributes an end-to-end path from a high-capacity image classifier to microcontroller inference. First, it demonstrates why peak tensor memory, rather than model-file size alone, determines whether a neural network can execute on constrained hardware. Second, it applies cached soft-label distillation to train multiple students under the same compact architecture, enabling a controlled comparison of teacher knowledge. Third, it integrates INT8 inference with automated RGB resizing, class-score reporting, latency measurement, and LED indication. Finally, it compares deployment behaviour across ESP32-S3/M5Stack CoreS3, standard ESP32, and RP2040 configurations, including a Pico build that uses 251,568 of 270,336 available RAM bytes and therefore illustrates both the possibility and the narrow memory margin of RP2040 deployment.</w:t>
      </w:r>
    </w:p>
    <w:p>
      <w:pPr>
        <w:spacing w:line="360" w:lineRule="auto" w:after="120"/>
        <w:ind w:firstLine="720"/>
        <w:jc w:val="both"/>
      </w:pPr>
      <w:r>
        <w:rPr>
          <w:rFonts w:ascii="Times New Roman" w:hAnsi="Times New Roman" w:eastAsia="Times New Roman"/>
          <w:b w:val="0"/>
          <w:i w:val="0"/>
          <w:sz w:val="24"/>
        </w:rPr>
        <w:t>The evaluation also highlights a methodological limitation that guides the remainder of the study: a correct result on one image is a functional test, not a measure of model accuracy. Reported classification accuracy must be calculated using a properly separated labelled test set, preferably split by driver identity to prevent images of the same person from appearing in both training and evaluation data. Single-image Wokwi results are therefore used to verify firmware behaviour and numerical consistency, while full-dataset metrics are required to select the final student model.</w:t>
      </w:r>
    </w:p>
    <w:sectPr w:rsidR="00FC693F" w:rsidRPr="0006063C" w:rsidSect="00034616">
      <w:footerReference w:type="default" r:id="rId9"/>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TinyML Driver Distraction Detection: Abstract and Introduction</dc:title>
  <dc:subject>Teacher-student knowledge distillation for microcontroller deployment</dc:subject>
  <dc:creator>python-docx</dc:creator>
  <cp:keywords>TinyML, driver distraction, knowledge distillation, ESP32-S3, RP2040</cp:keywords>
  <dc:description>generated by python-docx</dc:description>
  <cp:lastModifiedBy/>
  <cp:revision>1</cp:revision>
  <dcterms:created xsi:type="dcterms:W3CDTF">2013-12-23T23:15:00Z</dcterms:created>
  <dcterms:modified xsi:type="dcterms:W3CDTF">2013-12-23T23:15:00Z</dcterms:modified>
  <cp:category/>
</cp:coreProperties>
</file>