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Shah Witness Statement</w:t>
      </w:r>
    </w:p>
    <w:p>
      <w:r>
        <w:t>Case number: LB-CASE-2026-012</w:t>
      </w:r>
    </w:p>
    <w:p>
      <w:r>
        <w:t>Document date: 24 February 2026</w:t>
      </w:r>
    </w:p>
    <w:p/>
    <w:p>
      <w:r>
        <w:t>RECORD: witness_event_time | 18:05 | Priya Shah observed the event at East Loading Yard.</w:t>
      </w:r>
    </w:p>
    <w:p>
      <w:r>
        <w:t>RECORD: location | East Loading Yard | Priya Shah location description.</w:t>
      </w:r>
    </w:p>
    <w:p>
      <w:r>
        <w:t>RECORD: clothing | Black jacket | Priya Shah description.</w:t>
      </w:r>
    </w:p>
    <w:p>
      <w:r>
        <w:t>RECORD: bag_description | Grey laptop bag | Priya Shah description.</w:t>
      </w:r>
    </w:p>
    <w:p/>
    <w:p>
      <w:r>
        <w:t>Fictional training dataset. Attorney review required; not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 Shah Witness Statement</dc:title>
  <dc:subject>Realistic fictional case record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