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Imran Ali Witness Statement</w:t>
      </w:r>
    </w:p>
    <w:p>
      <w:r>
        <w:t>Case number: LB-CASE-2026-012</w:t>
      </w:r>
    </w:p>
    <w:p>
      <w:r>
        <w:t>Document date: 24 February 2026</w:t>
      </w:r>
    </w:p>
    <w:p/>
    <w:p>
      <w:r>
        <w:t>RECORD: witness_event_time | 18:35 | Imran Ali records a later event time.</w:t>
      </w:r>
    </w:p>
    <w:p>
      <w:r>
        <w:t>RECORD: location | North Service Corridor | Imran Ali location description.</w:t>
      </w:r>
    </w:p>
    <w:p>
      <w:r>
        <w:t>RECORD: clothing | Blue shirt | Imran Ali description.</w:t>
      </w:r>
    </w:p>
    <w:p>
      <w:r>
        <w:t>RECORD: bag_description | Black backpack | Imran Ali description.</w:t>
      </w:r>
    </w:p>
    <w:p/>
    <w:p>
      <w:r>
        <w:t>Fictional training dataset. Attorney review required; not legal advice.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Imran Ali Witness Statement</dc:title>
  <dc:subject>Realistic fictional case record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