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 Register</w:t>
      </w:r>
    </w:p>
    <w:p>
      <w:r>
        <w:t>Case number: LB-CASE-2026-012</w:t>
      </w:r>
    </w:p>
    <w:p>
      <w:r>
        <w:t>Document date: 24 February 2026</w:t>
      </w:r>
    </w:p>
    <w:p/>
    <w:p>
      <w:r>
        <w:t>RECORD: property_register_time | 19:20 | Property register entry time.</w:t>
      </w:r>
    </w:p>
    <w:p>
      <w:r>
        <w:t>RECORD: seal_code | AX-44081 | Receiving register seal code.</w:t>
      </w:r>
    </w:p>
    <w:p>
      <w:r>
        <w:t>RECORD: device_id | LB-LAPTOP-12 | Laptop identifier.</w:t>
      </w:r>
    </w:p>
    <w:p/>
    <w:p>
      <w:r>
        <w:t>Fictional training dataset. Attorney review required;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Register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