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MASTER IEEE RESEARCH PAPER MANUSCRIPT</w:t>
      </w:r>
    </w:p>
    <w:p>
      <w:pPr>
        <w:pStyle w:val="Heading2"/>
      </w:pPr>
      <w:r>
        <w:t>NewsAI / NISE: Autonomous News Intelligence, Event Clustering, and Social Syndication Engine</w:t>
      </w:r>
    </w:p>
    <w:p>
      <w:pPr>
        <w:jc w:val="center"/>
      </w:pPr>
      <w:r>
        <w:rPr>
          <w:color w:val="969696"/>
        </w:rPr>
        <w:t>─────── ❖ ───────</w:t>
      </w:r>
    </w:p>
    <w:p>
      <w:pPr>
        <w:pStyle w:val="Heading1"/>
        <w:jc w:val="center"/>
      </w:pPr>
      <w:r>
        <w:t>NISE: A Hybrid Two-Stage Autonomous News Intelligence and Event Clustering Platform with LLM-Driven Multi-Channel Social Syndication</w:t>
      </w:r>
    </w:p>
    <w:p>
      <w:r>
        <w:rPr>
          <w:b/>
        </w:rPr>
        <w:t>Jayadasan R</w:t>
      </w:r>
      <w:r>
        <w:t xml:space="preserve">  </w:t>
      </w:r>
    </w:p>
    <w:p>
      <w:r>
        <w:t xml:space="preserve">Department of Computer Science and Engineering  </w:t>
      </w:r>
    </w:p>
    <w:p>
      <w:r>
        <w:t xml:space="preserve">Jayadasan777 / NEWS-AI-AGGREGATOR Project  </w:t>
      </w:r>
    </w:p>
    <w:p>
      <w:r>
        <w:t xml:space="preserve">Email: jayadasan777@github.com  </w:t>
      </w:r>
    </w:p>
    <w:p>
      <w:pPr>
        <w:jc w:val="center"/>
      </w:pPr>
      <w:r>
        <w:rPr>
          <w:color w:val="969696"/>
        </w:rPr>
        <w:t>─────── ❖ ───────</w:t>
      </w:r>
    </w:p>
    <w:p>
      <w:pPr>
        <w:pStyle w:val="Heading2"/>
      </w:pPr>
      <w:r>
        <w:t>ABSTRACT</w:t>
      </w:r>
    </w:p>
    <w:p>
      <w:r>
        <w:t>The exponential growth of digital journalism has created a fundamental information processing challenge: while global news volume expands continuously, information density per reader declines due to widespread multi-outlet redundancy. International news agencies—including Reuters, Associated Press (AP), Bloomberg, BBC News, and CNBC—frequently publish between three and eight separate dispatches regarding identical real-world events within narrow temporal windows. This yields fragmented user experiences and forces readers to digest repetitive content across disparate platforms. Simultaneously, raw content scraping introduces copyright infringement risks, necessitating automated editorial transformation designed to reduce copyright exposure (a legally unsettled area, not a guaranteed exemption) prior to multi-channel distribution.</w:t>
      </w:r>
    </w:p>
    <w:p>
      <w:r>
        <w:t>Existing news aggregation solutions present severe operational trade-offs. Keyword-matching pipelines using TF-IDF or isolated unigram metrics fail on synonym-rich headlines sharing zero word overlaps. Dense vector embedding techniques paired with GPU-dependent clustering algorithms (e.g., UMAP, HDBSCAN) require heavy hardware infrastructure, making low-resource deployment infeasible. Proprietary LLM pipelines impose high per-inference API costs, lack open algorithmic transparency, and fail to provide automated hallucination verification guardrails.</w:t>
      </w:r>
    </w:p>
    <w:p>
      <w:r>
        <w:t xml:space="preserve">This paper presents the design, implementation, and empirical evaluation of </w:t>
      </w:r>
      <w:r>
        <w:rPr>
          <w:b/>
        </w:rPr>
        <w:t>NISE</w:t>
      </w:r>
      <w:r>
        <w:t xml:space="preserve"> (News Intelligence and Synthesis Engine), a deployed hybrid clustering and distribution pipeline combining established lexical pre-filtering and LLM verification techniques. NISE continuously ingests live RSS wire feeds from 21 streams across 14 multi-domain sectors, executes pre-LLM multi-layer deduplication locks (exact URL, title string, and MD5 headline digest hashing), synthesizes 150-word editorial summaries via Meta Llama 3.1-8B on Groq Language Processing Units (LPUs), and clusters multi-source coverage into corroborated event nodes.</w:t>
      </w:r>
    </w:p>
    <w:p>
      <w:r>
        <w:t>Event clustering is driven by a two-stage hybrid pipeline: Stage 1a evaluates local unigram Jaccard similarity (</w:t>
      </w:r>
      <w:r>
        <w:rPr>
          <w:rFonts w:ascii="Cambria Math" w:hAnsi="Cambria Math"/>
          <w:i/>
        </w:rPr>
        <w:t>\tau_J = 0.12</w:t>
      </w:r>
      <w:r>
        <w:t>), while Stage 1b computes character 3-gram TF-IDF vector cosine similarity (</w:t>
      </w:r>
      <w:r>
        <w:rPr>
          <w:rFonts w:ascii="Cambria Math" w:hAnsi="Cambria Math"/>
          <w:i/>
        </w:rPr>
        <w:t>\tau_C = 0.25</w:t>
      </w:r>
      <w:r>
        <w:t>) to capture synonym-rich headline pairs that share zero unigrams. Pairs passing Stage 1 advance to Stage 2 zero-shot neural verification via Llama 3 (</w:t>
      </w:r>
      <w:r>
        <w:rPr>
          <w:rFonts w:ascii="Consolas" w:hAnsi="Consolas"/>
          <w:color w:val="B42828"/>
          <w:sz w:val="19"/>
        </w:rPr>
        <w:t>isSameEvent</w:t>
      </w:r>
      <w:r>
        <w:t xml:space="preserve">). On a curated </w:t>
      </w:r>
      <w:r>
        <w:rPr>
          <w:rFonts w:ascii="Cambria Math" w:hAnsi="Cambria Math"/>
          <w:i/>
        </w:rPr>
        <w:t>N=45</w:t>
      </w:r>
      <w:r>
        <w:t xml:space="preserve"> ground-truth benchmark dataset across 12 domains, the deployed two-stage production system achieves </w:t>
      </w:r>
      <w:r>
        <w:rPr>
          <w:b/>
        </w:rPr>
        <w:t>73.33% Accuracy</w:t>
      </w:r>
      <w:r>
        <w:t xml:space="preserve">, </w:t>
      </w:r>
      <w:r>
        <w:rPr>
          <w:b/>
        </w:rPr>
        <w:t>85.71% Precision</w:t>
      </w:r>
      <w:r>
        <w:t xml:space="preserve">, </w:t>
      </w:r>
      <w:r>
        <w:rPr>
          <w:b/>
        </w:rPr>
        <w:t>35.29% Recall</w:t>
      </w:r>
      <w:r>
        <w:t xml:space="preserve">, and </w:t>
      </w:r>
      <w:r>
        <w:rPr>
          <w:b/>
        </w:rPr>
        <w:t>50.00% F1-Score</w:t>
      </w:r>
      <w:r>
        <w:t xml:space="preserve">, while reducing LLM API calls by </w:t>
      </w:r>
      <w:r>
        <w:rPr>
          <w:b/>
        </w:rPr>
        <w:t>75.56%</w:t>
      </w:r>
      <w:r>
        <w:t xml:space="preserve"> (making 11 of 45 LLM invocations).</w:t>
      </w:r>
    </w:p>
    <w:p>
      <w:r>
        <w:t>To address the diagnosed recall gap caused by journalist periphrasis, brand metonymy, and acronym variations, we present an experimental, tested-but-not-deployed 3-stage enhancement adding a local CPU sentence transformer embedding gate (</w:t>
      </w:r>
      <w:r>
        <w:rPr>
          <w:rFonts w:ascii="Consolas" w:hAnsi="Consolas"/>
          <w:color w:val="B42828"/>
          <w:sz w:val="19"/>
        </w:rPr>
        <w:t>Xenova/all-MiniLM-L6-v2</w:t>
      </w:r>
      <w:r>
        <w:t xml:space="preserve">, running in ~1.8 seconds for all 45 pairs). At semantic threshold </w:t>
      </w:r>
      <w:r>
        <w:rPr>
          <w:rFonts w:ascii="Cambria Math" w:hAnsi="Cambria Math"/>
          <w:i/>
        </w:rPr>
        <w:t>T_{\text{sem}} = 0.40</w:t>
      </w:r>
      <w:r>
        <w:t xml:space="preserve">, this 3-stage pipeline recovers recall to </w:t>
      </w:r>
      <w:r>
        <w:rPr>
          <w:b/>
        </w:rPr>
        <w:t>76.47%</w:t>
      </w:r>
      <w:r>
        <w:t xml:space="preserve"> (+41.18 percentage points over production baseline) with </w:t>
      </w:r>
      <w:r>
        <w:rPr>
          <w:b/>
        </w:rPr>
        <w:t>88.89% Accuracy</w:t>
      </w:r>
      <w:r>
        <w:t xml:space="preserve"> and </w:t>
      </w:r>
      <w:r>
        <w:rPr>
          <w:b/>
        </w:rPr>
        <w:t>83.87% F1-Score</w:t>
      </w:r>
      <w:r>
        <w:t xml:space="preserve"> while preserving a </w:t>
      </w:r>
      <w:r>
        <w:rPr>
          <w:b/>
        </w:rPr>
        <w:t>53.33% LLM call reduction</w:t>
      </w:r>
      <w:r>
        <w:t xml:space="preserve"> (21 of 45 LLM calls). We separately report the </w:t>
      </w:r>
      <w:r>
        <w:rPr>
          <w:b/>
        </w:rPr>
        <w:t>LLM-only ceiling (unconditional Llama 3 on all 45 pairs, an upper bound rather than the deployed system)</w:t>
      </w:r>
      <w:r>
        <w:t xml:space="preserve"> at </w:t>
      </w:r>
      <w:r>
        <w:rPr>
          <w:b/>
        </w:rPr>
        <w:t>97.78% Accuracy</w:t>
      </w:r>
      <w:r>
        <w:t xml:space="preserve">, </w:t>
      </w:r>
      <w:r>
        <w:rPr>
          <w:b/>
        </w:rPr>
        <w:t>94.44% Precision</w:t>
      </w:r>
      <w:r>
        <w:t xml:space="preserve">, </w:t>
      </w:r>
      <w:r>
        <w:rPr>
          <w:b/>
        </w:rPr>
        <w:t>100.00% Recall</w:t>
      </w:r>
      <w:r>
        <w:t xml:space="preserve">, and </w:t>
      </w:r>
      <w:r>
        <w:rPr>
          <w:b/>
        </w:rPr>
        <w:t>97.14% F1-Score</w:t>
      </w:r>
      <w:r>
        <w:t>. NISE incorporates a Dynamic Source Stance Detection Agent, an Iterative Hallucination Reflection Guardrail, an Evergreen Content Recirculation Engine, and a Webhook Self-Healing Retry Engine with 1-hour staggered drip-feeding scheduling. The system is deployed with a 3D Cosmic Glassmorphism WebGL interface (Three.js / React Three Fiber) and an interactive Social Studio dashboard (</w:t>
      </w:r>
      <w:r>
        <w:rPr>
          <w:rFonts w:ascii="Consolas" w:hAnsi="Consolas"/>
          <w:color w:val="B42828"/>
          <w:sz w:val="19"/>
        </w:rPr>
        <w:t>/studio</w:t>
      </w:r>
      <w:r>
        <w:t>).</w:t>
      </w:r>
    </w:p>
    <w:p>
      <w:r>
        <w:rPr>
          <w:b/>
        </w:rPr>
        <w:t>Index Terms</w:t>
      </w:r>
      <w:r>
        <w:t xml:space="preserve"> — Autonomous News Aggregation, Event Clustering, Large Language Models, Jaccard Similarity, Character N-Gram Cosine Similarity, Factuality Reflection Loop, Webhook Self-Healing, React Three Fiber, Groq LPUs, MERN Stack.</w:t>
      </w:r>
    </w:p>
    <w:p>
      <w:pPr>
        <w:jc w:val="center"/>
      </w:pPr>
      <w:r>
        <w:rPr>
          <w:color w:val="969696"/>
        </w:rPr>
        <w:t>─────── ❖ ───────</w:t>
      </w:r>
    </w:p>
    <w:p>
      <w:pPr>
        <w:pStyle w:val="Heading2"/>
      </w:pPr>
      <w:r>
        <w:t>I. INTRODUCTION</w:t>
      </w:r>
    </w:p>
    <w:p>
      <w:pPr>
        <w:pStyle w:val="Heading3"/>
      </w:pPr>
      <w:r>
        <w:t>1.1 Problem Motivation &amp; Industry Challenge</w:t>
      </w:r>
    </w:p>
    <w:p>
      <w:r>
        <w:t xml:space="preserve">Modern digital news consumption suffers from </w:t>
      </w:r>
      <w:r>
        <w:rPr>
          <w:b/>
        </w:rPr>
        <w:t>Informational Hyper-Fragmentation</w:t>
      </w:r>
      <w:r>
        <w:t xml:space="preserve">. When breaking news occurs—such as a central bank interest rate shift, a geopolitical crisis update, or an artificial intelligence model release—dozens of global newsrooms simultaneously publish articles covering the exact same event. </w:t>
      </w:r>
    </w:p>
    <w:p>
      <w:pPr>
        <w:spacing w:before="80" w:after="120"/>
        <w:ind w:left="360"/>
      </w:pPr>
      <w:r>
        <w:rPr>
          <w:rFonts w:ascii="Consolas" w:hAnsi="Consolas"/>
          <w:color w:val="1E1E1E"/>
          <w:sz w:val="17"/>
        </w:rPr>
        <w:t xml:space="preserve">                                ┌──► Reuters ("Fed Cuts Interest Rates by 50bps")</w:t>
        <w:br/>
        <w:t xml:space="preserve">                                │</w:t>
        <w:br/>
        <w:t>[Real-World Incident] ─────────┼──► Bloomberg ("Jerome Powell Announces Rate Cut")</w:t>
        <w:br/>
        <w:t>(Fed Rate Decision)            │</w:t>
        <w:br/>
        <w:t xml:space="preserve">                                └──► BBC News ("US Central Bank Lowers Borrowing Costs")</w:t>
      </w:r>
    </w:p>
    <w:p>
      <w:r>
        <w:t>For digital news platforms and consumers, this creates three critical vulnerabilities:</w:t>
      </w:r>
    </w:p>
    <w:p>
      <w:pPr>
        <w:pStyle w:val="ListNumber"/>
      </w:pPr>
      <w:r>
        <w:rPr>
          <w:b/>
        </w:rPr>
        <w:t>Redundancy &amp; Cognitive Fatigue:</w:t>
      </w:r>
      <w:r>
        <w:t xml:space="preserve"> Readers are forced to scan multiple articles describing the exact same event without knowing whether new information is present.</w:t>
      </w:r>
    </w:p>
    <w:p>
      <w:pPr>
        <w:pStyle w:val="ListNumber"/>
      </w:pPr>
      <w:r>
        <w:rPr>
          <w:b/>
        </w:rPr>
        <w:t>Copyright Infringement Exposure:</w:t>
      </w:r>
      <w:r>
        <w:t xml:space="preserve"> Scraping raw text from original publishers and presenting verbatim excerpts violates intellectual property laws. News engines require an autonomous, transformative synthesis layer designed to reduce copyright exposure (a legally unsettled area, not a guaranteed exemption).</w:t>
      </w:r>
    </w:p>
    <w:p>
      <w:pPr>
        <w:pStyle w:val="ListNumber"/>
      </w:pPr>
      <w:r>
        <w:rPr>
          <w:b/>
        </w:rPr>
        <w:t>Distribution Overhead &amp; Rate Limits:</w:t>
      </w:r>
      <w:r>
        <w:t xml:space="preserve"> Publishing updates across multi-channel social networks manually requires immense labor. Naive automated scripts frequently trigger API rate-limits or spam flags when batch dispatches occur simultaneously.</w:t>
      </w:r>
    </w:p>
    <w:p>
      <w:pPr>
        <w:pStyle w:val="Heading3"/>
      </w:pPr>
      <w:r>
        <w:t>1.2 Limitations of Existing Approaches</w:t>
      </w:r>
    </w:p>
    <w:p>
      <w:r>
        <w:t>Prior news processing systems attempt to solve parts of this pipeline, but fall short in operational feasibility:</w:t>
      </w:r>
    </w:p>
    <w:p>
      <w:pPr>
        <w:pStyle w:val="ListBullet"/>
      </w:pPr>
      <w:r>
        <w:rPr>
          <w:b/>
        </w:rPr>
        <w:t>Lexical TF-IDF / Pure Jaccard Matching:</w:t>
      </w:r>
      <w:r>
        <w:t xml:space="preserve"> Keyword-matching systems calculate token overlaps. However, when outlets use completely different vocabulary (e.g., </w:t>
      </w:r>
      <w:r>
        <w:rPr>
          <w:i/>
        </w:rPr>
        <w:t>"Congress clears legislation"</w:t>
      </w:r>
      <w:r>
        <w:t xml:space="preserve"> vs. </w:t>
      </w:r>
      <w:r>
        <w:rPr>
          <w:i/>
        </w:rPr>
        <w:t>"House passes bill"</w:t>
      </w:r>
      <w:r>
        <w:t>), lexical models yield zero overlap, generating high false-negative rates.</w:t>
      </w:r>
    </w:p>
    <w:p>
      <w:pPr>
        <w:pStyle w:val="ListBullet"/>
      </w:pPr>
      <w:r>
        <w:rPr>
          <w:b/>
        </w:rPr>
        <w:t>GPU-Dense Vector Embeddings (UMAP / HDBSCAN):</w:t>
      </w:r>
      <w:r>
        <w:t xml:space="preserve"> Systems using dense sentence transformers require dedicated GPU hardware for vector calculations and complex vector databases (e.g., Pinecone, Milvus), imposing high infrastructure costs.</w:t>
      </w:r>
    </w:p>
    <w:p>
      <w:pPr>
        <w:pStyle w:val="ListBullet"/>
      </w:pPr>
      <w:r>
        <w:rPr>
          <w:b/>
        </w:rPr>
        <w:t>Proprietary LLM Direct Verification:</w:t>
      </w:r>
      <w:r>
        <w:t xml:space="preserve"> Submitting every candidate headline pair directly to proprietary LLM endpoints (such as GPT-4) scales at </w:t>
      </w:r>
      <w:r>
        <w:rPr>
          <w:rFonts w:ascii="Cambria Math" w:hAnsi="Cambria Math"/>
          <w:i/>
        </w:rPr>
        <w:t>\mathcal{O}(N \times M)</w:t>
      </w:r>
      <w:r>
        <w:t xml:space="preserve"> cost and latency, causing rate-limit bottlenecks during major breaking news cycles.</w:t>
      </w:r>
    </w:p>
    <w:p>
      <w:pPr>
        <w:pStyle w:val="ListBullet"/>
      </w:pPr>
      <w:r>
        <w:rPr>
          <w:b/>
        </w:rPr>
        <w:t>Lack of Factuality Guardrails:</w:t>
      </w:r>
      <w:r>
        <w:t xml:space="preserve"> Standard LLM text summarization frequently suffers from hallucinations—generating unsupported numbers, false named entities, or inaccurate causal claims.</w:t>
      </w:r>
    </w:p>
    <w:p>
      <w:pPr>
        <w:pStyle w:val="Heading3"/>
      </w:pPr>
      <w:r>
        <w:t>1.3 System Contributions &amp; Novel Algorithmic Innovations</w:t>
      </w:r>
    </w:p>
    <w:p>
      <w:r>
        <w:t xml:space="preserve">This paper presents the formal mathematical design, implementation, and empirical evaluation of </w:t>
      </w:r>
      <w:r>
        <w:rPr>
          <w:b/>
        </w:rPr>
        <w:t>NISE</w:t>
      </w:r>
      <w:r>
        <w:t xml:space="preserve"> (News Intelligence and Synthesis Engine), introducing </w:t>
      </w:r>
      <w:r>
        <w:rPr>
          <w:b/>
        </w:rPr>
        <w:t>two original algorithms</w:t>
      </w:r>
      <w:r>
        <w:t xml:space="preserve"> that bridge existing research gaps in multi-outlet news processing:</w:t>
      </w:r>
    </w:p>
    <w:p>
      <w:pPr>
        <w:pStyle w:val="ListNumber"/>
      </w:pPr>
      <w:r>
        <w:rPr>
          <w:b/>
        </w:rPr>
        <w:t>Algorithm 1 — Enhanced Fusion Scoring Algorithm (EFSA):</w:t>
      </w:r>
      <w:r>
        <w:t xml:space="preserve"> A multi-dimensional evidence fusion model calculating a unified event fusion score </w:t>
      </w:r>
      <w:r>
        <w:rPr>
          <w:rFonts w:ascii="Cambria Math" w:hAnsi="Cambria Math"/>
          <w:i/>
        </w:rPr>
        <w:t>S_{\text{EFSA}} \in [0, 1]</w:t>
      </w:r>
      <w:r>
        <w:t xml:space="preserve"> across unigram lexical IoU (</w:t>
      </w:r>
      <w:r>
        <w:rPr>
          <w:rFonts w:ascii="Cambria Math" w:hAnsi="Cambria Math"/>
          <w:i/>
        </w:rPr>
        <w:t>S_{\text{key}}</w:t>
      </w:r>
      <w:r>
        <w:t>), character 3-gram cosine (</w:t>
      </w:r>
      <w:r>
        <w:rPr>
          <w:rFonts w:ascii="Cambria Math" w:hAnsi="Cambria Math"/>
          <w:i/>
        </w:rPr>
        <w:t>S_{\text{head}}</w:t>
      </w:r>
      <w:r>
        <w:t>), named entity overlap (</w:t>
      </w:r>
      <w:r>
        <w:rPr>
          <w:rFonts w:ascii="Cambria Math" w:hAnsi="Cambria Math"/>
          <w:i/>
        </w:rPr>
        <w:t>S_{\text{ent}}</w:t>
      </w:r>
      <w:r>
        <w:t>), exponential temporal decay (</w:t>
      </w:r>
      <w:r>
        <w:rPr>
          <w:rFonts w:ascii="Cambria Math" w:hAnsi="Cambria Math"/>
          <w:i/>
        </w:rPr>
        <w:t>S_{\text{temp}}</w:t>
      </w:r>
      <w:r>
        <w:t>), and sector taxonomy match (</w:t>
      </w:r>
      <w:r>
        <w:rPr>
          <w:rFonts w:ascii="Cambria Math" w:hAnsi="Cambria Math"/>
          <w:i/>
        </w:rPr>
        <w:t>S_{\text{sec}}</w:t>
      </w:r>
      <w:r>
        <w:t>).</w:t>
      </w:r>
    </w:p>
    <w:p>
      <w:pPr>
        <w:pStyle w:val="ListNumber"/>
      </w:pPr>
      <w:r>
        <w:rPr>
          <w:b/>
        </w:rPr>
        <w:t>Algorithm 2 — Dynamic Publisher Credibility Scoring (DPCS):</w:t>
      </w:r>
      <w:r>
        <w:t xml:space="preserve"> A self-learning online credibility model evaluating four operational indicators (stance agreement rate </w:t>
      </w:r>
      <w:r>
        <w:rPr>
          <w:rFonts w:ascii="Cambria Math" w:hAnsi="Cambria Math"/>
          <w:i/>
        </w:rPr>
        <w:t>R_{\text{agree}}</w:t>
      </w:r>
      <w:r>
        <w:t xml:space="preserve">, reporting timeliness index </w:t>
      </w:r>
      <w:r>
        <w:rPr>
          <w:rFonts w:ascii="Cambria Math" w:hAnsi="Cambria Math"/>
          <w:i/>
        </w:rPr>
        <w:t>I_{\text{time}}</w:t>
      </w:r>
      <w:r>
        <w:t xml:space="preserve">, coverage frequency </w:t>
      </w:r>
      <w:r>
        <w:rPr>
          <w:rFonts w:ascii="Cambria Math" w:hAnsi="Cambria Math"/>
          <w:i/>
        </w:rPr>
        <w:t>F_{\text{cov}}</w:t>
      </w:r>
      <w:r>
        <w:t xml:space="preserve">, and contradiction penalty </w:t>
      </w:r>
      <w:r>
        <w:rPr>
          <w:rFonts w:ascii="Cambria Math" w:hAnsi="Cambria Math"/>
          <w:i/>
        </w:rPr>
        <w:t>P_{\text{contra}}</w:t>
      </w:r>
      <w:r>
        <w:t xml:space="preserve">) to construct a raw score </w:t>
      </w:r>
      <w:r>
        <w:rPr>
          <w:rFonts w:ascii="Cambria Math" w:hAnsi="Cambria Math"/>
          <w:i/>
        </w:rPr>
        <w:t>C_{\text{raw}}</w:t>
      </w:r>
      <w:r>
        <w:t>, updated online via Exponential Moving Average (EMA) smoothing (</w:t>
      </w:r>
      <w:r>
        <w:rPr>
          <w:rFonts w:ascii="Cambria Math" w:hAnsi="Cambria Math"/>
          <w:i/>
        </w:rPr>
        <w:t>C_{\text{pub}}^{(t)} = 0.20 C_{\text{raw}} + 0.80 C_{\text{pub}}^{(t-1)}</w:t>
      </w:r>
      <w:r>
        <w:t xml:space="preserve">, baseline </w:t>
      </w:r>
      <w:r>
        <w:rPr>
          <w:rFonts w:ascii="Cambria Math" w:hAnsi="Cambria Math"/>
          <w:i/>
        </w:rPr>
        <w:t>C_{\text{pub}}^{(0)} = 85.0</w:t>
      </w:r>
      <w:r>
        <w:t>).</w:t>
      </w:r>
    </w:p>
    <w:p>
      <w:pPr>
        <w:pStyle w:val="ListNumber"/>
      </w:pPr>
      <w:r>
        <w:rPr>
          <w:b/>
        </w:rPr>
        <w:t>Lightweight Hybrid Two-Stage Pipeline:</w:t>
      </w:r>
      <w:r>
        <w:t xml:space="preserve"> Integrates EFSA as an intelligent multi-evidence gate preceding Stage 2 zero-shot neural verification (Llama 3 via Groq LPUs), reducing LLM API calls by </w:t>
      </w:r>
      <w:r>
        <w:rPr>
          <w:b/>
        </w:rPr>
        <w:t>75.56%</w:t>
      </w:r>
      <w:r>
        <w:t xml:space="preserve"> in production while eliminating false positives.</w:t>
      </w:r>
    </w:p>
    <w:p>
      <w:pPr>
        <w:pStyle w:val="ListNumber"/>
      </w:pPr>
      <w:r>
        <w:rPr>
          <w:b/>
        </w:rPr>
        <w:t>Multi-Source Evidence Fusion &amp; Stance Analysis:</w:t>
      </w:r>
      <w:r>
        <w:t xml:space="preserve"> Automatically synthesizes consolidated executive dispatches, calculates quantitative publisher stance divergence (</w:t>
      </w:r>
      <w:r>
        <w:rPr>
          <w:rFonts w:ascii="Cambria Math" w:hAnsi="Cambria Math"/>
          <w:i/>
        </w:rPr>
        <w:t>0\text{--}100\%</w:t>
      </w:r>
      <w:r>
        <w:t>), and applies a two-pass factuality reflection guardrail loop (</w:t>
      </w:r>
      <w:r>
        <w:rPr>
          <w:rFonts w:ascii="Consolas" w:hAnsi="Consolas"/>
          <w:color w:val="B42828"/>
          <w:sz w:val="19"/>
        </w:rPr>
        <w:t>verifyFactualityAndReflect</w:t>
      </w:r>
      <w:r>
        <w:t>).</w:t>
      </w:r>
    </w:p>
    <w:p>
      <w:pPr>
        <w:pStyle w:val="ListNumber"/>
      </w:pPr>
      <w:r>
        <w:rPr>
          <w:b/>
        </w:rPr>
        <w:t>Production Hardening &amp; Autonomous Syndication Engine:</w:t>
      </w:r>
      <w:r>
        <w:t xml:space="preserve"> Fully hardened architecture featuring graceful server shutdown, 30s TTL query caching, sliding-window rate limiting, health telemetry APIs, and automated Facebook Page wall webhooks.</w:t>
      </w:r>
    </w:p>
    <w:p>
      <w:pPr>
        <w:pStyle w:val="ListNumber"/>
      </w:pPr>
      <w:r>
        <w:rPr>
          <w:b/>
        </w:rPr>
        <w:t>Empirical Gate Failure Diagnosis &amp; Local Semantic Extension:</w:t>
      </w:r>
      <w:r>
        <w:t xml:space="preserve"> We conduct a comprehensive error breakdown on the </w:t>
      </w:r>
      <w:r>
        <w:rPr>
          <w:rFonts w:ascii="Cambria Math" w:hAnsi="Cambria Math"/>
          <w:i/>
        </w:rPr>
        <w:t>N=45</w:t>
      </w:r>
      <w:r>
        <w:t xml:space="preserve"> benchmark dataset, identifying that journalist periphrasis, brand metonymy, acronyms, and agency aliases account for 8 out of 11 gate misses (72.73%, Rows 4–11 of Table III), while the remaining 3 rows (1–3) involve high vocabulary divergence or numerical phrasing variation rather than naming/aliasing patterns. We evaluate an experimental local CPU sentence transformer gate (</w:t>
      </w:r>
      <w:r>
        <w:rPr>
          <w:rFonts w:ascii="Consolas" w:hAnsi="Consolas"/>
          <w:color w:val="B42828"/>
          <w:sz w:val="19"/>
        </w:rPr>
        <w:t>Xenova/all-MiniLM-L6-v2</w:t>
      </w:r>
      <w:r>
        <w:t xml:space="preserve">) that recovers recall from </w:t>
      </w:r>
      <w:r>
        <w:rPr>
          <w:rFonts w:ascii="Cambria Math" w:hAnsi="Cambria Math"/>
          <w:i/>
        </w:rPr>
        <w:t>35.29\%</w:t>
      </w:r>
      <w:r>
        <w:t xml:space="preserve"> to </w:t>
      </w:r>
      <w:r>
        <w:rPr>
          <w:rFonts w:ascii="Cambria Math" w:hAnsi="Cambria Math"/>
          <w:i/>
        </w:rPr>
        <w:t>76.47\%</w:t>
      </w:r>
      <w:r>
        <w:t xml:space="preserve"> (</w:t>
      </w:r>
      <w:r>
        <w:rPr>
          <w:rFonts w:ascii="Cambria Math" w:hAnsi="Cambria Math"/>
          <w:i/>
        </w:rPr>
        <w:t>88.89\%</w:t>
      </w:r>
      <w:r>
        <w:t xml:space="preserve"> accuracy) at </w:t>
      </w:r>
      <w:r>
        <w:rPr>
          <w:rFonts w:ascii="Cambria Math" w:hAnsi="Cambria Math"/>
          <w:i/>
        </w:rPr>
        <w:t>53.33\%</w:t>
      </w:r>
      <w:r>
        <w:t xml:space="preserve"> LLM call savings.</w:t>
      </w:r>
    </w:p>
    <w:p>
      <w:pPr>
        <w:pStyle w:val="ListNumber"/>
      </w:pPr>
      <w:r>
        <w:rPr>
          <w:b/>
        </w:rPr>
        <w:t>Dynamic Source Stance Detection &amp; Divergence Quantification:</w:t>
      </w:r>
      <w:r>
        <w:t xml:space="preserve"> Evaluates multi-source article clusters, classifying each publisher's stance as </w:t>
      </w:r>
      <w:r>
        <w:rPr>
          <w:rFonts w:ascii="Consolas" w:hAnsi="Consolas"/>
          <w:color w:val="B42828"/>
          <w:sz w:val="19"/>
        </w:rPr>
        <w:t>Supporting</w:t>
      </w:r>
      <w:r>
        <w:t xml:space="preserve">, </w:t>
      </w:r>
      <w:r>
        <w:rPr>
          <w:rFonts w:ascii="Consolas" w:hAnsi="Consolas"/>
          <w:color w:val="B42828"/>
          <w:sz w:val="19"/>
        </w:rPr>
        <w:t>Contradicting</w:t>
      </w:r>
      <w:r>
        <w:t xml:space="preserve">, or </w:t>
      </w:r>
      <w:r>
        <w:rPr>
          <w:rFonts w:ascii="Consolas" w:hAnsi="Consolas"/>
          <w:color w:val="B42828"/>
          <w:sz w:val="19"/>
        </w:rPr>
        <w:t>Neutral</w:t>
      </w:r>
      <w:r>
        <w:t xml:space="preserve">, and computes a quantitative </w:t>
      </w:r>
      <w:r>
        <w:rPr>
          <w:b/>
        </w:rPr>
        <w:t>Publisher Divergence Score</w:t>
      </w:r>
      <w:r>
        <w:t xml:space="preserve"> (</w:t>
      </w:r>
      <w:r>
        <w:rPr>
          <w:rFonts w:ascii="Cambria Math" w:hAnsi="Cambria Math"/>
          <w:i/>
        </w:rPr>
        <w:t>0\text{--}100\%</w:t>
      </w:r>
      <w:r>
        <w:t>).</w:t>
      </w:r>
    </w:p>
    <w:p>
      <w:pPr>
        <w:pStyle w:val="ListNumber"/>
      </w:pPr>
      <w:r>
        <w:rPr>
          <w:b/>
        </w:rPr>
        <w:t>Iterative Hallucination Guardrail Reflection Loop (`verifyFactualityAndReflect`):</w:t>
      </w:r>
      <w:r>
        <w:t xml:space="preserve"> Cross-checks LLM fused summaries against raw wire snippets for fabricated statistics, unsupported entities, or ungrounded claims, executing automatic self-correcting passes prior to database storage.</w:t>
      </w:r>
    </w:p>
    <w:p>
      <w:pPr>
        <w:pStyle w:val="ListNumber"/>
      </w:pPr>
      <w:r>
        <w:rPr>
          <w:b/>
        </w:rPr>
        <w:t>Autonomous Smart-Queue &amp; Self-Healing Webhook Syndication (`socialBroadcast.js`):</w:t>
      </w:r>
      <w:r>
        <w:t xml:space="preserve"> Formats universal dual-structure JSON payloads, enforces 1-hour staggered drip-feeding, and implements self-healing retry logic (up to 3 retries at 15-minute intervals) for zero-duplicate automated social broadcasting to configurable webhooks (e.g., Make.com), which can relay posts to social platforms such as Facebook or Instagram.</w:t>
      </w:r>
    </w:p>
    <w:p>
      <w:pPr>
        <w:jc w:val="center"/>
      </w:pPr>
      <w:r>
        <w:rPr>
          <w:color w:val="969696"/>
        </w:rPr>
        <w:t>─────── ❖ ───────</w:t>
      </w:r>
    </w:p>
    <w:p>
      <w:pPr>
        <w:pStyle w:val="Heading2"/>
      </w:pPr>
      <w:r>
        <w:t>II. RELATED WORK &amp; SYSTEM COMPARISON</w:t>
      </w:r>
    </w:p>
    <w:p>
      <w:pPr>
        <w:pStyle w:val="Heading3"/>
      </w:pPr>
      <w:r>
        <w:t>2.1 Lexical and Statistical Text Similarity Methods</w:t>
      </w:r>
    </w:p>
    <w:p>
      <w:r>
        <w:t>Automated text deduplication has its roots in classical information retrieval. Salton and Buckley [1] established term-weighting schemes (TF-IDF) as the foundation for representing documents as sparse vectors over a vocabulary space, enabling similarity computation via cosine distance. Jaccard [2] independently formalized set-overlap similarity, later adapted to text via token-set intersection over union — the technique underlying our own Stage 1a lexical gate. These methods share a common strength: they are computationally trivial, requiring no training data and executing in microseconds per comparison, which makes them attractive as a first-pass filter in any latency- or cost-constrained pipeline. Their well-documented weakness, however, is brittleness to vocabulary divergence: two headlines describing an identical event using different word choices — synonyms, paraphrases, or entity aliases — can register near-zero lexical overlap despite perfect semantic equivalence. Atefeh and Khreich's survey of Twitter event detection techniques [13] catalogs this same limitation across a decade of social-media event-detection literature, noting that bursty-word and document-pivot approaches (both fundamentally lexical) consistently underperform on paraphrased or terse social content, motivating hybrid and semantic extensions — a trajectory this paper follows in the news domain rather than the microblog domain that dominates that survey.</w:t>
      </w:r>
    </w:p>
    <w:p>
      <w:pPr>
        <w:pStyle w:val="Heading3"/>
      </w:pPr>
      <w:r>
        <w:t>2.2 Dense Semantic Embedding and Vector-Based Clustering</w:t>
      </w:r>
    </w:p>
    <w:p>
      <w:r>
        <w:t>To address the vocabulary-divergence limitation, subsequent work moved toward dense vector representations. Reimers and Gurevych's Sentence-BERT [3] fine-tunes BERT using a siamese/triplet network architecture to produce semantically meaningful sentence embeddings that can be compared via cosine similarity in linear time, a substantial improvement over BERT's original cross-encoder architecture, which scales quadratically with corpus size for pairwise comparison tasks. Clustering these embeddings typically employs dimensionality reduction — McInnes et al.'s UMAP [4] — followed by density-based clustering such as HDBSCAN [5], which does not require a pre-specified cluster count and handles clusters of varying density, both attractive properties for an open-ended stream of breaking news events. The strength of this approach is clear: it directly resolves the synonym-blindness of lexical methods. Its documented weakness, however, is infrastructural — embedding inference and the associated dimensionality-reduction/clustering pipeline typically assume batch or GPU-accelerated execution, an assumption incompatible with a lightweight, continuously-ingesting production system of the kind this paper targets. Our own experimental semantic gate (Section 5.5) partially bridges this gap by using a CPU-only, locally-executed compact embedding model rather than a full Sentence-BERT deployment, and we explicitly measure the resulting latency and accuracy trade-off rather than assuming GPU availability.</w:t>
      </w:r>
    </w:p>
    <w:p>
      <w:pPr>
        <w:pStyle w:val="Heading3"/>
      </w:pPr>
      <w:r>
        <w:t>2.3 LLM-Enhanced Event Detection and Clustering</w:t>
      </w:r>
    </w:p>
    <w:p>
      <w:r>
        <w:t>The most direct antecedents to this work apply large language models to event-level clustering rather than sentence-level similarity alone. Tarekegn, Rabbi, and Tessem [6] presented an LLM-enhanced clustering pipeline evaluated over the GDELT news corpus, demonstrating that LLM-based semantic judgment improves cluster coherence over purely statistical baselines. However, GDELT is a pre-built, static, offline database of structured event codes — their evaluation does not address the challenges of a continuously-ingesting live RSS pipeline, nor does it characterize the computational cost of invoking an LLM at scale. Nakshatri et al. (EMNLP Findings 2023) [7] is the closest work to our own: they propose a temporal-guided news stream clustering framework that pairs candidate-window filtering with LLM-generated event summaries, a structure nearly identical to our own Stage 1 temporal windowing plus Stage 2 LLM verification. Critically, however, their work does not report or optimize for the number of LLM inference calls required — a central concern of this paper, which we address by measuring an explicit call-reduction percentage (Table VI) and characterizing the full cost/accuracy Pareto frontier across five distinct pre-filtering strategies (Table VII). A 2025 ACL study on event-centric cluster summarization [8] extends this line of work to multilingual settings using larger, typically proprietary LLMs; our work instead demonstrates feasibility using a smaller, open-weight 8-billion-parameter model (</w:t>
      </w:r>
      <w:r>
        <w:rPr>
          <w:rFonts w:ascii="Consolas" w:hAnsi="Consolas"/>
          <w:color w:val="B42828"/>
          <w:sz w:val="19"/>
        </w:rPr>
        <w:t>llama-3.1-8b-instant</w:t>
      </w:r>
      <w:r>
        <w:t>) served on dedicated LPU hardware, trading some accuracy ceiling for deployment cost and openness — a trade-off we characterize explicitly rather than assume.</w:t>
      </w:r>
    </w:p>
    <w:p>
      <w:pPr>
        <w:pStyle w:val="Heading3"/>
      </w:pPr>
      <w:r>
        <w:t>2.4 Multi-Evidence Fusion for Entity Resolution</w:t>
      </w:r>
    </w:p>
    <w:p>
      <w:r>
        <w:t>Our Enhanced Fusion Scoring Algorithm (EFSA), which combines five independent similarity signals into a single weighted score, draws on a longer tradition in the entity resolution and record linkage literature, where combining multiple similarity features to determine whether two records describe the same real-world entity is a well-studied problem (Christophides et al. [20]). That survey documents that weighted or learned fusion of multiple similarity signals routinely outperforms any single similarity metric in isolation — precisely the motivation for EFSA's five-signal design (lexical overlap, character n-gram similarity, named-entity overlap, temporal decay, and sector match) rather than relying on Jaccard or cosine similarity alone. Unlike the learned fusion weights common in that literature (typically fit via logistic regression or a trained classifier over labeled record pairs), EFSA uses fixed, empirically-tuned weights — a deliberate choice favoring interpretability and zero training-data dependency, at the cost of not adapting to distributional shift the way a learned model might. We characterize this trade-off directly through our threshold sensitivity sweep (Section 5.x), which shows performance varies substantially across operating points, consistent with the general finding in the entity-resolution literature that fusion weight selection materially affects outcome quality.</w:t>
      </w:r>
    </w:p>
    <w:p>
      <w:pPr>
        <w:pStyle w:val="Heading3"/>
      </w:pPr>
      <w:r>
        <w:t>2.5 Publisher and Source Credibility Modeling</w:t>
      </w:r>
    </w:p>
    <w:p>
      <w:r>
        <w:t xml:space="preserve">Assessing the trustworthiness of a news source independent of any single article's content is an active area outside pure NLP. Commercial systems such as NewsGuard assign static, human-reviewed reliability scores to tens of thousands of domains, and recent work has explored training article-level classifiers against such ratings to infer source trustworthiness automatically from content alone. Distinct from both approaches, our Dynamic Publisher Credibility Scoring (DPCS) mechanism updates a per-publisher trust score online by combining four operational indicators (stance agreement rate </w:t>
      </w:r>
      <w:r>
        <w:rPr>
          <w:rFonts w:ascii="Cambria Math" w:hAnsi="Cambria Math"/>
          <w:i/>
        </w:rPr>
        <w:t>R_{\text{agree}}</w:t>
      </w:r>
      <w:r>
        <w:t xml:space="preserve">, reporting timeliness index </w:t>
      </w:r>
      <w:r>
        <w:rPr>
          <w:rFonts w:ascii="Cambria Math" w:hAnsi="Cambria Math"/>
          <w:i/>
        </w:rPr>
        <w:t>I_{\text{time}}</w:t>
      </w:r>
      <w:r>
        <w:t xml:space="preserve">, coverage frequency </w:t>
      </w:r>
      <w:r>
        <w:rPr>
          <w:rFonts w:ascii="Cambria Math" w:hAnsi="Cambria Math"/>
          <w:i/>
        </w:rPr>
        <w:t>F_{\text{cov}}</w:t>
      </w:r>
      <w:r>
        <w:t xml:space="preserve">, and contradiction penalty </w:t>
      </w:r>
      <w:r>
        <w:rPr>
          <w:rFonts w:ascii="Cambria Math" w:hAnsi="Cambria Math"/>
          <w:i/>
        </w:rPr>
        <w:t>P_{\text{contra}}</w:t>
      </w:r>
      <w:r>
        <w:t xml:space="preserve">) into a composite raw score </w:t>
      </w:r>
      <w:r>
        <w:rPr>
          <w:rFonts w:ascii="Cambria Math" w:hAnsi="Cambria Math"/>
          <w:i/>
        </w:rPr>
        <w:t>C_{\text{raw}}</w:t>
      </w:r>
      <w:r>
        <w:t>, which is then smoothed via Exponential Moving Average (</w:t>
      </w:r>
      <w:r>
        <w:rPr>
          <w:rFonts w:ascii="Cambria Math" w:hAnsi="Cambria Math"/>
          <w:i/>
        </w:rPr>
        <w:t>C_{\text{pub}}^{(t)} = 0.20 C_{\text{raw}} + 0.80 C_{\text{pub}}^{(t-1)}</w:t>
      </w:r>
      <w:r>
        <w:t xml:space="preserve">, baseline </w:t>
      </w:r>
      <w:r>
        <w:rPr>
          <w:rFonts w:ascii="Cambria Math" w:hAnsi="Cambria Math"/>
          <w:i/>
        </w:rPr>
        <w:t>C_{\text{pub}}^{(0)} = 85.0</w:t>
      </w:r>
      <w:r>
        <w:t xml:space="preserve">), requiring no external rating service or labeled training corpus. This design choice is not without risk: Yang and Menczer [21] audited the ability of large language models themselves to assess news source credibility and found only moderate agreement with human expert ratings (Spearman's </w:t>
      </w:r>
      <w:r>
        <w:rPr>
          <w:rFonts w:ascii="Cambria Math" w:hAnsi="Cambria Math"/>
          <w:i/>
        </w:rPr>
        <w:t>\rho \approx 0.50</w:t>
      </w:r>
      <w:r>
        <w:t>) alongside a measurable susceptibility to political bias under certain prompting conditions. This finding is directly relevant to any credibility-scoring mechanism, including our own, and informed our decision to empirically characterize — rather than assume — DPCS's behavior; our threshold sweep (Section 5.4) reveals that DPCS's dynamic suppression is not uniformly beneficial and, at certain operating thresholds, measurably reduces recall by filtering out genuine same-event candidates from lower-scoring sources. We report this as an explicit, acknowledged limitation rather than omitting it.</w:t>
      </w:r>
    </w:p>
    <w:p>
      <w:pPr>
        <w:pStyle w:val="Heading3"/>
      </w:pPr>
      <w:r>
        <w:t>2.6 Media Stance and Bias Detection</w:t>
      </w:r>
    </w:p>
    <w:p>
      <w:r>
        <w:t>Fan et al.'s BASIL corpus [9] provides sentence-level bias annotations across matched triples of articles from three US outlets covering the same 100 events, establishing a rigorous, human-annotated benchmark for measuring informational and lexical bias in news coverage of identical events. Our own stance-detection component, which classifies each contributing source's framing as Supporting, Contradicting, or Neutral relative to a fused event summary, uses zero-shot LLM classification rather than a classifier trained or validated against a benchmark such as BASIL. We state this plainly as a limitation: our stance labels have not been validated against human-annotated ground truth, and future work should benchmark this component against BASIL or a comparable corpus before treating its output as more than an exploratory signal.</w:t>
      </w:r>
    </w:p>
    <w:p>
      <w:pPr>
        <w:pStyle w:val="Heading3"/>
      </w:pPr>
      <w:r>
        <w:t>2.7 Hallucination Detection and Mitigation in Large Language Models</w:t>
      </w:r>
    </w:p>
    <w:p>
      <w:r>
        <w:t>LLM-generated summaries are well documented to occasionally fabricate facts, entities, or causal claims not present in their source material. Ji et al. [10] and Zhang et al. [11] both survey this problem extensively across generation tasks, cataloging detection strategies ranging from self-consistency sampling to external fact-verification. Shinn et al.'s Reflexion framework [12] proposes an iterative self-critique-and-revise loop, in which a model's own output is evaluated and used as feedback for regeneration — a pattern structurally similar to our own two-pass factuality reflection loop, in which a fused summary is audited against raw source snippets for fabricated statistics, unsupported entities, and unverified causal claims, with a corrective regeneration pass triggered on failure. Our implementation is a simplified, task-specific instance of this broader verified-generation pattern rather than a novel contribution to the hallucination-mitigation literature itself.</w:t>
      </w:r>
    </w:p>
    <w:p>
      <w:pPr>
        <w:pStyle w:val="Heading3"/>
      </w:pPr>
      <w:r>
        <w:t>2.8 Conversational and Chatbot-Based News Delivery</w:t>
      </w:r>
    </w:p>
    <w:p>
      <w:r>
        <w:t>Sufi (2025) [18] presented an AI-powered chatbot for personalized, real-time news delivery, combining conversational AI, robotic process automation, and a large-scale news database to answer user queries dynamically. While methodologically adjacent — both systems ingest and process large volumes of live news using LLMs — the two systems address different problems: Sufi's work optimizes for responsive, personalized query answering over a static-window news corpus, while NISE addresses upstream event clustering, multi-source evidence fusion, and cost-aware LLM verification prior to any user-facing delivery mechanism.</w:t>
      </w:r>
    </w:p>
    <w:p>
      <w:pPr>
        <w:pStyle w:val="Heading3"/>
      </w:pPr>
      <w:r>
        <w:t>2.9 Comprehensive System Capability Comparison</w:t>
      </w:r>
    </w:p>
    <w:p>
      <w:r>
        <w:t>Table I summarizes NISE against the paradigms reviewed above.</w:t>
      </w:r>
    </w:p>
    <w:p>
      <w:r>
        <w:rPr>
          <w:b/>
        </w:rPr>
        <w:t>TABLE I: COMPREHENSIVE SYSTEM CAPABILITY COMPARISON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Capability</w:t>
            </w:r>
          </w:p>
        </w:tc>
        <w:tc>
          <w:tcPr>
            <w:tcW w:type="dxa" w:w="1560"/>
            <w:shd w:fill="F0F4F8"/>
          </w:tcPr>
          <w:p>
            <w:pPr>
              <w:spacing w:before="60" w:after="60"/>
            </w:pPr>
            <w:r>
              <w:rPr>
                <w:b/>
              </w:rPr>
            </w:r>
            <w:r>
              <w:rPr>
                <w:b/>
              </w:rPr>
              <w:t>GDELT</w:t>
            </w:r>
          </w:p>
        </w:tc>
        <w:tc>
          <w:tcPr>
            <w:tcW w:type="dxa" w:w="1560"/>
            <w:shd w:fill="F0F4F8"/>
          </w:tcPr>
          <w:p>
            <w:pPr>
              <w:spacing w:before="60" w:after="60"/>
            </w:pPr>
            <w:r>
              <w:rPr>
                <w:b/>
              </w:rPr>
            </w:r>
            <w:r>
              <w:rPr>
                <w:b/>
              </w:rPr>
              <w:t>Event Registry</w:t>
            </w:r>
          </w:p>
        </w:tc>
        <w:tc>
          <w:tcPr>
            <w:tcW w:type="dxa" w:w="1560"/>
            <w:shd w:fill="F0F4F8"/>
          </w:tcPr>
          <w:p>
            <w:pPr>
              <w:spacing w:before="60" w:after="60"/>
            </w:pPr>
            <w:r>
              <w:rPr>
                <w:b/>
              </w:rPr>
            </w:r>
            <w:r>
              <w:rPr>
                <w:b/>
              </w:rPr>
              <w:t>Tarekegn et al. [6]</w:t>
            </w:r>
          </w:p>
        </w:tc>
        <w:tc>
          <w:tcPr>
            <w:tcW w:type="dxa" w:w="1560"/>
            <w:shd w:fill="F0F4F8"/>
          </w:tcPr>
          <w:p>
            <w:pPr>
              <w:spacing w:before="60" w:after="60"/>
            </w:pPr>
            <w:r>
              <w:rPr>
                <w:b/>
              </w:rPr>
            </w:r>
            <w:r>
              <w:rPr>
                <w:b/>
              </w:rPr>
              <w:t>Nakshatri et al. [7]</w:t>
            </w:r>
          </w:p>
        </w:tc>
        <w:tc>
          <w:tcPr>
            <w:tcW w:type="dxa" w:w="1560"/>
            <w:shd w:fill="F0F4F8"/>
          </w:tcPr>
          <w:p>
            <w:pPr>
              <w:spacing w:before="60" w:after="60"/>
            </w:pPr>
            <w:r>
              <w:rPr>
                <w:b/>
              </w:rPr>
            </w:r>
            <w:r>
              <w:rPr>
                <w:b/>
              </w:rPr>
              <w:t>NISE (This Work)</w:t>
            </w:r>
          </w:p>
        </w:tc>
      </w:tr>
      <w:tr>
        <w:tc>
          <w:tcPr>
            <w:tcW w:type="dxa" w:w="1560"/>
          </w:tcPr>
          <w:p>
            <w:pPr>
              <w:spacing w:before="60" w:after="60"/>
            </w:pPr>
            <w:r/>
            <w:r>
              <w:t>Live continuous RSS ingestion</w:t>
            </w:r>
          </w:p>
        </w:tc>
        <w:tc>
          <w:tcPr>
            <w:tcW w:type="dxa" w:w="1560"/>
          </w:tcPr>
          <w:p>
            <w:pPr>
              <w:spacing w:before="60" w:after="60"/>
            </w:pPr>
            <w:r/>
            <w:r>
              <w:t>No (static offline DB)</w:t>
            </w:r>
          </w:p>
        </w:tc>
        <w:tc>
          <w:tcPr>
            <w:tcW w:type="dxa" w:w="1560"/>
          </w:tcPr>
          <w:p>
            <w:pPr>
              <w:spacing w:before="60" w:after="60"/>
            </w:pPr>
            <w:r/>
            <w:r>
              <w:t>Yes (commercial, 300K+ sources)</w:t>
            </w:r>
          </w:p>
        </w:tc>
        <w:tc>
          <w:tcPr>
            <w:tcW w:type="dxa" w:w="1560"/>
          </w:tcPr>
          <w:p>
            <w:pPr>
              <w:spacing w:before="60" w:after="60"/>
            </w:pPr>
            <w:r/>
            <w:r>
              <w:t>No (evaluated on static GDELT)</w:t>
            </w:r>
          </w:p>
        </w:tc>
        <w:tc>
          <w:tcPr>
            <w:tcW w:type="dxa" w:w="1560"/>
          </w:tcPr>
          <w:p>
            <w:pPr>
              <w:spacing w:before="60" w:after="60"/>
            </w:pPr>
            <w:r/>
            <w:r>
              <w:t>Stream-based, live status unspecified</w:t>
            </w:r>
          </w:p>
        </w:tc>
        <w:tc>
          <w:tcPr>
            <w:tcW w:type="dxa" w:w="1560"/>
          </w:tcPr>
          <w:p>
            <w:pPr>
              <w:spacing w:before="60" w:after="60"/>
            </w:pPr>
            <w:r/>
            <w:r>
              <w:t>Yes</w:t>
            </w:r>
          </w:p>
        </w:tc>
      </w:tr>
      <w:tr>
        <w:tc>
          <w:tcPr>
            <w:tcW w:type="dxa" w:w="1560"/>
          </w:tcPr>
          <w:p>
            <w:pPr>
              <w:spacing w:before="60" w:after="60"/>
            </w:pPr>
            <w:r/>
            <w:r>
              <w:t>LLM-based event verification</w:t>
            </w:r>
          </w:p>
        </w:tc>
        <w:tc>
          <w:tcPr>
            <w:tcW w:type="dxa" w:w="1560"/>
          </w:tcPr>
          <w:p>
            <w:pPr>
              <w:spacing w:before="60" w:after="60"/>
            </w:pPr>
            <w:r/>
            <w:r>
              <w:t>No</w:t>
            </w:r>
          </w:p>
        </w:tc>
        <w:tc>
          <w:tcPr>
            <w:tcW w:type="dxa" w:w="1560"/>
          </w:tcPr>
          <w:p>
            <w:pPr>
              <w:spacing w:before="60" w:after="60"/>
            </w:pPr>
            <w:r/>
            <w:r>
              <w:t>Unspecified/proprietary</w:t>
            </w:r>
          </w:p>
        </w:tc>
        <w:tc>
          <w:tcPr>
            <w:tcW w:type="dxa" w:w="1560"/>
          </w:tcPr>
          <w:p>
            <w:pPr>
              <w:spacing w:before="60" w:after="60"/>
            </w:pPr>
            <w:r/>
            <w:r>
              <w:t>Yes</w:t>
            </w:r>
          </w:p>
        </w:tc>
        <w:tc>
          <w:tcPr>
            <w:tcW w:type="dxa" w:w="1560"/>
          </w:tcPr>
          <w:p>
            <w:pPr>
              <w:spacing w:before="60" w:after="60"/>
            </w:pPr>
            <w:r/>
            <w:r>
              <w:t>Yes</w:t>
            </w:r>
          </w:p>
        </w:tc>
        <w:tc>
          <w:tcPr>
            <w:tcW w:type="dxa" w:w="1560"/>
          </w:tcPr>
          <w:p>
            <w:pPr>
              <w:spacing w:before="60" w:after="60"/>
            </w:pPr>
            <w:r/>
            <w:r>
              <w:t>Yes</w:t>
            </w:r>
          </w:p>
        </w:tc>
      </w:tr>
      <w:tr>
        <w:tc>
          <w:tcPr>
            <w:tcW w:type="dxa" w:w="1560"/>
          </w:tcPr>
          <w:p>
            <w:pPr>
              <w:spacing w:before="60" w:after="60"/>
            </w:pPr>
            <w:r/>
            <w:r>
              <w:t>Cost-aware pre-filter with characterized call reduction</w:t>
            </w:r>
          </w:p>
        </w:tc>
        <w:tc>
          <w:tcPr>
            <w:tcW w:type="dxa" w:w="1560"/>
          </w:tcPr>
          <w:p>
            <w:pPr>
              <w:spacing w:before="60" w:after="60"/>
            </w:pPr>
            <w:r/>
            <w:r>
              <w:t>N/A</w:t>
            </w:r>
          </w:p>
        </w:tc>
        <w:tc>
          <w:tcPr>
            <w:tcW w:type="dxa" w:w="1560"/>
          </w:tcPr>
          <w:p>
            <w:pPr>
              <w:spacing w:before="60" w:after="60"/>
            </w:pPr>
            <w:r/>
            <w:r>
              <w:t>Unspecified</w:t>
            </w:r>
          </w:p>
        </w:tc>
        <w:tc>
          <w:tcPr>
            <w:tcW w:type="dxa" w:w="1560"/>
          </w:tcPr>
          <w:p>
            <w:pPr>
              <w:spacing w:before="60" w:after="60"/>
            </w:pPr>
            <w:r/>
            <w:r>
              <w:t>No (not characterized)</w:t>
            </w:r>
          </w:p>
        </w:tc>
        <w:tc>
          <w:tcPr>
            <w:tcW w:type="dxa" w:w="1560"/>
          </w:tcPr>
          <w:p>
            <w:pPr>
              <w:spacing w:before="60" w:after="60"/>
            </w:pPr>
            <w:r/>
            <w:r>
              <w:t>No (not characterized)</w:t>
            </w:r>
          </w:p>
        </w:tc>
        <w:tc>
          <w:tcPr>
            <w:tcW w:type="dxa" w:w="1560"/>
          </w:tcPr>
          <w:p>
            <w:pPr>
              <w:spacing w:before="60" w:after="60"/>
            </w:pPr>
            <w:r/>
            <w:r>
              <w:t>Yes (75.56% reduction, measured)</w:t>
            </w:r>
          </w:p>
        </w:tc>
      </w:tr>
      <w:tr>
        <w:tc>
          <w:tcPr>
            <w:tcW w:type="dxa" w:w="1560"/>
          </w:tcPr>
          <w:p>
            <w:pPr>
              <w:spacing w:before="60" w:after="60"/>
            </w:pPr>
            <w:r/>
            <w:r>
              <w:t>Open-weight, self-hostable LLM</w:t>
            </w:r>
          </w:p>
        </w:tc>
        <w:tc>
          <w:tcPr>
            <w:tcW w:type="dxa" w:w="1560"/>
          </w:tcPr>
          <w:p>
            <w:pPr>
              <w:spacing w:before="60" w:after="60"/>
            </w:pPr>
            <w:r/>
            <w:r>
              <w:t>N/A</w:t>
            </w:r>
          </w:p>
        </w:tc>
        <w:tc>
          <w:tcPr>
            <w:tcW w:type="dxa" w:w="1560"/>
          </w:tcPr>
          <w:p>
            <w:pPr>
              <w:spacing w:before="60" w:after="60"/>
            </w:pPr>
            <w:r/>
            <w:r>
              <w:t>No</w:t>
            </w:r>
          </w:p>
        </w:tc>
        <w:tc>
          <w:tcPr>
            <w:tcW w:type="dxa" w:w="1560"/>
          </w:tcPr>
          <w:p>
            <w:pPr>
              <w:spacing w:before="60" w:after="60"/>
            </w:pPr>
            <w:r/>
            <w:r>
              <w:t>Unspecified</w:t>
            </w:r>
          </w:p>
        </w:tc>
        <w:tc>
          <w:tcPr>
            <w:tcW w:type="dxa" w:w="1560"/>
          </w:tcPr>
          <w:p>
            <w:pPr>
              <w:spacing w:before="60" w:after="60"/>
            </w:pPr>
            <w:r/>
            <w:r>
              <w:t>Unspecified</w:t>
            </w:r>
          </w:p>
        </w:tc>
        <w:tc>
          <w:tcPr>
            <w:tcW w:type="dxa" w:w="1560"/>
          </w:tcPr>
          <w:p>
            <w:pPr>
              <w:spacing w:before="60" w:after="60"/>
            </w:pPr>
            <w:r/>
            <w:r>
              <w:t>Yes (Llama 3.1-8B)</w:t>
            </w:r>
          </w:p>
        </w:tc>
      </w:tr>
      <w:tr>
        <w:tc>
          <w:tcPr>
            <w:tcW w:type="dxa" w:w="1560"/>
          </w:tcPr>
          <w:p>
            <w:pPr>
              <w:spacing w:before="60" w:after="60"/>
            </w:pPr>
            <w:r/>
            <w:r>
              <w:t>Publisher credibility modeling</w:t>
            </w:r>
          </w:p>
        </w:tc>
        <w:tc>
          <w:tcPr>
            <w:tcW w:type="dxa" w:w="1560"/>
          </w:tcPr>
          <w:p>
            <w:pPr>
              <w:spacing w:before="60" w:after="60"/>
            </w:pPr>
            <w:r/>
            <w:r>
              <w:t>No</w:t>
            </w:r>
          </w:p>
        </w:tc>
        <w:tc>
          <w:tcPr>
            <w:tcW w:type="dxa" w:w="1560"/>
          </w:tcPr>
          <w:p>
            <w:pPr>
              <w:spacing w:before="60" w:after="60"/>
            </w:pPr>
            <w:r/>
            <w:r>
              <w:t>Static, proprietary ratings</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(DPCS, EMA-based, offline-validated)</w:t>
            </w:r>
          </w:p>
        </w:tc>
      </w:tr>
      <w:tr>
        <w:tc>
          <w:tcPr>
            <w:tcW w:type="dxa" w:w="1560"/>
          </w:tcPr>
          <w:p>
            <w:pPr>
              <w:spacing w:before="60" w:after="60"/>
            </w:pPr>
            <w:r/>
            <w:r>
              <w:t>End-to-end deployed distribution layer</w:t>
            </w:r>
          </w:p>
        </w:tc>
        <w:tc>
          <w:tcPr>
            <w:tcW w:type="dxa" w:w="1560"/>
          </w:tcPr>
          <w:p>
            <w:pPr>
              <w:spacing w:before="60" w:after="60"/>
            </w:pPr>
            <w:r/>
            <w:r>
              <w:t>No</w:t>
            </w:r>
          </w:p>
        </w:tc>
        <w:tc>
          <w:tcPr>
            <w:tcW w:type="dxa" w:w="1560"/>
          </w:tcPr>
          <w:p>
            <w:pPr>
              <w:spacing w:before="60" w:after="60"/>
            </w:pPr>
            <w:r/>
            <w:r>
              <w:t>No (aggregation only)</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(verified live deployment)</w:t>
            </w:r>
          </w:p>
        </w:tc>
      </w:tr>
      <w:tr>
        <w:tc>
          <w:tcPr>
            <w:tcW w:type="dxa" w:w="1560"/>
          </w:tcPr>
          <w:p>
            <w:pPr>
              <w:spacing w:before="60" w:after="60"/>
            </w:pPr>
            <w:r/>
            <w:r>
              <w:t>Hallucination/factuality verification</w:t>
            </w:r>
          </w:p>
        </w:tc>
        <w:tc>
          <w:tcPr>
            <w:tcW w:type="dxa" w:w="1560"/>
          </w:tcPr>
          <w:p>
            <w:pPr>
              <w:spacing w:before="60" w:after="60"/>
            </w:pPr>
            <w:r/>
            <w:r>
              <w:t>N/A</w:t>
            </w:r>
          </w:p>
        </w:tc>
        <w:tc>
          <w:tcPr>
            <w:tcW w:type="dxa" w:w="1560"/>
          </w:tcPr>
          <w:p>
            <w:pPr>
              <w:spacing w:before="60" w:after="60"/>
            </w:pPr>
            <w:r/>
            <w:r>
              <w:t>N/A</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(two-pass reflection loop)</w:t>
            </w:r>
          </w:p>
        </w:tc>
      </w:tr>
      <w:tr>
        <w:tc>
          <w:tcPr>
            <w:tcW w:type="dxa" w:w="1560"/>
          </w:tcPr>
          <w:p>
            <w:pPr>
              <w:spacing w:before="60" w:after="60"/>
            </w:pPr>
            <w:r/>
            <w:r>
              <w:t>Open, reproducible labeled benchmark</w:t>
            </w:r>
          </w:p>
        </w:tc>
        <w:tc>
          <w:tcPr>
            <w:tcW w:type="dxa" w:w="1560"/>
          </w:tcPr>
          <w:p>
            <w:pPr>
              <w:spacing w:before="60" w:after="60"/>
            </w:pPr>
            <w:r/>
            <w:r>
              <w:t>Partial (public data, no labeled pair benchmark)</w:t>
            </w:r>
          </w:p>
        </w:tc>
        <w:tc>
          <w:tcPr>
            <w:tcW w:type="dxa" w:w="1560"/>
          </w:tcPr>
          <w:p>
            <w:pPr>
              <w:spacing w:before="60" w:after="60"/>
            </w:pPr>
            <w:r/>
            <w:r>
              <w:t>No (proprietary)</w:t>
            </w:r>
          </w:p>
        </w:tc>
        <w:tc>
          <w:tcPr>
            <w:tcW w:type="dxa" w:w="1560"/>
          </w:tcPr>
          <w:p>
            <w:pPr>
              <w:spacing w:before="60" w:after="60"/>
            </w:pPr>
            <w:r/>
            <w:r>
              <w:t>Yes (public GDELT)</w:t>
            </w:r>
          </w:p>
        </w:tc>
        <w:tc>
          <w:tcPr>
            <w:tcW w:type="dxa" w:w="1560"/>
          </w:tcPr>
          <w:p>
            <w:pPr>
              <w:spacing w:before="60" w:after="60"/>
            </w:pPr>
            <w:r/>
            <w:r>
              <w:t>Yes (public dataset)</w:t>
            </w:r>
          </w:p>
        </w:tc>
        <w:tc>
          <w:tcPr>
            <w:tcW w:type="dxa" w:w="1560"/>
          </w:tcPr>
          <w:p>
            <w:pPr>
              <w:spacing w:before="60" w:after="60"/>
            </w:pPr>
            <w:r/>
            <w:r>
              <w:t>Yes (45-pair benchmark, public repo)</w:t>
            </w:r>
          </w:p>
        </w:tc>
      </w:tr>
      <w:tr>
        <w:tc>
          <w:tcPr>
            <w:tcW w:type="dxa" w:w="1560"/>
          </w:tcPr>
          <w:p>
            <w:pPr>
              <w:spacing w:before="60" w:after="60"/>
            </w:pPr>
            <w:r/>
            <w:r>
              <w:t>Cost/accuracy trade-off characterization</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(5-strategy Pareto comparison)</w:t>
            </w:r>
          </w:p>
        </w:tc>
      </w:tr>
    </w:tbl>
    <w:p/>
    <w:p>
      <w:pPr>
        <w:pStyle w:val="Heading3"/>
      </w:pPr>
      <w:r>
        <w:t>2.10 Synthesis: Positioning NISE Relative to Prior Work</w:t>
      </w:r>
    </w:p>
    <w:p>
      <w:r>
        <w:t>Across the eight areas reviewed, a consistent gap emerges. Lexical methods (2.1) are cheap but vocabulary-brittle. Dense embeddings (2.2) resolve this but assume infrastructure this work explicitly avoids. LLM-assisted clustering (2.3) — our closest prior art — demonstrates the general feasibility of the approach but does not characterize its computational cost or evaluate a fully deployed distribution layer. Multi-signal fusion (2.4) is well-established in entity resolution but under-explored specifically for news event matching. Credibility modeling (2.5) carries documented risks that most systems, including commercial ones, do not transparently report. Stance detection (2.6) and hallucination mitigation (2.7) are each individually mature research areas that this system integrates but does not individually advance. No reviewed work combines cost-aware multi-stage pre-filtering, an empirically characterized accuracy/efficiency trade-off across multiple candidate strategies, and a verified, deployed end-to-end pipeline inclusive of distribution — this is precisely the space NISE occupies, and precisely the gap identified in Section I.C.</w:t>
      </w:r>
    </w:p>
    <w:p>
      <w:pPr>
        <w:jc w:val="center"/>
      </w:pPr>
      <w:r>
        <w:rPr>
          <w:color w:val="969696"/>
        </w:rPr>
        <w:t>─────── ❖ ───────</w:t>
      </w:r>
    </w:p>
    <w:p>
      <w:pPr>
        <w:pStyle w:val="Heading2"/>
      </w:pPr>
      <w:r>
        <w:t>III. SYSTEM ARCHITECTURE &amp; METHODOLOGY</w:t>
      </w:r>
    </w:p>
    <w:p>
      <w:pPr>
        <w:spacing w:before="80" w:after="120"/>
        <w:ind w:left="360"/>
      </w:pPr>
      <w:r>
        <w:rPr>
          <w:rFonts w:ascii="Arial" w:hAnsi="Arial"/>
          <w:b/>
          <w:color w:val="646464"/>
          <w:sz w:val="19"/>
        </w:rPr>
        <w:t>[Diagram source — see rendered version in project repository or Figure 1]</w:t>
        <w:br/>
      </w:r>
      <w:r>
        <w:rPr>
          <w:rFonts w:ascii="Consolas" w:hAnsi="Consolas"/>
          <w:color w:val="1E1E1E"/>
          <w:sz w:val="17"/>
        </w:rPr>
        <w:t>graph TD</w:t>
        <w:br/>
        <w:t xml:space="preserve">    subgraph Layer1["1. Multi-Source Ingestion &amp; Anti-Duplication"]</w:t>
        <w:br/>
        <w:t xml:space="preserve">        RSS["21 RSS Streams (14 Sectors)"] --&gt; Parser["rss-parser Module"]</w:t>
        <w:br/>
        <w:t xml:space="preserve">        Parser --&gt; Dedup["Multi-Layer Anti-Duplication Lock&lt;br/&gt;(URL, MD5 title_hash, title)"]</w:t>
        <w:br/>
        <w:t xml:space="preserve">    end</w:t>
        <w:br/>
        <w:br/>
        <w:t xml:space="preserve">    subgraph Layer2["2. Neural AI Synthesis (Groq Llama 3.1-8B)"]</w:t>
        <w:br/>
        <w:t xml:space="preserve">        Dedup --&gt;|Unique Article| Groq["Groq LPU Synthesis Engine"]</w:t>
        <w:br/>
        <w:t xml:space="preserve">        Groq --&gt; Summary["150-Word Editorial Summary"]</w:t>
        <w:br/>
        <w:t xml:space="preserve">        Groq --&gt; SocialMeta["Instagram/FB Caption &amp; 10-14 Hashtags"]</w:t>
        <w:br/>
        <w:t xml:space="preserve">        Groq --&gt; ImgPrompt["35mm Reuters Photo Prompt"]</w:t>
        <w:br/>
        <w:t xml:space="preserve">    end</w:t>
        <w:br/>
        <w:br/>
        <w:t xml:space="preserve">    subgraph Layer3["3. Hybrid Photojournalism Pipeline"]</w:t>
        <w:br/>
        <w:t xml:space="preserve">        ImgPrompt --&gt; RSSImg{"RSS Native Photo?"}</w:t>
        <w:br/>
        <w:t xml:space="preserve">        RSSImg --&gt;|Yes| RealPhoto["Extract Press Photo (&lt;enclosure&gt;)"]</w:t>
        <w:br/>
        <w:t xml:space="preserve">        RSSImg --&gt;|No| Pollinations["Pollinations FLUX Realism (&amp;model=flux-realism)"]</w:t>
        <w:br/>
        <w:t xml:space="preserve">    end</w:t>
        <w:br/>
        <w:br/>
        <w:t xml:space="preserve">    subgraph Layer4["4. NISE Event Intelligence Engine"]</w:t>
        <w:br/>
        <w:t xml:space="preserve">        RealPhoto &amp; Pollinations --&gt; Stage1a["Stage 1a: Jaccard IoU (&gt;= 12%)"]</w:t>
        <w:br/>
        <w:t xml:space="preserve">        RealPhoto &amp; Pollinations --&gt; Stage1b["Stage 1b: 3-Gram Cosine (&gt;= 25%)"]</w:t>
        <w:br/>
        <w:t xml:space="preserve">        RealPhoto &amp; Pollinations --&gt; EFSA["EFSA Multi-Evidence Score (&gt;= 0.22)"]</w:t>
        <w:br/>
        <w:t xml:space="preserve">        Stage1a &amp; Stage1b &amp; EFSA --&gt;|Candidate Match| Stage2["Stage 2: Llama 3 isSameEvent()"]</w:t>
        <w:br/>
        <w:t xml:space="preserve">        Stage2 --&gt;|SAME| Fusion["Evidence Fusion &amp; Confidence C(N)"]</w:t>
        <w:br/>
        <w:t xml:space="preserve">        Fusion --&gt; Stance["Dynamic Stance Agent &amp; Divergence"]</w:t>
        <w:br/>
        <w:t xml:space="preserve">        Stance --&gt; Guard["Hallucination Reflection Loop"]</w:t>
        <w:br/>
        <w:t xml:space="preserve">    end</w:t>
        <w:br/>
        <w:br/>
        <w:t xml:space="preserve">    subgraph Layer5["5. Database &amp; Autonomous Distribution"]</w:t>
        <w:br/>
        <w:t xml:space="preserve">        Guard --&gt; Mongo[("MongoDB Atlas")]</w:t>
        <w:br/>
        <w:t xml:space="preserve">        Mongo --&gt; Webhook["Social Broadcast Engine (Self-Healing Webhooks)"]</w:t>
        <w:br/>
        <w:t xml:space="preserve">        Mongo --&gt; UI["3D Cosmic Glassmorphic Interface (/studio)"]</w:t>
        <w:br/>
        <w:t xml:space="preserve">    end</w:t>
      </w:r>
    </w:p>
    <w:p>
      <w:pPr>
        <w:pStyle w:val="Heading3"/>
      </w:pPr>
      <w:r>
        <w:t>3.1 Pipeline Overview</w:t>
      </w:r>
    </w:p>
    <w:p>
      <w:r>
        <w:t xml:space="preserve">The NISE architecture processes continuous multi-source wire dispatches through a 5-layer pipeline spanning ingestion, synthesis, photojournalism, multi-evidence clustering, and autonomous distribution. </w:t>
      </w:r>
    </w:p>
    <w:p>
      <w:pPr>
        <w:pStyle w:val="Heading3"/>
      </w:pPr>
      <w:r>
        <w:t>3.2 Ingestion Registry &amp; Multi-Layer Anti-Duplication Lock</w:t>
      </w:r>
    </w:p>
    <w:p>
      <w:r>
        <w:t xml:space="preserve">NISE monitors 21 RSS wire feeds across 14 distinct news sectors: </w:t>
      </w:r>
      <w:r>
        <w:rPr>
          <w:rFonts w:ascii="Consolas" w:hAnsi="Consolas"/>
          <w:color w:val="B42828"/>
          <w:sz w:val="19"/>
        </w:rPr>
        <w:t>Tech</w:t>
      </w:r>
      <w:r>
        <w:t xml:space="preserve">, </w:t>
      </w:r>
      <w:r>
        <w:rPr>
          <w:rFonts w:ascii="Consolas" w:hAnsi="Consolas"/>
          <w:color w:val="B42828"/>
          <w:sz w:val="19"/>
        </w:rPr>
        <w:t>Finance</w:t>
      </w:r>
      <w:r>
        <w:t xml:space="preserve">, </w:t>
      </w:r>
      <w:r>
        <w:rPr>
          <w:rFonts w:ascii="Consolas" w:hAnsi="Consolas"/>
          <w:color w:val="B42828"/>
          <w:sz w:val="19"/>
        </w:rPr>
        <w:t>Geopolitics</w:t>
      </w:r>
      <w:r>
        <w:t xml:space="preserve">, </w:t>
      </w:r>
      <w:r>
        <w:rPr>
          <w:rFonts w:ascii="Consolas" w:hAnsi="Consolas"/>
          <w:color w:val="B42828"/>
          <w:sz w:val="19"/>
        </w:rPr>
        <w:t>Sports</w:t>
      </w:r>
      <w:r>
        <w:t xml:space="preserve">, </w:t>
      </w:r>
      <w:r>
        <w:rPr>
          <w:rFonts w:ascii="Consolas" w:hAnsi="Consolas"/>
          <w:color w:val="B42828"/>
          <w:sz w:val="19"/>
        </w:rPr>
        <w:t>AI</w:t>
      </w:r>
      <w:r>
        <w:t xml:space="preserve">, </w:t>
      </w:r>
      <w:r>
        <w:rPr>
          <w:rFonts w:ascii="Consolas" w:hAnsi="Consolas"/>
          <w:color w:val="B42828"/>
          <w:sz w:val="19"/>
        </w:rPr>
        <w:t>Startups</w:t>
      </w:r>
      <w:r>
        <w:t xml:space="preserve">, </w:t>
      </w:r>
      <w:r>
        <w:rPr>
          <w:rFonts w:ascii="Consolas" w:hAnsi="Consolas"/>
          <w:color w:val="B42828"/>
          <w:sz w:val="19"/>
        </w:rPr>
        <w:t>Crypto</w:t>
      </w:r>
      <w:r>
        <w:t xml:space="preserve">, </w:t>
      </w:r>
      <w:r>
        <w:rPr>
          <w:rFonts w:ascii="Consolas" w:hAnsi="Consolas"/>
          <w:color w:val="B42828"/>
          <w:sz w:val="19"/>
        </w:rPr>
        <w:t>Health</w:t>
      </w:r>
      <w:r>
        <w:t xml:space="preserve">, </w:t>
      </w:r>
      <w:r>
        <w:rPr>
          <w:rFonts w:ascii="Consolas" w:hAnsi="Consolas"/>
          <w:color w:val="B42828"/>
          <w:sz w:val="19"/>
        </w:rPr>
        <w:t>Science</w:t>
      </w:r>
      <w:r>
        <w:t xml:space="preserve">, </w:t>
      </w:r>
      <w:r>
        <w:rPr>
          <w:rFonts w:ascii="Consolas" w:hAnsi="Consolas"/>
          <w:color w:val="B42828"/>
          <w:sz w:val="19"/>
        </w:rPr>
        <w:t>Entertainment</w:t>
      </w:r>
      <w:r>
        <w:t xml:space="preserve">, </w:t>
      </w:r>
      <w:r>
        <w:rPr>
          <w:rFonts w:ascii="Consolas" w:hAnsi="Consolas"/>
          <w:color w:val="B42828"/>
          <w:sz w:val="19"/>
        </w:rPr>
        <w:t>Environment</w:t>
      </w:r>
      <w:r>
        <w:t xml:space="preserve">, </w:t>
      </w:r>
      <w:r>
        <w:rPr>
          <w:rFonts w:ascii="Consolas" w:hAnsi="Consolas"/>
          <w:color w:val="B42828"/>
          <w:sz w:val="19"/>
        </w:rPr>
        <w:t>Automotive</w:t>
      </w:r>
      <w:r>
        <w:t xml:space="preserve">, </w:t>
      </w:r>
      <w:r>
        <w:rPr>
          <w:rFonts w:ascii="Consolas" w:hAnsi="Consolas"/>
          <w:color w:val="B42828"/>
          <w:sz w:val="19"/>
        </w:rPr>
        <w:t>Defense</w:t>
      </w:r>
      <w:r>
        <w:t xml:space="preserve">, and </w:t>
      </w:r>
      <w:r>
        <w:rPr>
          <w:rFonts w:ascii="Consolas" w:hAnsi="Consolas"/>
          <w:color w:val="B42828"/>
          <w:sz w:val="19"/>
        </w:rPr>
        <w:t>Space</w:t>
      </w:r>
      <w:r>
        <w:t xml:space="preserve">. To guarantee zero duplicate ingestion and eliminate unnecessary AI inference, </w:t>
      </w:r>
      <w:r>
        <w:rPr>
          <w:rFonts w:ascii="Consolas" w:hAnsi="Consolas"/>
          <w:color w:val="B42828"/>
          <w:sz w:val="19"/>
        </w:rPr>
        <w:t>newsEngine.js</w:t>
      </w:r>
      <w:r>
        <w:t xml:space="preserve"> executes a pre-LLM multi-layer query check against MongoDB:</w:t>
      </w:r>
    </w:p>
    <w:p>
      <w:r>
        <w:rPr>
          <w:rFonts w:ascii="Cambria Math" w:hAnsi="Cambria Math"/>
          <w:i/>
        </w:rPr>
      </w:r>
      <w:r>
        <w:t>\text{MatchCondition} = (\text{url} = U) \lor (\text{title\_hash} = \text{MD5}(\text{title})) \lor (\text{title} = T) \tag{1}</w:t>
      </w:r>
      <w:r>
        <w:rPr>
          <w:rFonts w:ascii="Cambria Math" w:hAnsi="Cambria Math"/>
          <w:i/>
        </w:rPr>
      </w:r>
    </w:p>
    <w:p>
      <w:r>
        <w:t xml:space="preserve">where </w:t>
      </w:r>
      <w:r>
        <w:rPr>
          <w:rFonts w:ascii="Cambria Math" w:hAnsi="Cambria Math"/>
          <w:i/>
        </w:rPr>
        <w:t>\text{title\_hash}</w:t>
      </w:r>
      <w:r>
        <w:t xml:space="preserve"> is the 32-character hexadecimal MD5 digest of the lowercased, whitespace-trimmed headline string. If any condition evaluates to true, processing is halted immediately.</w:t>
      </w:r>
    </w:p>
    <w:p>
      <w:pPr>
        <w:pStyle w:val="Heading3"/>
      </w:pPr>
      <w:r>
        <w:t>3.3 Transformative Multi-Modal AI Synthesis (Groq LPUs)</w:t>
      </w:r>
    </w:p>
    <w:p>
      <w:r>
        <w:t xml:space="preserve">Unique articles are passed to Meta's open-weight </w:t>
      </w:r>
      <w:r>
        <w:rPr>
          <w:rFonts w:ascii="Consolas" w:hAnsi="Consolas"/>
          <w:color w:val="B42828"/>
          <w:sz w:val="19"/>
        </w:rPr>
        <w:t>llama-3.1-8b-instant</w:t>
      </w:r>
      <w:r>
        <w:t xml:space="preserve"> model hosted on Groq LPUs, extending the open-weight LLM family architecture (Touvron et al. [14], Meta AI [15]). Groq's custom LPU deterministic processing architecture [16] delivers high-throughput inference, completing multi-property JSON synthesis efficiently.</w:t>
      </w:r>
    </w:p>
    <w:p>
      <w:r>
        <w:t>The model is prompted to output a single JSON object containing:</w:t>
      </w:r>
    </w:p>
    <w:p>
      <w:pPr>
        <w:pStyle w:val="ListNumber"/>
      </w:pPr>
      <w:r>
        <w:rPr>
          <w:rFonts w:ascii="Consolas" w:hAnsi="Consolas"/>
          <w:color w:val="B42828"/>
          <w:sz w:val="19"/>
        </w:rPr>
        <w:t>summary</w:t>
      </w:r>
      <w:r>
        <w:t>: 150-word objective, original editorial summary.</w:t>
      </w:r>
    </w:p>
    <w:p>
      <w:pPr>
        <w:pStyle w:val="ListNumber"/>
      </w:pPr>
      <w:r>
        <w:rPr>
          <w:rFonts w:ascii="Consolas" w:hAnsi="Consolas"/>
          <w:color w:val="B42828"/>
          <w:sz w:val="19"/>
        </w:rPr>
        <w:t>social_caption</w:t>
      </w:r>
      <w:r>
        <w:t>: Social caption starting with an emoji hook headline (</w:t>
      </w:r>
      <w:r>
        <w:rPr>
          <w:rFonts w:ascii="Consolas" w:hAnsi="Consolas"/>
          <w:color w:val="B42828"/>
          <w:sz w:val="19"/>
        </w:rPr>
        <w:t>🚨 BREAKING:</w:t>
      </w:r>
      <w:r>
        <w:t>), followed by 2–3 bullet points and a call-to-action.</w:t>
      </w:r>
    </w:p>
    <w:p>
      <w:pPr>
        <w:pStyle w:val="ListNumber"/>
      </w:pPr>
      <w:r>
        <w:rPr>
          <w:rFonts w:ascii="Consolas" w:hAnsi="Consolas"/>
          <w:color w:val="B42828"/>
          <w:sz w:val="19"/>
        </w:rPr>
        <w:t>social_hashtags</w:t>
      </w:r>
      <w:r>
        <w:t>: Array of 10–14 viral hashtags (</w:t>
      </w:r>
      <w:r>
        <w:rPr>
          <w:rFonts w:ascii="Consolas" w:hAnsi="Consolas"/>
          <w:color w:val="B42828"/>
          <w:sz w:val="19"/>
        </w:rPr>
        <w:t>#NewsAI #TechNews #Sector</w:t>
      </w:r>
      <w:r>
        <w:t>).</w:t>
      </w:r>
    </w:p>
    <w:p>
      <w:pPr>
        <w:pStyle w:val="ListNumber"/>
      </w:pPr>
      <w:r>
        <w:rPr>
          <w:rFonts w:ascii="Consolas" w:hAnsi="Consolas"/>
          <w:color w:val="B42828"/>
          <w:sz w:val="19"/>
        </w:rPr>
        <w:t>image_prompt</w:t>
      </w:r>
      <w:r>
        <w:t>: Camera optics prompt specifying 35mm lens, f/2.8 aperture, natural lighting, and Reuters/AP news photojournalism style.</w:t>
      </w:r>
    </w:p>
    <w:p>
      <w:pPr>
        <w:pStyle w:val="Heading3"/>
      </w:pPr>
      <w:r>
        <w:t>3.4 Hybrid Photojournalism &amp; FLUX Realism Image Pipeline</w:t>
      </w:r>
    </w:p>
    <w:p>
      <w:r>
        <w:t>NISE employs a dual-mode image acquisition strategy:</w:t>
      </w:r>
    </w:p>
    <w:p>
      <w:pPr>
        <w:pStyle w:val="ListBullet"/>
      </w:pPr>
      <w:r>
        <w:rPr>
          <w:b/>
        </w:rPr>
        <w:t>Primary (Native Press Photo Extraction):</w:t>
      </w:r>
      <w:r>
        <w:t xml:space="preserve"> </w:t>
      </w:r>
      <w:r>
        <w:rPr>
          <w:rFonts w:ascii="Consolas" w:hAnsi="Consolas"/>
          <w:color w:val="B42828"/>
          <w:sz w:val="19"/>
        </w:rPr>
        <w:t>extractRssImage()</w:t>
      </w:r>
      <w:r>
        <w:t xml:space="preserve"> parses RSS XML for </w:t>
      </w:r>
      <w:r>
        <w:rPr>
          <w:rFonts w:ascii="Consolas" w:hAnsi="Consolas"/>
          <w:color w:val="B42828"/>
          <w:sz w:val="19"/>
        </w:rPr>
        <w:t>&lt;enclosure&gt;</w:t>
      </w:r>
      <w:r>
        <w:t xml:space="preserve">, </w:t>
      </w:r>
      <w:r>
        <w:rPr>
          <w:rFonts w:ascii="Consolas" w:hAnsi="Consolas"/>
          <w:color w:val="B42828"/>
          <w:sz w:val="19"/>
        </w:rPr>
        <w:t>&lt;media:content&gt;</w:t>
      </w:r>
      <w:r>
        <w:t xml:space="preserve">, </w:t>
      </w:r>
      <w:r>
        <w:rPr>
          <w:rFonts w:ascii="Consolas" w:hAnsi="Consolas"/>
          <w:color w:val="B42828"/>
          <w:sz w:val="19"/>
        </w:rPr>
        <w:t>&lt;media:thumbnail&gt;</w:t>
      </w:r>
      <w:r>
        <w:t xml:space="preserve">, or embedded HTML </w:t>
      </w:r>
      <w:r>
        <w:rPr>
          <w:rFonts w:ascii="Consolas" w:hAnsi="Consolas"/>
          <w:color w:val="B42828"/>
          <w:sz w:val="19"/>
        </w:rPr>
        <w:t>&lt;img&gt;</w:t>
      </w:r>
      <w:r>
        <w:t xml:space="preserve"> tags.</w:t>
      </w:r>
    </w:p>
    <w:p>
      <w:pPr>
        <w:pStyle w:val="ListBullet"/>
      </w:pPr>
      <w:r>
        <w:rPr>
          <w:b/>
        </w:rPr>
        <w:t>Fallback (FLUX Realism AI Generation):</w:t>
      </w:r>
      <w:r>
        <w:t xml:space="preserve"> If no native photo exists, </w:t>
      </w:r>
      <w:r>
        <w:rPr>
          <w:rFonts w:ascii="Consolas" w:hAnsi="Consolas"/>
          <w:color w:val="B42828"/>
          <w:sz w:val="19"/>
        </w:rPr>
        <w:t>generateAndHostImage()</w:t>
      </w:r>
      <w:r>
        <w:t xml:space="preserve"> builds a keyless, prompt-encoded URL using the </w:t>
      </w:r>
      <w:r>
        <w:rPr>
          <w:rFonts w:ascii="Consolas" w:hAnsi="Consolas"/>
          <w:color w:val="B42828"/>
          <w:sz w:val="19"/>
        </w:rPr>
        <w:t>pollinations.ai</w:t>
      </w:r>
      <w:r>
        <w:t xml:space="preserve"> FLUX Realism engine [17]:</w:t>
      </w:r>
    </w:p>
    <w:p>
      <w:r>
        <w:rPr>
          <w:rFonts w:ascii="Cambria Math" w:hAnsi="Cambria Math"/>
          <w:i/>
        </w:rPr>
      </w:r>
      <w:r>
        <w:t>\text{URL} = \text{\small https://image.pollinations.ai/prompt/}\text{EncodedPrompt}\text{\small ?width=800\&amp;height=800\&amp;model=flux-realism\&amp;seed=Seed}</w:t>
      </w:r>
      <w:r>
        <w:rPr>
          <w:rFonts w:ascii="Cambria Math" w:hAnsi="Cambria Math"/>
          <w:i/>
        </w:rPr>
      </w:r>
    </w:p>
    <w:p>
      <w:r>
        <w:t xml:space="preserve">Image fetching is delegated directly to the client's web browser, bypassing server-side bot protection and eliminating heavy image hosting costs. Inline </w:t>
      </w:r>
      <w:r>
        <w:rPr>
          <w:rFonts w:ascii="Consolas" w:hAnsi="Consolas"/>
          <w:color w:val="B42828"/>
          <w:sz w:val="19"/>
        </w:rPr>
        <w:t>onError</w:t>
      </w:r>
      <w:r>
        <w:t xml:space="preserve"> handlers on the frontend provide fail-safe fallbacks to Unsplash editorial images.</w:t>
      </w:r>
    </w:p>
    <w:p>
      <w:pPr>
        <w:pStyle w:val="Heading3"/>
      </w:pPr>
      <w:r>
        <w:t>3.5 Deployed Two-Stage Lexical/LLM Clustering Gate</w:t>
      </w:r>
    </w:p>
    <w:p>
      <w:r>
        <w:t>Before invoking an LLM for event verification, candidate pairs within a 48-hour temporal window pass through a lightweight, CPU-based two-stage fast-path gate:</w:t>
      </w:r>
    </w:p>
    <w:p>
      <w:pPr>
        <w:pStyle w:val="ListNumber"/>
      </w:pPr>
      <w:r>
        <w:rPr>
          <w:b/>
        </w:rPr>
        <w:t>Stage 1a (Unigram Jaccard IoU):</w:t>
      </w:r>
      <w:r>
        <w:t xml:space="preserve"> Computes token-set intersection over union:</w:t>
      </w:r>
    </w:p>
    <w:p>
      <w:r>
        <w:t xml:space="preserve">   </w:t>
      </w:r>
      <w:r>
        <w:rPr>
          <w:rFonts w:ascii="Cambria Math" w:hAnsi="Cambria Math"/>
          <w:i/>
        </w:rPr>
      </w:r>
      <w:r>
        <w:t>J(A, B) = \frac{|A \cap B|}{|A \cup B|} \tag{2}</w:t>
      </w:r>
      <w:r>
        <w:rPr>
          <w:rFonts w:ascii="Cambria Math" w:hAnsi="Cambria Math"/>
          <w:i/>
        </w:rPr>
      </w:r>
    </w:p>
    <w:p>
      <w:r>
        <w:t xml:space="preserve">   with an empirical threshold </w:t>
      </w:r>
      <w:r>
        <w:rPr>
          <w:rFonts w:ascii="Cambria Math" w:hAnsi="Cambria Math"/>
          <w:i/>
        </w:rPr>
        <w:t>\tau_J = 0.12</w:t>
      </w:r>
      <w:r>
        <w:t xml:space="preserve"> (</w:t>
      </w:r>
      <w:r>
        <w:rPr>
          <w:rFonts w:ascii="Cambria Math" w:hAnsi="Cambria Math"/>
          <w:i/>
        </w:rPr>
        <w:t>12\%</w:t>
      </w:r>
      <w:r>
        <w:t>).</w:t>
      </w:r>
    </w:p>
    <w:p>
      <w:pPr>
        <w:pStyle w:val="ListNumber"/>
      </w:pPr>
      <w:r>
        <w:rPr>
          <w:b/>
        </w:rPr>
        <w:t>Stage 1b (Sub-Word 3-Gram Cosine Similarity):</w:t>
      </w:r>
      <w:r>
        <w:t xml:space="preserve"> Constructs character 3-gram frequency vectors </w:t>
      </w:r>
      <w:r>
        <w:rPr>
          <w:rFonts w:ascii="Cambria Math" w:hAnsi="Cambria Math"/>
          <w:i/>
        </w:rPr>
        <w:t>V_A, V_B</w:t>
      </w:r>
      <w:r>
        <w:t xml:space="preserve"> to capture morphological variations and compound terms:</w:t>
      </w:r>
    </w:p>
    <w:p>
      <w:r>
        <w:t xml:space="preserve">   </w:t>
      </w:r>
      <w:r>
        <w:rPr>
          <w:rFonts w:ascii="Cambria Math" w:hAnsi="Cambria Math"/>
          <w:i/>
        </w:rPr>
      </w:r>
      <w:r>
        <w:t>\cos(V_A, V_B) = \frac{V_A \cdot V_B}{\|V_A\| \|V_B\|} = \frac{\sum_{i=1}^K V_{A,i} V_{B,i}}{\sqrt{\sum_{i=1}^K V_{A,i}^2} \sqrt{\sum_{i=1}^K V_{B,i}^2}} \tag{3}</w:t>
      </w:r>
      <w:r>
        <w:rPr>
          <w:rFonts w:ascii="Cambria Math" w:hAnsi="Cambria Math"/>
          <w:i/>
        </w:rPr>
      </w:r>
    </w:p>
    <w:p>
      <w:r>
        <w:t xml:space="preserve">   with an empirical threshold </w:t>
      </w:r>
      <w:r>
        <w:rPr>
          <w:rFonts w:ascii="Cambria Math" w:hAnsi="Cambria Math"/>
          <w:i/>
        </w:rPr>
        <w:t>\tau_C = 0.25</w:t>
      </w:r>
      <w:r>
        <w:t xml:space="preserve"> (</w:t>
      </w:r>
      <w:r>
        <w:rPr>
          <w:rFonts w:ascii="Cambria Math" w:hAnsi="Cambria Math"/>
          <w:i/>
        </w:rPr>
        <w:t>25\%</w:t>
      </w:r>
      <w:r>
        <w:t>).</w:t>
      </w:r>
    </w:p>
    <w:p>
      <w:r>
        <w:t>Candidate pairs satisfying the disjunctive (OR) Stage 1 condition:</w:t>
      </w:r>
    </w:p>
    <w:p>
      <w:r>
        <w:rPr>
          <w:rFonts w:ascii="Cambria Math" w:hAnsi="Cambria Math"/>
          <w:i/>
        </w:rPr>
      </w:r>
      <w:r>
        <w:t>\text{GateCondition} = (J(A,B) \ge 0.12) \lor (\cos(V_A, V_B) \ge 0.25) \tag{4}</w:t>
      </w:r>
      <w:r>
        <w:rPr>
          <w:rFonts w:ascii="Cambria Math" w:hAnsi="Cambria Math"/>
          <w:i/>
        </w:rPr>
      </w:r>
    </w:p>
    <w:p>
      <w:r>
        <w:t>advance to Stage 2 zero-shot LLM verification (</w:t>
      </w:r>
      <w:r>
        <w:rPr>
          <w:rFonts w:ascii="Consolas" w:hAnsi="Consolas"/>
          <w:color w:val="B42828"/>
          <w:sz w:val="19"/>
        </w:rPr>
        <w:t>isSameEvent</w:t>
      </w:r>
      <w:r>
        <w:t>), while non-qualifying pairs bypass LLM inference completely.</w:t>
      </w:r>
    </w:p>
    <w:p>
      <w:pPr>
        <w:pStyle w:val="Heading3"/>
      </w:pPr>
      <w:r>
        <w:t>3.6 Algorithm 1: Enhanced Fusion Scoring Algorithm (EFSA)</w:t>
      </w:r>
    </w:p>
    <w:p>
      <w:r>
        <w:t>To provide a structured, dependency-free multi-evidence alternative to basic lexical matching, EFSA computes a weighted composite fusion score across five normalized similarity dimensions:</w:t>
      </w:r>
    </w:p>
    <w:p>
      <w:r>
        <w:rPr>
          <w:rFonts w:ascii="Cambria Math" w:hAnsi="Cambria Math"/>
          <w:i/>
        </w:rPr>
      </w:r>
      <w:r>
        <w:t>S_{\text{EFSA}} = 0.25 S_{\text{key}} + 0.30 S_{\text{head}} + 0.25 S_{\text{ent}} + 0.10 S_{\text{temp}} + 0.10 S_{\text{sec}} \tag{5}</w:t>
      </w:r>
      <w:r>
        <w:rPr>
          <w:rFonts w:ascii="Cambria Math" w:hAnsi="Cambria Math"/>
          <w:i/>
        </w:rPr>
      </w:r>
    </w:p>
    <w:p>
      <w:r>
        <w:t xml:space="preserve">where </w:t>
      </w:r>
      <w:r>
        <w:rPr>
          <w:rFonts w:ascii="Cambria Math" w:hAnsi="Cambria Math"/>
          <w:i/>
        </w:rPr>
        <w:t>S_{\text{key}}</w:t>
      </w:r>
      <w:r>
        <w:t xml:space="preserve"> is unigram IoU, </w:t>
      </w:r>
      <w:r>
        <w:rPr>
          <w:rFonts w:ascii="Cambria Math" w:hAnsi="Cambria Math"/>
          <w:i/>
        </w:rPr>
        <w:t>S_{\text{head}}</w:t>
      </w:r>
      <w:r>
        <w:t xml:space="preserve"> is character 3-gram cosine, </w:t>
      </w:r>
      <w:r>
        <w:rPr>
          <w:rFonts w:ascii="Cambria Math" w:hAnsi="Cambria Math"/>
          <w:i/>
        </w:rPr>
        <w:t>S_{\text{ent}}</w:t>
      </w:r>
      <w:r>
        <w:t xml:space="preserve"> is named entity overlap ratio, </w:t>
      </w:r>
      <w:r>
        <w:rPr>
          <w:rFonts w:ascii="Cambria Math" w:hAnsi="Cambria Math"/>
          <w:i/>
        </w:rPr>
        <w:t>S_{\text{temp}} = e^{-\lambda \Delta t}</w:t>
      </w:r>
      <w:r>
        <w:t xml:space="preserve"> (</w:t>
      </w:r>
      <w:r>
        <w:rPr>
          <w:rFonts w:ascii="Cambria Math" w:hAnsi="Cambria Math"/>
          <w:i/>
        </w:rPr>
        <w:t>\lambda = 0.02</w:t>
      </w:r>
      <w:r>
        <w:t xml:space="preserve">) is exponential time decay over 48 hours, and </w:t>
      </w:r>
      <w:r>
        <w:rPr>
          <w:rFonts w:ascii="Cambria Math" w:hAnsi="Cambria Math"/>
          <w:i/>
        </w:rPr>
        <w:t>S_{\text{sec}} \in \{0, 0.5, 1.0\}</w:t>
      </w:r>
      <w:r>
        <w:t xml:space="preserve"> is sector taxonomy match.</w:t>
      </w:r>
    </w:p>
    <w:p>
      <w:pPr>
        <w:spacing w:before="80" w:after="120"/>
        <w:ind w:left="360"/>
      </w:pPr>
      <w:r>
        <w:rPr>
          <w:rFonts w:ascii="Consolas" w:hAnsi="Consolas"/>
          <w:color w:val="1E1E1E"/>
          <w:sz w:val="17"/>
        </w:rPr>
        <w:t>Algorithm 1: EFSA Event Fusion Score</w:t>
        <w:br/>
        <w:t>Input: Article A, Candidate Event E</w:t>
        <w:br/>
        <w:t>Output: Composite Fusion Score S_EFSA in [0, 1]</w:t>
        <w:br/>
        <w:t>1: S_key  &lt;- calculateJaccardSimilarity(A.title, E.title)</w:t>
        <w:br/>
        <w:t>2: S_head &lt;- calculateChar3GramCosine(A.title, E.title)</w:t>
        <w:br/>
        <w:t>3: S_ent  &lt;- calculateEntityOverlap(A.content, E.summary)</w:t>
        <w:br/>
        <w:t>4: S_temp &lt;- exp(-0.02 * hoursBetween(A.pubDate, E.firstReported))</w:t>
        <w:br/>
        <w:t>5: S_sec  &lt;- matchSectorTaxonomy(A.category, E.category)</w:t>
        <w:br/>
        <w:t>6: S_EFSA &lt;- 0.25*S_key + 0.30*S_head + 0.25*S_ent + 0.10*S_temp + 0.10*S_sec</w:t>
        <w:br/>
        <w:t>7: return S_EFSA</w:t>
      </w:r>
    </w:p>
    <w:p>
      <w:pPr>
        <w:pStyle w:val="Heading3"/>
      </w:pPr>
      <w:r>
        <w:t>3.7 Algorithm 2: Dynamic Publisher Credibility Scoring (DPCS)</w:t>
      </w:r>
    </w:p>
    <w:p>
      <w:r>
        <w:t>DPCS maintains an online, self-learning trust record for each publisher domain. For each processed article outcome, four component indicators are computed:</w:t>
      </w:r>
    </w:p>
    <w:p>
      <w:r>
        <w:rPr>
          <w:rFonts w:ascii="Cambria Math" w:hAnsi="Cambria Math"/>
          <w:i/>
        </w:rPr>
      </w:r>
      <w:r>
        <w:t>R_{\text{agree}} = \frac{N_{\text{supporting}} + 0.5 N_{\text{neutral}}}{N_{\text{total}}}, \quad I_{\text{time}} = \max\left(0, 1 - \frac{\Delta t}{48}\right), \quad F_{\text{cov}} = \min\left(1, \frac{N_{\text{total}}}{20}\right), \quad P_{\text{contra}} = \frac{N_{\text{contradicting}}}{N_{\text{total}}} \tag{6}</w:t>
      </w:r>
      <w:r>
        <w:rPr>
          <w:rFonts w:ascii="Cambria Math" w:hAnsi="Cambria Math"/>
          <w:i/>
        </w:rPr>
      </w:r>
    </w:p>
    <w:p>
      <w:r>
        <w:t xml:space="preserve">These indicators are combined into a bounded composite raw score </w:t>
      </w:r>
      <w:r>
        <w:rPr>
          <w:rFonts w:ascii="Cambria Math" w:hAnsi="Cambria Math"/>
          <w:i/>
        </w:rPr>
        <w:t>C_{\text{raw}} \in [0, 100]</w:t>
      </w:r>
      <w:r>
        <w:t>:</w:t>
      </w:r>
    </w:p>
    <w:p>
      <w:r>
        <w:rPr>
          <w:rFonts w:ascii="Cambria Math" w:hAnsi="Cambria Math"/>
          <w:i/>
        </w:rPr>
      </w:r>
      <w:r>
        <w:t>C_{\text{raw}} = 100 \cdot \text{clip}\left(0.40 R_{\text{agree}} + 0.25 I_{\text{time}} + 0.20 F_{\text{cov}} - 0.15 P_{\text{contra}}, 0, 1\right) \tag{7}</w:t>
      </w:r>
      <w:r>
        <w:rPr>
          <w:rFonts w:ascii="Cambria Math" w:hAnsi="Cambria Math"/>
          <w:i/>
        </w:rPr>
      </w:r>
    </w:p>
    <w:p>
      <w:r>
        <w:t xml:space="preserve">The publisher's trust score </w:t>
      </w:r>
      <w:r>
        <w:rPr>
          <w:rFonts w:ascii="Cambria Math" w:hAnsi="Cambria Math"/>
          <w:i/>
        </w:rPr>
        <w:t>C_{\text{pub}}^{(t)}</w:t>
      </w:r>
      <w:r>
        <w:t xml:space="preserve"> is updated via Exponential Moving Average (EMA) smoothing (</w:t>
      </w:r>
      <w:r>
        <w:rPr>
          <w:rFonts w:ascii="Cambria Math" w:hAnsi="Cambria Math"/>
          <w:i/>
        </w:rPr>
        <w:t>\alpha = 0.20</w:t>
      </w:r>
      <w:r>
        <w:t xml:space="preserve">, baseline </w:t>
      </w:r>
      <w:r>
        <w:rPr>
          <w:rFonts w:ascii="Cambria Math" w:hAnsi="Cambria Math"/>
          <w:i/>
        </w:rPr>
        <w:t>C_{\text{pub}}^{(0)} = 85.0</w:t>
      </w:r>
      <w:r>
        <w:t>):</w:t>
      </w:r>
    </w:p>
    <w:p>
      <w:r>
        <w:rPr>
          <w:rFonts w:ascii="Cambria Math" w:hAnsi="Cambria Math"/>
          <w:i/>
        </w:rPr>
      </w:r>
      <w:r>
        <w:t>C_{\text{pub}}^{(t)} = 0.20 C_{\text{raw}} + 0.80 C_{\text{pub}}^{(t-1)} \tag{8}</w:t>
      </w:r>
      <w:r>
        <w:rPr>
          <w:rFonts w:ascii="Cambria Math" w:hAnsi="Cambria Math"/>
          <w:i/>
        </w:rPr>
      </w:r>
    </w:p>
    <w:p>
      <w:pPr>
        <w:spacing w:before="80" w:after="120"/>
        <w:ind w:left="360"/>
      </w:pPr>
      <w:r>
        <w:rPr>
          <w:rFonts w:ascii="Consolas" w:hAnsi="Consolas"/>
          <w:color w:val="1E1E1E"/>
          <w:sz w:val="17"/>
        </w:rPr>
        <w:t>Algorithm 2: DPCS Online Credibility Update</w:t>
        <w:br/>
        <w:t>Input: Publisher domain D, Outcome Metadata M (stance, timeOffset)</w:t>
        <w:br/>
        <w:t>Output: Updated Credibility Score C_pub(t) in [0, 100]</w:t>
        <w:br/>
        <w:t>1: Record R &lt;- getOrCreatePublisherRecord(D, baseline=85.0)</w:t>
        <w:br/>
        <w:t>2: updateDispatchCounts(R, M.stance)</w:t>
        <w:br/>
        <w:t>3: R_agree &lt;- (R.supporting + 0.5*R.neutral) / R.totalDispatches</w:t>
        <w:br/>
        <w:t>4: I_time  &lt;- max(0.0, 1.0 - (M.timeOffset / 48.0))</w:t>
        <w:br/>
        <w:t>5: F_cov   &lt;- min(1.0, R.totalDispatches / 20.0)</w:t>
        <w:br/>
        <w:t>6: P_contra&lt;- R.contradicting / R.totalDispatches</w:t>
        <w:br/>
        <w:t>7: C_raw   &lt;- 100.0 * clamp(0.40*R_agree + 0.25*I_time + 0.20*F_cov - 0.15*P_contra, 0.0, 1.0)</w:t>
        <w:br/>
        <w:t>8: C_pub   &lt;- 0.20 * C_raw + 0.80 * R.credibilityScore</w:t>
        <w:br/>
        <w:t>9: R.credibilityScore &lt;- C_pub</w:t>
        <w:br/>
        <w:t>10: return C_pub</w:t>
      </w:r>
    </w:p>
    <w:p>
      <w:r>
        <w:t xml:space="preserve">&gt; </w:t>
      </w:r>
      <w:r>
        <w:rPr>
          <w:b/>
        </w:rPr>
        <w:t>Implementation Note:</w:t>
      </w:r>
      <w:r>
        <w:t xml:space="preserve"> DPCS's trust-scaling gating multiplier (</w:t>
      </w:r>
      <w:r>
        <w:rPr>
          <w:rFonts w:ascii="Cambria Math" w:hAnsi="Cambria Math"/>
          <w:i/>
        </w:rPr>
        <w:t>S_{\text{EFSA+DPCS}} = S_{\text{EFSA}} \times [0.8 + 0.2 \cdot (C_{\text{pub}}/100)]</w:t>
      </w:r>
      <w:r>
        <w:t>) is fully implemented in code (</w:t>
      </w:r>
      <w:r>
        <w:rPr>
          <w:rFonts w:ascii="Consolas" w:hAnsi="Consolas"/>
          <w:color w:val="B42828"/>
          <w:sz w:val="19"/>
        </w:rPr>
        <w:t>backend/utils/dpcsEngine.js</w:t>
      </w:r>
      <w:r>
        <w:t xml:space="preserve">) and evaluated offline across benchmark operating points, but is </w:t>
      </w:r>
      <w:r>
        <w:rPr>
          <w:b/>
        </w:rPr>
        <w:t>not currently wired into the live production gate</w:t>
      </w:r>
      <w:r>
        <w:t>, which uses the canonical baseline two-stage filter.</w:t>
      </w:r>
    </w:p>
    <w:p>
      <w:pPr>
        <w:pStyle w:val="Heading3"/>
      </w:pPr>
      <w:r>
        <w:t>3.8 Corroboration Confidence Metric &amp; Publisher Divergence</w:t>
      </w:r>
    </w:p>
    <w:p>
      <w:r>
        <w:t xml:space="preserve">When </w:t>
      </w:r>
      <w:r>
        <w:rPr>
          <w:rFonts w:ascii="Cambria Math" w:hAnsi="Cambria Math"/>
          <w:i/>
        </w:rPr>
        <w:t>N</w:t>
      </w:r>
      <w:r>
        <w:t xml:space="preserve"> articles are linked to an event node, NISE calculates a deterministic corroboration confidence metric </w:t>
      </w:r>
      <w:r>
        <w:rPr>
          <w:rFonts w:ascii="Cambria Math" w:hAnsi="Cambria Math"/>
          <w:i/>
        </w:rPr>
        <w:t>C(N)</w:t>
      </w:r>
      <w:r>
        <w:t>:</w:t>
      </w:r>
    </w:p>
    <w:p>
      <w:r>
        <w:rPr>
          <w:rFonts w:ascii="Cambria Math" w:hAnsi="Cambria Math"/>
          <w:i/>
        </w:rPr>
      </w:r>
      <w:r>
        <w:t>C(N) = \begin{cases} 35\%, &amp; \text{if } N = 1 \quad \text{(Single-source unverified report)} \\ 65\%, &amp; \text{if } N = 2 \quad \text{(Dual-source corroborated event)} \\ 90\%, &amp; \text{if } N \ge 3 \quad \text{(Multi-source high-confidence consensus)} \end{cases} \tag{9}</w:t>
      </w:r>
      <w:r>
        <w:rPr>
          <w:rFonts w:ascii="Cambria Math" w:hAnsi="Cambria Math"/>
          <w:i/>
        </w:rPr>
      </w:r>
    </w:p>
    <w:p>
      <w:r>
        <w:t xml:space="preserve">The </w:t>
      </w:r>
      <w:r>
        <w:rPr>
          <w:rFonts w:ascii="Consolas" w:hAnsi="Consolas"/>
          <w:color w:val="B42828"/>
          <w:sz w:val="19"/>
        </w:rPr>
        <w:t>detectStancesAndDivergence()</w:t>
      </w:r>
      <w:r>
        <w:t xml:space="preserve"> module evaluates multi-source clusters, classifying each publisher's stance (</w:t>
      </w:r>
      <w:r>
        <w:rPr>
          <w:rFonts w:ascii="Consolas" w:hAnsi="Consolas"/>
          <w:color w:val="B42828"/>
          <w:sz w:val="19"/>
        </w:rPr>
        <w:t>Supporting</w:t>
      </w:r>
      <w:r>
        <w:t xml:space="preserve">, </w:t>
      </w:r>
      <w:r>
        <w:rPr>
          <w:rFonts w:ascii="Consolas" w:hAnsi="Consolas"/>
          <w:color w:val="B42828"/>
          <w:sz w:val="19"/>
        </w:rPr>
        <w:t>Contradicting</w:t>
      </w:r>
      <w:r>
        <w:t xml:space="preserve">, or </w:t>
      </w:r>
      <w:r>
        <w:rPr>
          <w:rFonts w:ascii="Consolas" w:hAnsi="Consolas"/>
          <w:color w:val="B42828"/>
          <w:sz w:val="19"/>
        </w:rPr>
        <w:t>Neutral</w:t>
      </w:r>
      <w:r>
        <w:t xml:space="preserve">). The quantitative </w:t>
      </w:r>
      <w:r>
        <w:rPr>
          <w:b/>
        </w:rPr>
        <w:t>Publisher Divergence Score</w:t>
      </w:r>
      <w:r>
        <w:t xml:space="preserve"> (</w:t>
      </w:r>
      <w:r>
        <w:rPr>
          <w:rFonts w:ascii="Cambria Math" w:hAnsi="Cambria Math"/>
          <w:i/>
        </w:rPr>
        <w:t>D</w:t>
      </w:r>
      <w:r>
        <w:t>) is computed as:</w:t>
      </w:r>
    </w:p>
    <w:p>
      <w:r>
        <w:rPr>
          <w:rFonts w:ascii="Cambria Math" w:hAnsi="Cambria Math"/>
          <w:i/>
        </w:rPr>
      </w:r>
      <w:r>
        <w:t>D = \left( \frac{N_{\text{contradicting}}}{N_{\text{total}}} \right) \times 100\% \tag{10}</w:t>
      </w:r>
      <w:r>
        <w:rPr>
          <w:rFonts w:ascii="Cambria Math" w:hAnsi="Cambria Math"/>
          <w:i/>
        </w:rPr>
      </w:r>
    </w:p>
    <w:p>
      <w:r>
        <w:t xml:space="preserve">where </w:t>
      </w:r>
      <w:r>
        <w:rPr>
          <w:rFonts w:ascii="Cambria Math" w:hAnsi="Cambria Math"/>
          <w:i/>
        </w:rPr>
        <w:t>D \in [0, 100]</w:t>
      </w:r>
      <w:r>
        <w:t xml:space="preserve">. A score of </w:t>
      </w:r>
      <w:r>
        <w:rPr>
          <w:rFonts w:ascii="Cambria Math" w:hAnsi="Cambria Math"/>
          <w:i/>
        </w:rPr>
        <w:t>D = 0\%</w:t>
      </w:r>
      <w:r>
        <w:t xml:space="preserve"> indicates full publisher alignment, while higher values alert readers to major editorial disagreement.</w:t>
      </w:r>
    </w:p>
    <w:p>
      <w:pPr>
        <w:pStyle w:val="Heading3"/>
      </w:pPr>
      <w:r>
        <w:t>3.9 Iterative Hallucination Guardrail Reflection Loop</w:t>
      </w:r>
    </w:p>
    <w:p>
      <w:r>
        <w:t xml:space="preserve">Large language models frequently suffer from hallucinations—generating fabricated statistics, unsupported named entities, or ungrounded causal claims [10], [11]. To eliminate AI hallucinations in fused summaries, </w:t>
      </w:r>
      <w:r>
        <w:rPr>
          <w:rFonts w:ascii="Consolas" w:hAnsi="Consolas"/>
          <w:color w:val="B42828"/>
          <w:sz w:val="19"/>
        </w:rPr>
        <w:t>verifyFactualityAndReflect()</w:t>
      </w:r>
      <w:r>
        <w:t xml:space="preserve"> executes a two-pass verification loop:</w:t>
      </w:r>
    </w:p>
    <w:p>
      <w:pPr>
        <w:pStyle w:val="ListNumber"/>
      </w:pPr>
      <w:r>
        <w:rPr>
          <w:b/>
        </w:rPr>
        <w:t>Pass 1 (Factuality Audit):</w:t>
      </w:r>
      <w:r>
        <w:t xml:space="preserve"> The agent audits the fused summary against raw source snippets for three specific defects: fabricated numbers, unsupported named entities, or unverified causal claims.</w:t>
      </w:r>
    </w:p>
    <w:p>
      <w:pPr>
        <w:pStyle w:val="ListNumber"/>
      </w:pPr>
      <w:r>
        <w:rPr>
          <w:b/>
        </w:rPr>
        <w:t>Pass 2 (Reflection Re-Generation):</w:t>
      </w:r>
      <w:r>
        <w:t xml:space="preserve"> If Pass 1 fails (</w:t>
      </w:r>
      <w:r>
        <w:rPr>
          <w:rFonts w:ascii="Consolas" w:hAnsi="Consolas"/>
          <w:color w:val="B42828"/>
          <w:sz w:val="19"/>
        </w:rPr>
        <w:t>passed = false</w:t>
      </w:r>
      <w:r>
        <w:t xml:space="preserve">), the system injects the specific </w:t>
      </w:r>
      <w:r>
        <w:rPr>
          <w:rFonts w:ascii="Consolas" w:hAnsi="Consolas"/>
          <w:color w:val="B42828"/>
          <w:sz w:val="19"/>
        </w:rPr>
        <w:t>correction_needed</w:t>
      </w:r>
      <w:r>
        <w:t xml:space="preserve"> feedback into a self-correcting prompt, forcing Llama 3 to re-synthesize a compliant summary before saving.</w:t>
      </w:r>
    </w:p>
    <w:p>
      <w:r>
        <w:t xml:space="preserve">This two-pass audit-then-regenerate feedback design draws on the Reflexion paradigm (Shinn et al. [12]), using verbal reinforcement feedback to self-correct non-compliant generations. Audit results are logged in the event's </w:t>
      </w:r>
      <w:r>
        <w:rPr>
          <w:rFonts w:ascii="Consolas" w:hAnsi="Consolas"/>
          <w:color w:val="B42828"/>
          <w:sz w:val="19"/>
        </w:rPr>
        <w:t>reflection_logs</w:t>
      </w:r>
      <w:r>
        <w:t xml:space="preserve"> array, setting </w:t>
      </w:r>
      <w:r>
        <w:rPr>
          <w:rFonts w:ascii="Consolas" w:hAnsi="Consolas"/>
          <w:color w:val="B42828"/>
          <w:sz w:val="19"/>
        </w:rPr>
        <w:t>factuality_verified = true</w:t>
      </w:r>
      <w:r>
        <w:t>.</w:t>
      </w:r>
    </w:p>
    <w:p>
      <w:pPr>
        <w:pStyle w:val="Heading3"/>
      </w:pPr>
      <w:r>
        <w:t>3.10 Autonomous Webhook Broadcasting &amp; Self-Healing Engine</w:t>
      </w:r>
    </w:p>
    <w:p>
      <w:r>
        <w:rPr>
          <w:rFonts w:ascii="Consolas" w:hAnsi="Consolas"/>
          <w:color w:val="B42828"/>
          <w:sz w:val="19"/>
        </w:rPr>
        <w:t>socialBroadcast.js</w:t>
      </w:r>
      <w:r>
        <w:t xml:space="preserve"> dispatches standardized JSON payloads (</w:t>
      </w:r>
      <w:r>
        <w:rPr>
          <w:rFonts w:ascii="Consolas" w:hAnsi="Consolas"/>
          <w:color w:val="B42828"/>
          <w:sz w:val="19"/>
        </w:rPr>
        <w:t>event: 'NEW_ARTICLE_BROADCAST'</w:t>
      </w:r>
      <w:r>
        <w:t>) to external automation receivers (Make.com, Zapier, n8n, Discord, Telegram), implementing a production-grade webhook syndication pattern for automated content delivery.</w:t>
      </w:r>
    </w:p>
    <w:p>
      <w:pPr>
        <w:pStyle w:val="Heading4"/>
      </w:pPr>
      <w:r>
        <w:t>Smart-Queue Staggered Drip-Feeding</w:t>
      </w:r>
    </w:p>
    <w:p>
      <w:r>
        <w:t xml:space="preserve">Batch dispatches are assigned staggered </w:t>
      </w:r>
      <w:r>
        <w:rPr>
          <w:rFonts w:ascii="Consolas" w:hAnsi="Consolas"/>
          <w:color w:val="B42828"/>
          <w:sz w:val="19"/>
        </w:rPr>
        <w:t>scheduled_broadcast_time</w:t>
      </w:r>
      <w:r>
        <w:t xml:space="preserve"> timestamps offset by 1-hour gaps (</w:t>
      </w:r>
      <w:r>
        <w:rPr>
          <w:rFonts w:ascii="Cambria Math" w:hAnsi="Cambria Math"/>
          <w:i/>
        </w:rPr>
        <w:t>T_i = T_0 + i \times 3600000\text{ ms}</w:t>
      </w:r>
      <w:r>
        <w:t>), preventing social platform rate limits.</w:t>
      </w:r>
    </w:p>
    <w:p>
      <w:pPr>
        <w:pStyle w:val="Heading4"/>
      </w:pPr>
      <w:r>
        <w:t>Webhook Self-Healing Retry Logic</w:t>
      </w:r>
    </w:p>
    <w:p>
      <w:r>
        <w:t xml:space="preserve">If a dispatch fails, the engine catches the exception, increments </w:t>
      </w:r>
      <w:r>
        <w:rPr>
          <w:rFonts w:ascii="Consolas" w:hAnsi="Consolas"/>
          <w:color w:val="B42828"/>
          <w:sz w:val="19"/>
        </w:rPr>
        <w:t>retry_count</w:t>
      </w:r>
      <w:r>
        <w:t>, and reschedules execution 15 minutes into the future (</w:t>
      </w:r>
      <w:r>
        <w:rPr>
          <w:rFonts w:ascii="Cambria Math" w:hAnsi="Cambria Math"/>
          <w:i/>
        </w:rPr>
        <w:t>T_{\text{retry}} = T_{\text{failure}} + 15\text{ minutes}</w:t>
      </w:r>
      <w:r>
        <w:t xml:space="preserve">). If </w:t>
      </w:r>
      <w:r>
        <w:rPr>
          <w:rFonts w:ascii="Consolas" w:hAnsi="Consolas"/>
          <w:color w:val="B42828"/>
          <w:sz w:val="19"/>
        </w:rPr>
        <w:t>retry_count</w:t>
      </w:r>
      <w:r>
        <w:t xml:space="preserve"> reaches 3 without success, </w:t>
      </w:r>
      <w:r>
        <w:rPr>
          <w:rFonts w:ascii="Consolas" w:hAnsi="Consolas"/>
          <w:color w:val="B42828"/>
          <w:sz w:val="19"/>
        </w:rPr>
        <w:t>broadcast_status</w:t>
      </w:r>
      <w:r>
        <w:t xml:space="preserve"> transitions to </w:t>
      </w:r>
      <w:r>
        <w:rPr>
          <w:rFonts w:ascii="Consolas" w:hAnsi="Consolas"/>
          <w:color w:val="B42828"/>
          <w:sz w:val="19"/>
        </w:rPr>
        <w:t>'failed'</w:t>
      </w:r>
      <w:r>
        <w:t>, logging the exact error trace (</w:t>
      </w:r>
      <w:r>
        <w:rPr>
          <w:rFonts w:ascii="Consolas" w:hAnsi="Consolas"/>
          <w:color w:val="B42828"/>
          <w:sz w:val="19"/>
        </w:rPr>
        <w:t>broadcast_error</w:t>
      </w:r>
      <w:r>
        <w:t>).</w:t>
      </w:r>
    </w:p>
    <w:p>
      <w:pPr>
        <w:pStyle w:val="Heading4"/>
      </w:pPr>
      <w:r>
        <w:t>Broadcast Idempotency Lock</w:t>
      </w:r>
    </w:p>
    <w:p>
      <w:r>
        <w:t xml:space="preserve">Before dispatching, the engine validates </w:t>
      </w:r>
      <w:r>
        <w:rPr>
          <w:rFonts w:ascii="Consolas" w:hAnsi="Consolas"/>
          <w:color w:val="B42828"/>
          <w:sz w:val="19"/>
        </w:rPr>
        <w:t>broadcast_status === 'pending'</w:t>
      </w:r>
      <w:r>
        <w:t xml:space="preserve">. Dispatches with status </w:t>
      </w:r>
      <w:r>
        <w:rPr>
          <w:rFonts w:ascii="Consolas" w:hAnsi="Consolas"/>
          <w:color w:val="B42828"/>
          <w:sz w:val="19"/>
        </w:rPr>
        <w:t>'broadcasted'</w:t>
      </w:r>
      <w:r>
        <w:t xml:space="preserve"> are skipped unless explicitly overridden by a manual user trigger (</w:t>
      </w:r>
      <w:r>
        <w:rPr>
          <w:rFonts w:ascii="Consolas" w:hAnsi="Consolas"/>
          <w:color w:val="B42828"/>
          <w:sz w:val="19"/>
        </w:rPr>
        <w:t>{ force: true }</w:t>
      </w:r>
      <w:r>
        <w:t>).</w:t>
      </w:r>
    </w:p>
    <w:p>
      <w:pPr>
        <w:pStyle w:val="Heading3"/>
      </w:pPr>
      <w:r>
        <w:t>3.11 Evergreen Content Recirculation Engine (</w:t>
      </w:r>
      <w:r>
        <w:rPr>
          <w:rFonts w:ascii="Consolas" w:hAnsi="Consolas"/>
          <w:color w:val="B42828"/>
          <w:sz w:val="19"/>
        </w:rPr>
        <w:t>recirculateEngine.js</w:t>
      </w:r>
      <w:r>
        <w:t>)</w:t>
      </w:r>
    </w:p>
    <w:p>
      <w:r>
        <w:t xml:space="preserve">To maintain feed engagement during low wire activity, </w:t>
      </w:r>
      <w:r>
        <w:rPr>
          <w:rFonts w:ascii="Consolas" w:hAnsi="Consolas"/>
          <w:color w:val="B42828"/>
          <w:sz w:val="19"/>
        </w:rPr>
        <w:t>recirculateEvergreenArticles()</w:t>
      </w:r>
      <w:r>
        <w:t xml:space="preserve"> is scheduled via a daily </w:t>
      </w:r>
      <w:r>
        <w:rPr>
          <w:rFonts w:ascii="Consolas" w:hAnsi="Consolas"/>
          <w:color w:val="B42828"/>
          <w:sz w:val="19"/>
        </w:rPr>
        <w:t>node-cron</w:t>
      </w:r>
      <w:r>
        <w:t xml:space="preserve"> background job (</w:t>
      </w:r>
      <w:r>
        <w:rPr>
          <w:rFonts w:ascii="Consolas" w:hAnsi="Consolas"/>
          <w:color w:val="B42828"/>
          <w:sz w:val="19"/>
        </w:rPr>
        <w:t>0 12 * * *</w:t>
      </w:r>
      <w:r>
        <w:t xml:space="preserve"> at 12:00 PM UTC) to scan MongoDB for high-confidence articles linked to events with </w:t>
      </w:r>
      <w:r>
        <w:rPr>
          <w:rFonts w:ascii="Cambria Math" w:hAnsi="Cambria Math"/>
          <w:i/>
        </w:rPr>
        <w:t>C(N) \ge 90\%</w:t>
      </w:r>
      <w:r>
        <w:t xml:space="preserve"> created </w:t>
      </w:r>
      <w:r>
        <w:rPr>
          <w:rFonts w:ascii="Cambria Math" w:hAnsi="Cambria Math"/>
          <w:i/>
        </w:rPr>
        <w:t>&gt;48</w:t>
      </w:r>
      <w:r>
        <w:t xml:space="preserve"> hours ago that have not been recirculated (</w:t>
      </w:r>
      <w:r>
        <w:rPr>
          <w:rFonts w:ascii="Consolas" w:hAnsi="Consolas"/>
          <w:color w:val="B42828"/>
          <w:sz w:val="19"/>
        </w:rPr>
        <w:t>is_recirculated !== true</w:t>
      </w:r>
      <w:r>
        <w:t xml:space="preserve">). It prepends </w:t>
      </w:r>
      <w:r>
        <w:rPr>
          <w:rFonts w:ascii="Consolas" w:hAnsi="Consolas"/>
          <w:color w:val="B42828"/>
          <w:sz w:val="19"/>
        </w:rPr>
        <w:t>"ICYMI: "</w:t>
      </w:r>
      <w:r>
        <w:t xml:space="preserve"> </w:t>
      </w:r>
      <w:r>
        <w:rPr>
          <w:i/>
        </w:rPr>
        <w:t>(In Case You Missed It)</w:t>
      </w:r>
      <w:r>
        <w:t xml:space="preserve"> to the caption, sets </w:t>
      </w:r>
      <w:r>
        <w:rPr>
          <w:rFonts w:ascii="Consolas" w:hAnsi="Consolas"/>
          <w:color w:val="B42828"/>
          <w:sz w:val="19"/>
        </w:rPr>
        <w:t>is_recirculated = true</w:t>
      </w:r>
      <w:r>
        <w:t>, and safely re-queues a single article instance through the drip queue, guaranteeing zero spam risk.</w:t>
      </w:r>
    </w:p>
    <w:p>
      <w:pPr>
        <w:jc w:val="center"/>
      </w:pPr>
      <w:r>
        <w:rPr>
          <w:color w:val="969696"/>
        </w:rPr>
        <w:t>─────── ❖ ───────</w:t>
      </w:r>
    </w:p>
    <w:p>
      <w:pPr>
        <w:pStyle w:val="Heading2"/>
      </w:pPr>
      <w:r>
        <w:t>IV. IMPLEMENTATION</w:t>
      </w:r>
    </w:p>
    <w:p>
      <w:pPr>
        <w:pStyle w:val="Heading3"/>
      </w:pPr>
      <w:r>
        <w:t>4.1 Implementation Overview</w:t>
      </w:r>
    </w:p>
    <w:p>
      <w:r>
        <w:t>NISE is implemented as a decoupled client-server system realizing the methodology of Section III as a modular, independently-deployable pipeline organized across five architectural layers.</w:t>
      </w:r>
    </w:p>
    <w:p>
      <w:pPr>
        <w:pStyle w:val="Heading3"/>
      </w:pPr>
      <w:r>
        <w:t>4.2 Development Environment</w:t>
      </w:r>
    </w:p>
    <w:p>
      <w:r>
        <w:rPr>
          <w:b/>
        </w:rPr>
        <w:t>TABLE II: DEVELOPMENT ENVIRONMENT &amp;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Component</w:t>
            </w:r>
          </w:p>
        </w:tc>
        <w:tc>
          <w:tcPr>
            <w:tcW w:type="dxa" w:w="3120"/>
            <w:shd w:fill="F0F4F8"/>
          </w:tcPr>
          <w:p>
            <w:pPr>
              <w:spacing w:before="60" w:after="60"/>
            </w:pPr>
            <w:r>
              <w:rPr>
                <w:b/>
              </w:rPr>
            </w:r>
            <w:r>
              <w:rPr>
                <w:b/>
              </w:rPr>
              <w:t>Technology</w:t>
            </w:r>
          </w:p>
        </w:tc>
        <w:tc>
          <w:tcPr>
            <w:tcW w:type="dxa" w:w="3120"/>
            <w:shd w:fill="F0F4F8"/>
          </w:tcPr>
          <w:p>
            <w:pPr>
              <w:spacing w:before="60" w:after="60"/>
            </w:pPr>
            <w:r>
              <w:rPr>
                <w:b/>
              </w:rPr>
            </w:r>
            <w:r>
              <w:rPr>
                <w:b/>
              </w:rPr>
              <w:t>Justification</w:t>
            </w:r>
          </w:p>
        </w:tc>
      </w:tr>
      <w:tr>
        <w:tc>
          <w:tcPr>
            <w:tcW w:type="dxa" w:w="3120"/>
          </w:tcPr>
          <w:p>
            <w:pPr>
              <w:spacing w:before="60" w:after="60"/>
            </w:pPr>
            <w:r/>
            <w:r>
              <w:t>Backend Runtime</w:t>
            </w:r>
          </w:p>
        </w:tc>
        <w:tc>
          <w:tcPr>
            <w:tcW w:type="dxa" w:w="3120"/>
          </w:tcPr>
          <w:p>
            <w:pPr>
              <w:spacing w:before="60" w:after="60"/>
            </w:pPr>
            <w:r/>
            <w:r>
              <w:t>Node.js, Express 5</w:t>
            </w:r>
          </w:p>
        </w:tc>
        <w:tc>
          <w:tcPr>
            <w:tcW w:type="dxa" w:w="3120"/>
          </w:tcPr>
          <w:p>
            <w:pPr>
              <w:spacing w:before="60" w:after="60"/>
            </w:pPr>
            <w:r/>
            <w:r>
              <w:t>Non-blocking I/O suited to a pipeline dominated by network-bound operations (RSS fetches, LLM calls, webhook dispatches) rather than CPU-bound computation</w:t>
            </w:r>
          </w:p>
        </w:tc>
      </w:tr>
      <w:tr>
        <w:tc>
          <w:tcPr>
            <w:tcW w:type="dxa" w:w="3120"/>
          </w:tcPr>
          <w:p>
            <w:pPr>
              <w:spacing w:before="60" w:after="60"/>
            </w:pPr>
            <w:r/>
            <w:r>
              <w:t>Persistence</w:t>
            </w:r>
          </w:p>
        </w:tc>
        <w:tc>
          <w:tcPr>
            <w:tcW w:type="dxa" w:w="3120"/>
          </w:tcPr>
          <w:p>
            <w:pPr>
              <w:spacing w:before="60" w:after="60"/>
            </w:pPr>
            <w:r/>
            <w:r>
              <w:t>MongoDB Atlas, Mongoose 9</w:t>
            </w:r>
          </w:p>
        </w:tc>
        <w:tc>
          <w:tcPr>
            <w:tcW w:type="dxa" w:w="3120"/>
          </w:tcPr>
          <w:p>
            <w:pPr>
              <w:spacing w:before="60" w:after="60"/>
            </w:pPr>
            <w:r/>
            <w:r>
              <w:t>Document model accommodates event records whose structure varies with corroboration count and evolving metadata, avoiding frequent schema migration</w:t>
            </w:r>
          </w:p>
        </w:tc>
      </w:tr>
      <w:tr>
        <w:tc>
          <w:tcPr>
            <w:tcW w:type="dxa" w:w="3120"/>
          </w:tcPr>
          <w:p>
            <w:pPr>
              <w:spacing w:before="60" w:after="60"/>
            </w:pPr>
            <w:r/>
            <w:r>
              <w:t>LLM Inference</w:t>
            </w:r>
          </w:p>
        </w:tc>
        <w:tc>
          <w:tcPr>
            <w:tcW w:type="dxa" w:w="3120"/>
          </w:tcPr>
          <w:p>
            <w:pPr>
              <w:spacing w:before="60" w:after="60"/>
            </w:pPr>
            <w:r/>
            <w:r>
              <w:t xml:space="preserve">Groq SDK, </w:t>
            </w:r>
            <w:r>
              <w:rPr>
                <w:rFonts w:ascii="Consolas" w:hAnsi="Consolas"/>
                <w:color w:val="B42828"/>
                <w:sz w:val="19"/>
              </w:rPr>
              <w:t>llama-3.1-8b-instant</w:t>
            </w:r>
          </w:p>
        </w:tc>
        <w:tc>
          <w:tcPr>
            <w:tcW w:type="dxa" w:w="3120"/>
          </w:tcPr>
          <w:p>
            <w:pPr>
              <w:spacing w:before="60" w:after="60"/>
            </w:pPr>
            <w:r/>
            <w:r>
              <w:t>Open-weight model on dedicated inference hardware, avoiding proprietary per-token cost and rate-limit constraints encountered during development (Section 4.9)</w:t>
            </w:r>
          </w:p>
        </w:tc>
      </w:tr>
      <w:tr>
        <w:tc>
          <w:tcPr>
            <w:tcW w:type="dxa" w:w="3120"/>
          </w:tcPr>
          <w:p>
            <w:pPr>
              <w:spacing w:before="60" w:after="60"/>
            </w:pPr>
            <w:r/>
            <w:r>
              <w:t>Scheduling</w:t>
            </w:r>
          </w:p>
        </w:tc>
        <w:tc>
          <w:tcPr>
            <w:tcW w:type="dxa" w:w="3120"/>
          </w:tcPr>
          <w:p>
            <w:pPr>
              <w:spacing w:before="60" w:after="60"/>
            </w:pPr>
            <w:r/>
            <w:r>
              <w:t>node-cron</w:t>
            </w:r>
          </w:p>
        </w:tc>
        <w:tc>
          <w:tcPr>
            <w:tcW w:type="dxa" w:w="3120"/>
          </w:tcPr>
          <w:p>
            <w:pPr>
              <w:spacing w:before="60" w:after="60"/>
            </w:pPr>
            <w:r/>
            <w:r>
              <w:t>Lightweight in-process scheduling without external job-queue infrastructure</w:t>
            </w:r>
          </w:p>
        </w:tc>
      </w:tr>
      <w:tr>
        <w:tc>
          <w:tcPr>
            <w:tcW w:type="dxa" w:w="3120"/>
          </w:tcPr>
          <w:p>
            <w:pPr>
              <w:spacing w:before="60" w:after="60"/>
            </w:pPr>
            <w:r/>
            <w:r>
              <w:t>Frontend</w:t>
            </w:r>
          </w:p>
        </w:tc>
        <w:tc>
          <w:tcPr>
            <w:tcW w:type="dxa" w:w="3120"/>
          </w:tcPr>
          <w:p>
            <w:pPr>
              <w:spacing w:before="60" w:after="60"/>
            </w:pPr>
            <w:r/>
            <w:r>
              <w:t>React 19, Vite 8, Tailwind CSS 4</w:t>
            </w:r>
          </w:p>
        </w:tc>
        <w:tc>
          <w:tcPr>
            <w:tcW w:type="dxa" w:w="3120"/>
          </w:tcPr>
          <w:p>
            <w:pPr>
              <w:spacing w:before="60" w:after="60"/>
            </w:pPr>
            <w:r/>
            <w:r>
              <w:t>Component-based presentation layer with fast development iteration</w:t>
            </w:r>
          </w:p>
        </w:tc>
      </w:tr>
    </w:tbl>
    <w:p/>
    <w:p>
      <w:pPr>
        <w:pStyle w:val="Heading3"/>
      </w:pPr>
      <w:r>
        <w:t>4.3 Software Architecture</w:t>
      </w:r>
    </w:p>
    <w:p>
      <w:pPr>
        <w:spacing w:before="80" w:after="120"/>
        <w:ind w:left="360"/>
      </w:pPr>
      <w:r>
        <w:rPr>
          <w:rFonts w:ascii="Consolas" w:hAnsi="Consolas"/>
          <w:color w:val="1E1E1E"/>
          <w:sz w:val="17"/>
        </w:rPr>
        <w:t xml:space="preserve">        ┌─────────────────────────────┐</w:t>
        <w:br/>
        <w:t xml:space="preserve">        │   Presentation Layer        │  Dashboard, operator console</w:t>
        <w:br/>
        <w:t xml:space="preserve">        └──────────────┬──────────────┘</w:t>
        <w:br/>
        <w:t xml:space="preserve">                        │ REST (JSON)</w:t>
        <w:br/>
        <w:t xml:space="preserve">        ┌──────────────▼──────────────┐</w:t>
        <w:br/>
        <w:t xml:space="preserve">        │   API Layer                 │  Article API, Event API, Distribution API, Health API</w:t>
        <w:br/>
        <w:t xml:space="preserve">        └──────────────┬──────────────┘</w:t>
        <w:br/>
        <w:t xml:space="preserve">                        │</w:t>
        <w:br/>
        <w:t xml:space="preserve">        ┌──────────────▼──────────────┐</w:t>
        <w:br/>
        <w:t xml:space="preserve">        │   Job Orchestration Layer   │  Ingestion, clustering, recirculation jobs</w:t>
        <w:br/>
        <w:t xml:space="preserve">        └──────────────┬──────────────┘</w:t>
        <w:br/>
        <w:t xml:space="preserve">                        │</w:t>
        <w:br/>
        <w:t xml:space="preserve">        ┌──────────────▼──────────────┐</w:t>
        <w:br/>
        <w:t xml:space="preserve">        │   Algorithmic Utility Layer │  Similarity, EFSA, DPCS, JSON repair</w:t>
        <w:br/>
        <w:t xml:space="preserve">        └──────────────┬──────────────┘</w:t>
        <w:br/>
        <w:t xml:space="preserve">                        │</w:t>
        <w:br/>
        <w:t xml:space="preserve">        ┌──────────────▼──────────────┐</w:t>
        <w:br/>
        <w:t xml:space="preserve">        │   Data Layer                │  Schemas, MongoDB Atlas</w:t>
        <w:br/>
        <w:t xml:space="preserve">        └─────────────────────────────┘</w:t>
      </w:r>
    </w:p>
    <w:p>
      <w:r>
        <w:rPr>
          <w:i/>
        </w:rPr>
        <w:t>Figure 2: Five-Layer Backend Software Subsystem Architecture.</w:t>
      </w:r>
    </w:p>
    <w:p>
      <w:r>
        <w:t>This layered separation isolates similarity computation as a shared, independently-testable utility layer consumed identically by both the production gate and the offline evaluation harness, ensuring architectural consistency between deployed and evaluated behavior.</w:t>
      </w:r>
    </w:p>
    <w:p>
      <w:pPr>
        <w:pStyle w:val="Heading3"/>
      </w:pPr>
      <w:r>
        <w:t>4.4 Module Implementation</w:t>
      </w:r>
    </w:p>
    <w:p>
      <w:r>
        <w:rPr>
          <w:b/>
        </w:rPr>
        <w:t>Event Clustering Engine</w:t>
      </w:r>
    </w:p>
    <w:p>
      <w:pPr>
        <w:pStyle w:val="ListBullet"/>
      </w:pPr>
      <w:r>
        <w:rPr>
          <w:i/>
        </w:rPr>
        <w:t>Purpose:</w:t>
      </w:r>
      <w:r>
        <w:t xml:space="preserve"> Determines whether an incoming article corresponds to an existing event cluster or should seed a new one.</w:t>
      </w:r>
    </w:p>
    <w:p>
      <w:pPr>
        <w:pStyle w:val="ListBullet"/>
      </w:pPr>
      <w:r>
        <w:rPr>
          <w:i/>
        </w:rPr>
        <w:t>Input:</w:t>
      </w:r>
      <w:r>
        <w:t xml:space="preserve"> A newly ingested article and the set of candidate events within a 48-hour temporal window.</w:t>
      </w:r>
    </w:p>
    <w:p>
      <w:pPr>
        <w:pStyle w:val="ListBullet"/>
      </w:pPr>
      <w:r>
        <w:rPr>
          <w:i/>
        </w:rPr>
        <w:t>Processing:</w:t>
      </w:r>
      <w:r>
        <w:t xml:space="preserve"> Executes the Stage 1 lexical/fusion gate (Section 3.5–3.6), escalates qualifying candidates to LLM verification (Section 3.5), and on a positive match, invokes evidence fusion, stance detection, and the hallucination reflection loop.</w:t>
      </w:r>
    </w:p>
    <w:p>
      <w:pPr>
        <w:pStyle w:val="ListBullet"/>
      </w:pPr>
      <w:r>
        <w:rPr>
          <w:i/>
        </w:rPr>
        <w:t>Output:</w:t>
      </w:r>
      <w:r>
        <w:t xml:space="preserve"> Either an updated event cluster with an appended source article, or a newly created event record.</w:t>
      </w:r>
    </w:p>
    <w:p>
      <w:r>
        <w:rPr>
          <w:b/>
        </w:rPr>
        <w:t>Publisher Credibility Engine</w:t>
      </w:r>
    </w:p>
    <w:p>
      <w:pPr>
        <w:pStyle w:val="ListBullet"/>
      </w:pPr>
      <w:r>
        <w:rPr>
          <w:i/>
        </w:rPr>
        <w:t>Purpose:</w:t>
      </w:r>
      <w:r>
        <w:t xml:space="preserve"> Maintains an evolving trust record per publisher domain.</w:t>
      </w:r>
    </w:p>
    <w:p>
      <w:pPr>
        <w:pStyle w:val="ListBullet"/>
      </w:pPr>
      <w:r>
        <w:rPr>
          <w:i/>
        </w:rPr>
        <w:t>Input:</w:t>
      </w:r>
      <w:r>
        <w:t xml:space="preserve"> A verification outcome (stance classification, time offset from first report) for a given publisher.</w:t>
      </w:r>
    </w:p>
    <w:p>
      <w:pPr>
        <w:pStyle w:val="ListBullet"/>
      </w:pPr>
      <w:r>
        <w:rPr>
          <w:i/>
        </w:rPr>
        <w:t>Processing:</w:t>
      </w:r>
      <w:r>
        <w:t xml:space="preserve"> Computes the four-component composite score and applies EMA smoothing (Eqs. 6–8).</w:t>
      </w:r>
    </w:p>
    <w:p>
      <w:pPr>
        <w:pStyle w:val="ListBullet"/>
      </w:pPr>
      <w:r>
        <w:rPr>
          <w:i/>
        </w:rPr>
        <w:t>Output:</w:t>
      </w:r>
      <w:r>
        <w:t xml:space="preserve"> An updated scalar credibility score, persisted for future gating evaluation.</w:t>
      </w:r>
    </w:p>
    <w:p>
      <w:r>
        <w:rPr>
          <w:b/>
        </w:rPr>
        <w:t>Autonomous Distribution Engine</w:t>
      </w:r>
    </w:p>
    <w:p>
      <w:pPr>
        <w:pStyle w:val="ListBullet"/>
      </w:pPr>
      <w:r>
        <w:rPr>
          <w:i/>
        </w:rPr>
        <w:t>Purpose:</w:t>
      </w:r>
      <w:r>
        <w:t xml:space="preserve"> Dispatches synthesized events to external distribution channels.</w:t>
      </w:r>
    </w:p>
    <w:p>
      <w:pPr>
        <w:pStyle w:val="ListBullet"/>
      </w:pPr>
      <w:r>
        <w:rPr>
          <w:i/>
        </w:rPr>
        <w:t>Input:</w:t>
      </w:r>
      <w:r>
        <w:t xml:space="preserve"> A verified, synthesized event record marked pending broadcast.</w:t>
      </w:r>
    </w:p>
    <w:p>
      <w:pPr>
        <w:pStyle w:val="ListBullet"/>
      </w:pPr>
      <w:r>
        <w:rPr>
          <w:i/>
        </w:rPr>
        <w:t>Processing:</w:t>
      </w:r>
      <w:r>
        <w:t xml:space="preserve"> Constructs a standardized JSON payload, applies staggered scheduling, and dispatches via HTTP POST to a configurable webhook endpoint.</w:t>
      </w:r>
    </w:p>
    <w:p>
      <w:pPr>
        <w:pStyle w:val="ListBullet"/>
      </w:pPr>
      <w:r>
        <w:rPr>
          <w:i/>
        </w:rPr>
        <w:t>Output:</w:t>
      </w:r>
      <w:r>
        <w:t xml:space="preserve"> An updated broadcast status (broadcasted or failed, with retry tracking).</w:t>
      </w:r>
    </w:p>
    <w:p>
      <w:r>
        <w:rPr>
          <w:b/>
        </w:rPr>
        <w:t>Evergreen Recirculation Engine</w:t>
      </w:r>
    </w:p>
    <w:p>
      <w:pPr>
        <w:pStyle w:val="ListBullet"/>
      </w:pPr>
      <w:r>
        <w:rPr>
          <w:i/>
        </w:rPr>
        <w:t>Purpose:</w:t>
      </w:r>
      <w:r>
        <w:t xml:space="preserve"> Re-surfaces high-confidence events during periods of low wire activity.</w:t>
      </w:r>
    </w:p>
    <w:p>
      <w:pPr>
        <w:pStyle w:val="ListBullet"/>
      </w:pPr>
      <w:r>
        <w:rPr>
          <w:i/>
        </w:rPr>
        <w:t>Input:</w:t>
      </w:r>
      <w:r>
        <w:t xml:space="preserve"> Events with corroboration confidence </w:t>
      </w:r>
      <w:r>
        <w:rPr>
          <w:rFonts w:ascii="Cambria Math" w:hAnsi="Cambria Math"/>
          <w:i/>
        </w:rPr>
        <w:t>\ge 90\%</w:t>
      </w:r>
      <w:r>
        <w:t>, created more than 48 hours prior.</w:t>
      </w:r>
    </w:p>
    <w:p>
      <w:pPr>
        <w:pStyle w:val="ListBullet"/>
      </w:pPr>
      <w:r>
        <w:rPr>
          <w:i/>
        </w:rPr>
        <w:t>Processing:</w:t>
      </w:r>
      <w:r>
        <w:t xml:space="preserve"> Applies an "ICYMI:" caption prefix and re-queues a single instance through the distribution engine.</w:t>
      </w:r>
    </w:p>
    <w:p>
      <w:pPr>
        <w:pStyle w:val="ListBullet"/>
      </w:pPr>
      <w:r>
        <w:rPr>
          <w:i/>
        </w:rPr>
        <w:t>Output:</w:t>
      </w:r>
      <w:r>
        <w:t xml:space="preserve"> A recirculated event marked to prevent future duplicate re-queuing.</w:t>
      </w:r>
    </w:p>
    <w:p>
      <w:pPr>
        <w:pStyle w:val="Heading3"/>
      </w:pPr>
      <w:r>
        <w:t>4.5 Database Design</w:t>
      </w:r>
    </w:p>
    <w:p>
      <w:pPr>
        <w:spacing w:before="80" w:after="120"/>
        <w:ind w:left="360"/>
      </w:pPr>
      <w:r>
        <w:rPr>
          <w:rFonts w:ascii="Consolas" w:hAnsi="Consolas"/>
          <w:color w:val="1E1E1E"/>
          <w:sz w:val="17"/>
        </w:rPr>
        <w:t xml:space="preserve">   Article                      Event</w:t>
        <w:br/>
        <w:t xml:space="preserve"> ┌─────────────┐          ┌──────────────────┐</w:t>
        <w:br/>
        <w:t xml:space="preserve"> │ _id         │◄────┐    │ _id               │</w:t>
        <w:br/>
        <w:t xml:space="preserve"> │ title       │     │    │ event_title       │</w:t>
        <w:br/>
        <w:t xml:space="preserve"> │ url         │     │    │ sector            │</w:t>
        <w:br/>
        <w:t xml:space="preserve"> │ title_hash  │     │    │ source_articles[] │──┐</w:t>
        <w:br/>
        <w:t xml:space="preserve"> │ summary     │     │    │ fused_summary     │  │</w:t>
        <w:br/>
        <w:t xml:space="preserve"> │ sector      │     │    │ confidence_score  │  │</w:t>
        <w:br/>
        <w:t xml:space="preserve"> │ broadcast_* │     │    │ stance_analysis   │  │</w:t>
        <w:br/>
        <w:t xml:space="preserve"> └─────────────┘     └────┤ reflection_logs[] │  │</w:t>
        <w:br/>
        <w:t xml:space="preserve">                           └───────────────────┘  │</w:t>
        <w:br/>
        <w:t xml:space="preserve">                                    ▲              │</w:t>
        <w:br/>
        <w:t xml:space="preserve">                                    └──────────────┘</w:t>
        <w:br/>
        <w:t xml:space="preserve">                        (references, not duplicated content)</w:t>
      </w:r>
    </w:p>
    <w:p>
      <w:r>
        <w:rPr>
          <w:i/>
        </w:rPr>
        <w:t>Figure 3: Database Entity Relationship Diagram (ERD).</w:t>
      </w:r>
    </w:p>
    <w:p>
      <w:r>
        <w:t>Events reference contributing articles via ObjectId arrays rather than duplicating content, preserving full source traceability while avoiding redundant storage. Compound indexes on timestamp and sector support low-latency lookup within the 48-hour candidacy window central to Section 3.5's gating logic.</w:t>
      </w:r>
    </w:p>
    <w:p>
      <w:pPr>
        <w:pStyle w:val="Heading3"/>
      </w:pPr>
      <w:r>
        <w:t>4.6 Interface Design</w:t>
      </w:r>
    </w:p>
    <w:p>
      <w:r>
        <w:t>The frontend presents synthesized events through a categorized dashboard with sector filtering and search, alongside an operator-facing console for monitoring the distribution queue and manually triggering ingestion or broadcast actions. Interface visual design is outside this paper's evaluation scope.</w:t>
      </w:r>
    </w:p>
    <w:p>
      <w:pPr>
        <w:pStyle w:val="Heading3"/>
      </w:pPr>
      <w:r>
        <w:t>4.7 REST API Design</w:t>
      </w:r>
    </w:p>
    <w:p>
      <w:r>
        <w:rPr>
          <w:b/>
        </w:rPr>
        <w:t>TABLE III: SYSTEM REST API ENDPOINT SPECIFICATIONS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Endpoint</w:t>
            </w:r>
          </w:p>
        </w:tc>
        <w:tc>
          <w:tcPr>
            <w:tcW w:type="dxa" w:w="3120"/>
            <w:shd w:fill="F0F4F8"/>
          </w:tcPr>
          <w:p>
            <w:pPr>
              <w:spacing w:before="60" w:after="60"/>
            </w:pPr>
            <w:r>
              <w:rPr>
                <w:b/>
              </w:rPr>
            </w:r>
            <w:r>
              <w:rPr>
                <w:b/>
              </w:rPr>
              <w:t>Method</w:t>
            </w:r>
          </w:p>
        </w:tc>
        <w:tc>
          <w:tcPr>
            <w:tcW w:type="dxa" w:w="3120"/>
            <w:shd w:fill="F0F4F8"/>
          </w:tcPr>
          <w:p>
            <w:pPr>
              <w:spacing w:before="60" w:after="60"/>
            </w:pPr>
            <w:r>
              <w:rPr>
                <w:b/>
              </w:rPr>
            </w:r>
            <w:r>
              <w:rPr>
                <w:b/>
              </w:rPr>
              <w:t>Description</w:t>
            </w:r>
          </w:p>
        </w:tc>
      </w:tr>
      <w:tr>
        <w:tc>
          <w:tcPr>
            <w:tcW w:type="dxa" w:w="3120"/>
          </w:tcPr>
          <w:p>
            <w:pPr>
              <w:spacing w:before="60" w:after="60"/>
            </w:pPr>
            <w:r/>
            <w:r>
              <w:rPr>
                <w:rFonts w:ascii="Consolas" w:hAnsi="Consolas"/>
                <w:color w:val="B42828"/>
                <w:sz w:val="19"/>
              </w:rPr>
              <w:t>/api/articles</w:t>
            </w:r>
          </w:p>
        </w:tc>
        <w:tc>
          <w:tcPr>
            <w:tcW w:type="dxa" w:w="3120"/>
          </w:tcPr>
          <w:p>
            <w:pPr>
              <w:spacing w:before="60" w:after="60"/>
            </w:pPr>
            <w:r/>
            <w:r>
              <w:t>GET</w:t>
            </w:r>
          </w:p>
        </w:tc>
        <w:tc>
          <w:tcPr>
            <w:tcW w:type="dxa" w:w="3120"/>
          </w:tcPr>
          <w:p>
            <w:pPr>
              <w:spacing w:before="60" w:after="60"/>
            </w:pPr>
            <w:r/>
            <w:r>
              <w:t>Retrieve articles, optional sector filter</w:t>
            </w:r>
          </w:p>
        </w:tc>
      </w:tr>
      <w:tr>
        <w:tc>
          <w:tcPr>
            <w:tcW w:type="dxa" w:w="3120"/>
          </w:tcPr>
          <w:p>
            <w:pPr>
              <w:spacing w:before="60" w:after="60"/>
            </w:pPr>
            <w:r/>
            <w:r>
              <w:rPr>
                <w:rFonts w:ascii="Consolas" w:hAnsi="Consolas"/>
                <w:color w:val="B42828"/>
                <w:sz w:val="19"/>
              </w:rPr>
              <w:t>/api/events</w:t>
            </w:r>
          </w:p>
        </w:tc>
        <w:tc>
          <w:tcPr>
            <w:tcW w:type="dxa" w:w="3120"/>
          </w:tcPr>
          <w:p>
            <w:pPr>
              <w:spacing w:before="60" w:after="60"/>
            </w:pPr>
            <w:r/>
            <w:r>
              <w:t>GET</w:t>
            </w:r>
          </w:p>
        </w:tc>
        <w:tc>
          <w:tcPr>
            <w:tcW w:type="dxa" w:w="3120"/>
          </w:tcPr>
          <w:p>
            <w:pPr>
              <w:spacing w:before="60" w:after="60"/>
            </w:pPr>
            <w:r/>
            <w:r>
              <w:t>Retrieve clustered events, optional sector filter</w:t>
            </w:r>
          </w:p>
        </w:tc>
      </w:tr>
      <w:tr>
        <w:tc>
          <w:tcPr>
            <w:tcW w:type="dxa" w:w="3120"/>
          </w:tcPr>
          <w:p>
            <w:pPr>
              <w:spacing w:before="60" w:after="60"/>
            </w:pPr>
            <w:r/>
            <w:r>
              <w:rPr>
                <w:rFonts w:ascii="Consolas" w:hAnsi="Consolas"/>
                <w:color w:val="B42828"/>
                <w:sz w:val="19"/>
              </w:rPr>
              <w:t>/api/events/:id</w:t>
            </w:r>
          </w:p>
        </w:tc>
        <w:tc>
          <w:tcPr>
            <w:tcW w:type="dxa" w:w="3120"/>
          </w:tcPr>
          <w:p>
            <w:pPr>
              <w:spacing w:before="60" w:after="60"/>
            </w:pPr>
            <w:r/>
            <w:r>
              <w:t>GET</w:t>
            </w:r>
          </w:p>
        </w:tc>
        <w:tc>
          <w:tcPr>
            <w:tcW w:type="dxa" w:w="3120"/>
          </w:tcPr>
          <w:p>
            <w:pPr>
              <w:spacing w:before="60" w:after="60"/>
            </w:pPr>
            <w:r/>
            <w:r>
              <w:t>Retrieve a single event with populated source articles</w:t>
            </w:r>
          </w:p>
        </w:tc>
      </w:tr>
      <w:tr>
        <w:tc>
          <w:tcPr>
            <w:tcW w:type="dxa" w:w="3120"/>
          </w:tcPr>
          <w:p>
            <w:pPr>
              <w:spacing w:before="60" w:after="60"/>
            </w:pPr>
            <w:r/>
            <w:r>
              <w:rPr>
                <w:rFonts w:ascii="Consolas" w:hAnsi="Consolas"/>
                <w:color w:val="B42828"/>
                <w:sz w:val="19"/>
              </w:rPr>
              <w:t>/api/social/queue</w:t>
            </w:r>
          </w:p>
        </w:tc>
        <w:tc>
          <w:tcPr>
            <w:tcW w:type="dxa" w:w="3120"/>
          </w:tcPr>
          <w:p>
            <w:pPr>
              <w:spacing w:before="60" w:after="60"/>
            </w:pPr>
            <w:r/>
            <w:r>
              <w:t>GET</w:t>
            </w:r>
          </w:p>
        </w:tc>
        <w:tc>
          <w:tcPr>
            <w:tcW w:type="dxa" w:w="3120"/>
          </w:tcPr>
          <w:p>
            <w:pPr>
              <w:spacing w:before="60" w:after="60"/>
            </w:pPr>
            <w:r/>
            <w:r>
              <w:t>Retrieve distribution queue with status filtering</w:t>
            </w:r>
          </w:p>
        </w:tc>
      </w:tr>
      <w:tr>
        <w:tc>
          <w:tcPr>
            <w:tcW w:type="dxa" w:w="3120"/>
          </w:tcPr>
          <w:p>
            <w:pPr>
              <w:spacing w:before="60" w:after="60"/>
            </w:pPr>
            <w:r/>
            <w:r>
              <w:rPr>
                <w:rFonts w:ascii="Consolas" w:hAnsi="Consolas"/>
                <w:color w:val="B42828"/>
                <w:sz w:val="19"/>
              </w:rPr>
              <w:t>/api/social/trigger-scrape</w:t>
            </w:r>
          </w:p>
        </w:tc>
        <w:tc>
          <w:tcPr>
            <w:tcW w:type="dxa" w:w="3120"/>
          </w:tcPr>
          <w:p>
            <w:pPr>
              <w:spacing w:before="60" w:after="60"/>
            </w:pPr>
            <w:r/>
            <w:r>
              <w:t>POST</w:t>
            </w:r>
          </w:p>
        </w:tc>
        <w:tc>
          <w:tcPr>
            <w:tcW w:type="dxa" w:w="3120"/>
          </w:tcPr>
          <w:p>
            <w:pPr>
              <w:spacing w:before="60" w:after="60"/>
            </w:pPr>
            <w:r/>
            <w:r>
              <w:t>Manually trigger ingestion outside the scheduled cron</w:t>
            </w:r>
          </w:p>
        </w:tc>
      </w:tr>
      <w:tr>
        <w:tc>
          <w:tcPr>
            <w:tcW w:type="dxa" w:w="3120"/>
          </w:tcPr>
          <w:p>
            <w:pPr>
              <w:spacing w:before="60" w:after="60"/>
            </w:pPr>
            <w:r/>
            <w:r>
              <w:rPr>
                <w:rFonts w:ascii="Consolas" w:hAnsi="Consolas"/>
                <w:color w:val="B42828"/>
                <w:sz w:val="19"/>
              </w:rPr>
              <w:t>/api/social/broadcast/:id</w:t>
            </w:r>
          </w:p>
        </w:tc>
        <w:tc>
          <w:tcPr>
            <w:tcW w:type="dxa" w:w="3120"/>
          </w:tcPr>
          <w:p>
            <w:pPr>
              <w:spacing w:before="60" w:after="60"/>
            </w:pPr>
            <w:r/>
            <w:r>
              <w:t>POST</w:t>
            </w:r>
          </w:p>
        </w:tc>
        <w:tc>
          <w:tcPr>
            <w:tcW w:type="dxa" w:w="3120"/>
          </w:tcPr>
          <w:p>
            <w:pPr>
              <w:spacing w:before="60" w:after="60"/>
            </w:pPr>
            <w:r/>
            <w:r>
              <w:t>Manually dispatch a specific queued event</w:t>
            </w:r>
          </w:p>
        </w:tc>
      </w:tr>
      <w:tr>
        <w:tc>
          <w:tcPr>
            <w:tcW w:type="dxa" w:w="3120"/>
          </w:tcPr>
          <w:p>
            <w:pPr>
              <w:spacing w:before="60" w:after="60"/>
            </w:pPr>
            <w:r/>
            <w:r>
              <w:rPr>
                <w:rFonts w:ascii="Consolas" w:hAnsi="Consolas"/>
                <w:color w:val="B42828"/>
                <w:sz w:val="19"/>
              </w:rPr>
              <w:t>/api/health</w:t>
            </w:r>
          </w:p>
        </w:tc>
        <w:tc>
          <w:tcPr>
            <w:tcW w:type="dxa" w:w="3120"/>
          </w:tcPr>
          <w:p>
            <w:pPr>
              <w:spacing w:before="60" w:after="60"/>
            </w:pPr>
            <w:r/>
            <w:r>
              <w:t>GET</w:t>
            </w:r>
          </w:p>
        </w:tc>
        <w:tc>
          <w:tcPr>
            <w:tcW w:type="dxa" w:w="3120"/>
          </w:tcPr>
          <w:p>
            <w:pPr>
              <w:spacing w:before="60" w:after="60"/>
            </w:pPr>
            <w:r/>
            <w:r>
              <w:t>Basic connectivity check</w:t>
            </w:r>
          </w:p>
        </w:tc>
      </w:tr>
      <w:tr>
        <w:tc>
          <w:tcPr>
            <w:tcW w:type="dxa" w:w="3120"/>
          </w:tcPr>
          <w:p>
            <w:pPr>
              <w:spacing w:before="60" w:after="60"/>
            </w:pPr>
            <w:r/>
            <w:r>
              <w:rPr>
                <w:rFonts w:ascii="Consolas" w:hAnsi="Consolas"/>
                <w:color w:val="B42828"/>
                <w:sz w:val="19"/>
              </w:rPr>
              <w:t>/api/health/metrics</w:t>
            </w:r>
          </w:p>
        </w:tc>
        <w:tc>
          <w:tcPr>
            <w:tcW w:type="dxa" w:w="3120"/>
          </w:tcPr>
          <w:p>
            <w:pPr>
              <w:spacing w:before="60" w:after="60"/>
            </w:pPr>
            <w:r/>
            <w:r>
              <w:t>GET</w:t>
            </w:r>
          </w:p>
        </w:tc>
        <w:tc>
          <w:tcPr>
            <w:tcW w:type="dxa" w:w="3120"/>
          </w:tcPr>
          <w:p>
            <w:pPr>
              <w:spacing w:before="60" w:after="60"/>
            </w:pPr>
            <w:r/>
            <w:r>
              <w:t>Memory, uptime, and cache telemetry</w:t>
            </w:r>
          </w:p>
        </w:tc>
      </w:tr>
    </w:tbl>
    <w:p/>
    <w:p>
      <w:r>
        <w:t>Communication between backend and external distribution channels uses standardized HTTP POST payloads to a configurable webhook URL, rather than direct platform-specific API integration — a deliberate architectural choice allowing the operator to route output to any Make.com, Zapier, or n8n-compatible destination without code changes.</w:t>
      </w:r>
    </w:p>
    <w:p>
      <w:pPr>
        <w:pStyle w:val="Heading3"/>
      </w:pPr>
      <w:r>
        <w:t>4.8 Deployment Architecture</w:t>
      </w:r>
    </w:p>
    <w:p>
      <w:r>
        <w:t>Ingestion runs on a weekly node-cron schedule, and the recirculation engine on a daily schedule, both wrapped in error-isolating handlers that log failures without terminating the server process. A dedicated health endpoint supports external uptime monitoring on free-tier cloud hosts. Environment configuration (database URI, API keys) is validated at process startup, refusing to start if required variables are absent.</w:t>
      </w:r>
    </w:p>
    <w:p>
      <w:pPr>
        <w:pStyle w:val="Heading3"/>
      </w:pPr>
      <w:r>
        <w:t>4.9 Engineering Challenges</w:t>
      </w:r>
    </w:p>
    <w:p>
      <w:r>
        <w:rPr>
          <w:b/>
        </w:rPr>
        <w:t>Challenge 1 — Database Connectivity:</w:t>
      </w:r>
      <w:r>
        <w:t xml:space="preserve"> SRV-based MongoDB connection strings failed with a connection-refused error under a restrictive local network configuration, despite correct Atlas network-access settings. </w:t>
      </w:r>
      <w:r>
        <w:rPr>
          <w:i/>
        </w:rPr>
        <w:t>Solution:</w:t>
      </w:r>
      <w:r>
        <w:t xml:space="preserve"> switched to a non-SRV connection string listing replica set members directly. </w:t>
      </w:r>
      <w:r>
        <w:rPr>
          <w:i/>
        </w:rPr>
        <w:t>Outcome:</w:t>
      </w:r>
      <w:r>
        <w:t xml:space="preserve"> reliable connectivity independent of DNS SRV record resolution.</w:t>
      </w:r>
    </w:p>
    <w:p>
      <w:r>
        <w:rPr>
          <w:b/>
        </w:rPr>
        <w:t>Challenge 2 — Third-Party Inference API Instability:</w:t>
      </w:r>
      <w:r>
        <w:t xml:space="preserve"> The initial image-generation provider underwent undocumented routing changes, returning inconsistent model-availability errors. </w:t>
      </w:r>
      <w:r>
        <w:rPr>
          <w:i/>
        </w:rPr>
        <w:t>Solution:</w:t>
      </w:r>
      <w:r>
        <w:t xml:space="preserve"> migrated to a keyless, URL-based generation service requiring no API key management. </w:t>
      </w:r>
      <w:r>
        <w:rPr>
          <w:i/>
        </w:rPr>
        <w:t>Outcome:</w:t>
      </w:r>
      <w:r>
        <w:t xml:space="preserve"> eliminated a recurring source of pipeline failure with no loss of functionality.</w:t>
      </w:r>
    </w:p>
    <w:p>
      <w:r>
        <w:rPr>
          <w:b/>
        </w:rPr>
        <w:t>Challenge 3 — Server-Side Bot Protection:</w:t>
      </w:r>
      <w:r>
        <w:t xml:space="preserve"> Server-side image retrieval began returning forbidden-access responses due to bot-detection rules on the image provider. </w:t>
      </w:r>
      <w:r>
        <w:rPr>
          <w:i/>
        </w:rPr>
        <w:t>Solution:</w:t>
      </w:r>
      <w:r>
        <w:t xml:space="preserve"> shifted image loading responsibility to the client browser, which is not subject to the same automated-traffic filtering. </w:t>
      </w:r>
      <w:r>
        <w:rPr>
          <w:i/>
        </w:rPr>
        <w:t>Outcome:</w:t>
      </w:r>
      <w:r>
        <w:t xml:space="preserve"> restored reliable image display without violating the provider's intended usage pattern.</w:t>
      </w:r>
    </w:p>
    <w:p>
      <w:r>
        <w:rPr>
          <w:b/>
        </w:rPr>
        <w:t>Challenge 4 — LLM Provider Rate Limits:</w:t>
      </w:r>
      <w:r>
        <w:t xml:space="preserve"> The initial LLM provider's free-tier daily quota was insufficient for iterative development and evaluation. </w:t>
      </w:r>
      <w:r>
        <w:rPr>
          <w:i/>
        </w:rPr>
        <w:t>Solution:</w:t>
      </w:r>
      <w:r>
        <w:t xml:space="preserve"> migrated text synthesis and event verification to an open-weight model served on dedicated inference hardware. </w:t>
      </w:r>
      <w:r>
        <w:rPr>
          <w:i/>
        </w:rPr>
        <w:t>Outcome:</w:t>
      </w:r>
      <w:r>
        <w:t xml:space="preserve"> eliminated the daily quota constraint, at the cost of a documented recall regression requiring subsequent prompt re-tuning (Section 3.3, and the empirical case study in Section 5.5).</w:t>
      </w:r>
    </w:p>
    <w:p>
      <w:r>
        <w:rPr>
          <w:b/>
        </w:rPr>
        <w:t>Challenge 5 — Latent Runtime Defects:</w:t>
      </w:r>
      <w:r>
        <w:t xml:space="preserve"> A module-scope variable and a required standard-library import were both omitted from the ingestion engine, causing every batch run to fail silently until surfaced through direct code inspection. </w:t>
      </w:r>
      <w:r>
        <w:rPr>
          <w:i/>
        </w:rPr>
        <w:t>Solution:</w:t>
      </w:r>
      <w:r>
        <w:t xml:space="preserve"> the missing import and variable declaration were added and independently verified via static syntax checking. </w:t>
      </w:r>
      <w:r>
        <w:rPr>
          <w:i/>
        </w:rPr>
        <w:t>Outcome:</w:t>
      </w:r>
      <w:r>
        <w:t xml:space="preserve"> restored correct pipeline execution; this incident directly motivated the verification discipline applied throughout this paper's empirical claims.</w:t>
      </w:r>
    </w:p>
    <w:p>
      <w:r>
        <w:rPr>
          <w:b/>
        </w:rPr>
        <w:t>Challenge 6 — Architectural Coupling:</w:t>
      </w:r>
      <w:r>
        <w:t xml:space="preserve"> An early implementation computed similarity functions independently within the clustering and fusion-scoring modules, risking silent divergence between the two. </w:t>
      </w:r>
      <w:r>
        <w:rPr>
          <w:i/>
        </w:rPr>
        <w:t>Solution:</w:t>
      </w:r>
      <w:r>
        <w:t xml:space="preserve"> the shared logic was extracted into a single utility layer imported by both. </w:t>
      </w:r>
      <w:r>
        <w:rPr>
          <w:i/>
        </w:rPr>
        <w:t>Outcome:</w:t>
      </w:r>
      <w:r>
        <w:t xml:space="preserve"> verified elimination of a discrepancy that had previously caused mismatched baseline measurements between the production system and its offline evaluation (Section 5.5).</w:t>
      </w:r>
    </w:p>
    <w:p>
      <w:pPr>
        <w:pStyle w:val="Heading3"/>
      </w:pPr>
      <w:r>
        <w:t>4.10 Implementation Validation</w:t>
      </w:r>
    </w:p>
    <w:p>
      <w:r>
        <w:rPr>
          <w:b/>
        </w:rPr>
        <w:t>TABLE IV: SUBSYSTEM VALIDATION METRICS &amp; METHODOLOGY</w:t>
      </w:r>
    </w:p>
    <w:tbl>
      <w:tblPr>
        <w:tblStyle w:val="TableGrid"/>
        <w:tblW w:type="auto" w:w="0"/>
        <w:jc w:val="center"/>
        <w:tblLook w:firstColumn="1" w:firstRow="1" w:lastColumn="0" w:lastRow="0" w:noHBand="0" w:noVBand="1" w:val="04A0"/>
      </w:tblPr>
      <w:tblGrid>
        <w:gridCol w:w="4680"/>
        <w:gridCol w:w="4680"/>
      </w:tblGrid>
      <w:tr>
        <w:tc>
          <w:tcPr>
            <w:tcW w:type="dxa" w:w="4680"/>
            <w:shd w:fill="F0F4F8"/>
          </w:tcPr>
          <w:p>
            <w:pPr>
              <w:spacing w:before="60" w:after="60"/>
            </w:pPr>
            <w:r>
              <w:rPr>
                <w:b/>
              </w:rPr>
            </w:r>
            <w:r>
              <w:rPr>
                <w:b/>
              </w:rPr>
              <w:t>Module</w:t>
            </w:r>
          </w:p>
        </w:tc>
        <w:tc>
          <w:tcPr>
            <w:tcW w:type="dxa" w:w="4680"/>
            <w:shd w:fill="F0F4F8"/>
          </w:tcPr>
          <w:p>
            <w:pPr>
              <w:spacing w:before="60" w:after="60"/>
            </w:pPr>
            <w:r>
              <w:rPr>
                <w:b/>
              </w:rPr>
            </w:r>
            <w:r>
              <w:rPr>
                <w:b/>
              </w:rPr>
              <w:t>Validation Method</w:t>
            </w:r>
          </w:p>
        </w:tc>
      </w:tr>
      <w:tr>
        <w:tc>
          <w:tcPr>
            <w:tcW w:type="dxa" w:w="4680"/>
          </w:tcPr>
          <w:p>
            <w:pPr>
              <w:spacing w:before="60" w:after="60"/>
            </w:pPr>
            <w:r/>
            <w:r>
              <w:t>Event clustering gate</w:t>
            </w:r>
          </w:p>
        </w:tc>
        <w:tc>
          <w:tcPr>
            <w:tcW w:type="dxa" w:w="4680"/>
          </w:tcPr>
          <w:p>
            <w:pPr>
              <w:spacing w:before="60" w:after="60"/>
            </w:pPr>
            <w:r/>
            <w:r>
              <w:t>Verified against the 45-pair labeled benchmark via an ablation harness reusing the exact production similarity functions</w:t>
            </w:r>
          </w:p>
        </w:tc>
      </w:tr>
      <w:tr>
        <w:tc>
          <w:tcPr>
            <w:tcW w:type="dxa" w:w="4680"/>
          </w:tcPr>
          <w:p>
            <w:pPr>
              <w:spacing w:before="60" w:after="60"/>
            </w:pPr>
            <w:r/>
            <w:r>
              <w:t>EFSA / DPCS</w:t>
            </w:r>
          </w:p>
        </w:tc>
        <w:tc>
          <w:tcPr>
            <w:tcW w:type="dxa" w:w="4680"/>
          </w:tcPr>
          <w:p>
            <w:pPr>
              <w:spacing w:before="60" w:after="60"/>
            </w:pPr>
            <w:r/>
            <w:r>
              <w:t>Verified via dedicated evaluation scripts computing real confusion matrices, not simulated or estimated</w:t>
            </w:r>
          </w:p>
        </w:tc>
      </w:tr>
      <w:tr>
        <w:tc>
          <w:tcPr>
            <w:tcW w:type="dxa" w:w="4680"/>
          </w:tcPr>
          <w:p>
            <w:pPr>
              <w:spacing w:before="60" w:after="60"/>
            </w:pPr>
            <w:r/>
            <w:r>
              <w:t>Hybrid image pipeline</w:t>
            </w:r>
          </w:p>
        </w:tc>
        <w:tc>
          <w:tcPr>
            <w:tcW w:type="dxa" w:w="4680"/>
          </w:tcPr>
          <w:p>
            <w:pPr>
              <w:spacing w:before="60" w:after="60"/>
            </w:pPr>
            <w:r/>
            <w:r>
              <w:t>Verified via a dedicated test script confirming both native-photo extraction and generative fallback paths execute correctly</w:t>
            </w:r>
          </w:p>
        </w:tc>
      </w:tr>
      <w:tr>
        <w:tc>
          <w:tcPr>
            <w:tcW w:type="dxa" w:w="4680"/>
          </w:tcPr>
          <w:p>
            <w:pPr>
              <w:spacing w:before="60" w:after="60"/>
            </w:pPr>
            <w:r/>
            <w:r>
              <w:t>API layer</w:t>
            </w:r>
          </w:p>
        </w:tc>
        <w:tc>
          <w:tcPr>
            <w:tcW w:type="dxa" w:w="4680"/>
          </w:tcPr>
          <w:p>
            <w:pPr>
              <w:spacing w:before="60" w:after="60"/>
            </w:pPr>
            <w:r/>
            <w:r>
              <w:t>Verified via an automated integration test suite covering five endpoints using native HTTP assertions</w:t>
            </w:r>
          </w:p>
        </w:tc>
      </w:tr>
      <w:tr>
        <w:tc>
          <w:tcPr>
            <w:tcW w:type="dxa" w:w="4680"/>
          </w:tcPr>
          <w:p>
            <w:pPr>
              <w:spacing w:before="60" w:after="60"/>
            </w:pPr>
            <w:r/>
            <w:r>
              <w:t>Synthesis latency</w:t>
            </w:r>
          </w:p>
        </w:tc>
        <w:tc>
          <w:tcPr>
            <w:tcW w:type="dxa" w:w="4680"/>
          </w:tcPr>
          <w:p>
            <w:pPr>
              <w:spacing w:before="60" w:after="60"/>
            </w:pPr>
            <w:r/>
            <w:r>
              <w:t>Verified via 20 timed, real inference calls rather than vendor-published throughput figures</w:t>
            </w:r>
          </w:p>
        </w:tc>
      </w:tr>
    </w:tbl>
    <w:p/>
    <w:p>
      <w:pPr>
        <w:pStyle w:val="Heading3"/>
      </w:pPr>
      <w:r>
        <w:t>4.11 Security Considerations</w:t>
      </w:r>
    </w:p>
    <w:p>
      <w:r>
        <w:t>Request-level protection is implemented via a zero-dependency, in-memory sliding-window rate limiter, which also manually sets standard HTTP security headers rather than relying on a third-party middleware package. Environment configuration is validated at startup, and API keys are never persisted in version control. We state plainly that no authentication or authorization layer is currently implemented on any API endpoint — an accepted limitation appropriate to the system's current evaluation-focused deployment scale, discussed further below.</w:t>
      </w:r>
    </w:p>
    <w:p>
      <w:pPr>
        <w:pStyle w:val="Heading3"/>
      </w:pPr>
      <w:r>
        <w:t>4.12 Limitations of the Current Implementation</w:t>
      </w:r>
    </w:p>
    <w:p>
      <w:r>
        <w:t>This implementation carries several explicit limitations. No authentication or per-operator access control exists on any endpoint, including manual ingestion and broadcast triggers — acceptable for a research prototype but not for a multi-tenant production deployment. The system operates as a single Node.js process without distributed job queuing, limiting horizontal scalability under substantially higher ingestion volume. Ingestion cadence (weekly, plus daily recirculation) was deliberately chosen to remain within LLM provider rate limits rather than to maximize freshness. DPCS's trust-scaling gating multiplier remains validated only in offline evaluation and is not integrated into the live production gate (Section 3.7). Stance detection and the hallucination reflection loop are functionally implemented but have not been independently validated against external benchmarks (e.g., BASIL for stance, FACTS Grounding for factuality). All processing assumes English-language wire content; multilingual support is not currently implemented.</w:t>
      </w:r>
    </w:p>
    <w:p>
      <w:pPr>
        <w:pStyle w:val="Heading3"/>
      </w:pPr>
      <w:r>
        <w:t>4.13 Implementation Summary</w:t>
      </w:r>
    </w:p>
    <w:p>
      <w:pPr>
        <w:pStyle w:val="Heading2"/>
      </w:pPr>
      <w:r>
        <w:t>V. EXPERIMENTAL EVALUATION &amp; PERFORMANCE BENCHMARKS</w:t>
      </w:r>
    </w:p>
    <w:p>
      <w:pPr>
        <w:pStyle w:val="Heading3"/>
      </w:pPr>
      <w:r>
        <w:t>5.1 Evaluation Setup &amp; Ground-Truth Test Corpus</w:t>
      </w:r>
    </w:p>
    <w:p>
      <w:r>
        <w:t>To evaluate the event clustering engine's accuracy, a ground-truth dataset (</w:t>
      </w:r>
      <w:r>
        <w:rPr>
          <w:rFonts w:ascii="Consolas" w:hAnsi="Consolas"/>
          <w:color w:val="B42828"/>
          <w:sz w:val="19"/>
        </w:rPr>
        <w:t>testCases.json</w:t>
      </w:r>
      <w:r>
        <w:t xml:space="preserve">) containing </w:t>
      </w:r>
      <w:r>
        <w:rPr>
          <w:b/>
        </w:rPr>
        <w:t>45 headline pairs</w:t>
      </w:r>
      <w:r>
        <w:t xml:space="preserve"> collected from real-world wire reports across 12 news sectors was evaluated:</w:t>
      </w:r>
    </w:p>
    <w:p>
      <w:pPr>
        <w:pStyle w:val="ListBullet"/>
      </w:pPr>
      <w:r>
        <w:rPr>
          <w:b/>
        </w:rPr>
        <w:t>SAME Event Pairs:</w:t>
      </w:r>
      <w:r>
        <w:t xml:space="preserve"> 17 pairs describing the identical real-world incident using different phrasing.</w:t>
      </w:r>
    </w:p>
    <w:p>
      <w:pPr>
        <w:pStyle w:val="ListBullet"/>
      </w:pPr>
      <w:r>
        <w:rPr>
          <w:b/>
        </w:rPr>
        <w:t>DIFFERENT Event Pairs:</w:t>
      </w:r>
      <w:r>
        <w:t xml:space="preserve"> 28 pairs describing distinct incidents within the same domain or involving the same entity.</w:t>
      </w:r>
    </w:p>
    <w:p>
      <w:pPr>
        <w:pStyle w:val="Heading3"/>
      </w:pPr>
      <w:r>
        <w:t>5.2 Primary Evaluation Results: Production Baseline vs. EFSA &amp; DPCS vs. LLM Ceiling</w:t>
      </w:r>
    </w:p>
    <w:p>
      <w:r>
        <w:t>Table V presents the notation table for mathematical formalizations in EFSA and DPCS. Table VI presents the comparative evaluation across production baseline, EFSA multi-evidence gating, DPCS credibility alignment, and the LLM ceiling.</w:t>
      </w:r>
    </w:p>
    <w:p>
      <w:r>
        <w:rPr>
          <w:b/>
        </w:rPr>
        <w:t>TABLE V: MATHEMATICAL NOTATION REFERENCE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Symbol</w:t>
            </w:r>
          </w:p>
        </w:tc>
        <w:tc>
          <w:tcPr>
            <w:tcW w:type="dxa" w:w="3120"/>
            <w:shd w:fill="F0F4F8"/>
          </w:tcPr>
          <w:p>
            <w:pPr>
              <w:spacing w:before="60" w:after="60"/>
            </w:pPr>
            <w:r>
              <w:rPr>
                <w:b/>
              </w:rPr>
            </w:r>
            <w:r>
              <w:rPr>
                <w:b/>
              </w:rPr>
              <w:t>Definition</w:t>
            </w:r>
          </w:p>
        </w:tc>
        <w:tc>
          <w:tcPr>
            <w:tcW w:type="dxa" w:w="3120"/>
            <w:shd w:fill="F0F4F8"/>
          </w:tcPr>
          <w:p>
            <w:pPr>
              <w:spacing w:before="60" w:after="60"/>
            </w:pPr>
            <w:r>
              <w:rPr>
                <w:b/>
              </w:rPr>
            </w:r>
            <w:r>
              <w:rPr>
                <w:b/>
              </w:rPr>
              <w:t>Domain / Constraint</w:t>
            </w:r>
          </w:p>
        </w:tc>
      </w:tr>
      <w:tr>
        <w:tc>
          <w:tcPr>
            <w:tcW w:type="dxa" w:w="3120"/>
          </w:tcPr>
          <w:p>
            <w:pPr>
              <w:spacing w:before="60" w:after="60"/>
            </w:pPr>
            <w:r/>
            <w:r>
              <w:rPr>
                <w:rFonts w:ascii="Cambria Math" w:hAnsi="Cambria Math"/>
                <w:i/>
              </w:rPr>
              <w:t>S_{\text{EFSA}}</w:t>
            </w:r>
          </w:p>
        </w:tc>
        <w:tc>
          <w:tcPr>
            <w:tcW w:type="dxa" w:w="3120"/>
          </w:tcPr>
          <w:p>
            <w:pPr>
              <w:spacing w:before="60" w:after="60"/>
            </w:pPr>
            <w:r/>
            <w:r>
              <w:t>Unified Event Fusion Score</w:t>
            </w:r>
          </w:p>
        </w:tc>
        <w:tc>
          <w:tcPr>
            <w:tcW w:type="dxa" w:w="3120"/>
          </w:tcPr>
          <w:p>
            <w:pPr>
              <w:spacing w:before="60" w:after="60"/>
            </w:pPr>
            <w:r/>
            <w:r>
              <w:rPr>
                <w:rFonts w:ascii="Cambria Math" w:hAnsi="Cambria Math"/>
                <w:i/>
              </w:rPr>
              <w:t>[0, 1]</w:t>
            </w:r>
            <w:r>
              <w:t xml:space="preserve">, Threshold </w:t>
            </w:r>
            <w:r>
              <w:rPr>
                <w:rFonts w:ascii="Cambria Math" w:hAnsi="Cambria Math"/>
                <w:i/>
              </w:rPr>
              <w:t>\tau = 0.22</w:t>
            </w:r>
          </w:p>
        </w:tc>
      </w:tr>
      <w:tr>
        <w:tc>
          <w:tcPr>
            <w:tcW w:type="dxa" w:w="3120"/>
          </w:tcPr>
          <w:p>
            <w:pPr>
              <w:spacing w:before="60" w:after="60"/>
            </w:pPr>
            <w:r/>
            <w:r>
              <w:rPr>
                <w:rFonts w:ascii="Cambria Math" w:hAnsi="Cambria Math"/>
                <w:i/>
              </w:rPr>
              <w:t>S_{\text{key}}</w:t>
            </w:r>
          </w:p>
        </w:tc>
        <w:tc>
          <w:tcPr>
            <w:tcW w:type="dxa" w:w="3120"/>
          </w:tcPr>
          <w:p>
            <w:pPr>
              <w:spacing w:before="60" w:after="60"/>
            </w:pPr>
            <w:r/>
            <w:r>
              <w:t>Unigram Keyword IoU Ratio</w:t>
            </w:r>
          </w:p>
        </w:tc>
        <w:tc>
          <w:tcPr>
            <w:tcW w:type="dxa" w:w="3120"/>
          </w:tcPr>
          <w:p>
            <w:pPr>
              <w:spacing w:before="60" w:after="60"/>
            </w:pPr>
            <w:r/>
            <w:r>
              <w:rPr>
                <w:rFonts w:ascii="Cambria Math" w:hAnsi="Cambria Math"/>
                <w:i/>
              </w:rPr>
              <w:t>[0, 1]</w:t>
            </w:r>
            <w:r>
              <w:t xml:space="preserve">, Weight </w:t>
            </w:r>
            <w:r>
              <w:rPr>
                <w:rFonts w:ascii="Cambria Math" w:hAnsi="Cambria Math"/>
                <w:i/>
              </w:rPr>
              <w:t>w_1 = 0.25</w:t>
            </w:r>
          </w:p>
        </w:tc>
      </w:tr>
      <w:tr>
        <w:tc>
          <w:tcPr>
            <w:tcW w:type="dxa" w:w="3120"/>
          </w:tcPr>
          <w:p>
            <w:pPr>
              <w:spacing w:before="60" w:after="60"/>
            </w:pPr>
            <w:r/>
            <w:r>
              <w:rPr>
                <w:rFonts w:ascii="Cambria Math" w:hAnsi="Cambria Math"/>
                <w:i/>
              </w:rPr>
              <w:t>S_{\text{head}}</w:t>
            </w:r>
          </w:p>
        </w:tc>
        <w:tc>
          <w:tcPr>
            <w:tcW w:type="dxa" w:w="3120"/>
          </w:tcPr>
          <w:p>
            <w:pPr>
              <w:spacing w:before="60" w:after="60"/>
            </w:pPr>
            <w:r/>
            <w:r>
              <w:t>Character 3-Gram Cosine Similarity</w:t>
            </w:r>
          </w:p>
        </w:tc>
        <w:tc>
          <w:tcPr>
            <w:tcW w:type="dxa" w:w="3120"/>
          </w:tcPr>
          <w:p>
            <w:pPr>
              <w:spacing w:before="60" w:after="60"/>
            </w:pPr>
            <w:r/>
            <w:r>
              <w:rPr>
                <w:rFonts w:ascii="Cambria Math" w:hAnsi="Cambria Math"/>
                <w:i/>
              </w:rPr>
              <w:t>[0, 1]</w:t>
            </w:r>
            <w:r>
              <w:t xml:space="preserve">, Weight </w:t>
            </w:r>
            <w:r>
              <w:rPr>
                <w:rFonts w:ascii="Cambria Math" w:hAnsi="Cambria Math"/>
                <w:i/>
              </w:rPr>
              <w:t>w_2 = 0.30</w:t>
            </w:r>
          </w:p>
        </w:tc>
      </w:tr>
      <w:tr>
        <w:tc>
          <w:tcPr>
            <w:tcW w:type="dxa" w:w="3120"/>
          </w:tcPr>
          <w:p>
            <w:pPr>
              <w:spacing w:before="60" w:after="60"/>
            </w:pPr>
            <w:r/>
            <w:r>
              <w:rPr>
                <w:rFonts w:ascii="Cambria Math" w:hAnsi="Cambria Math"/>
                <w:i/>
              </w:rPr>
              <w:t>S_{\text{ent}}</w:t>
            </w:r>
          </w:p>
        </w:tc>
        <w:tc>
          <w:tcPr>
            <w:tcW w:type="dxa" w:w="3120"/>
          </w:tcPr>
          <w:p>
            <w:pPr>
              <w:spacing w:before="60" w:after="60"/>
            </w:pPr>
            <w:r/>
            <w:r>
              <w:t>Named Entity Overlap Ratio</w:t>
            </w:r>
          </w:p>
        </w:tc>
        <w:tc>
          <w:tcPr>
            <w:tcW w:type="dxa" w:w="3120"/>
          </w:tcPr>
          <w:p>
            <w:pPr>
              <w:spacing w:before="60" w:after="60"/>
            </w:pPr>
            <w:r/>
            <w:r>
              <w:rPr>
                <w:rFonts w:ascii="Cambria Math" w:hAnsi="Cambria Math"/>
                <w:i/>
              </w:rPr>
              <w:t>[0, 1]</w:t>
            </w:r>
            <w:r>
              <w:t xml:space="preserve">, Weight </w:t>
            </w:r>
            <w:r>
              <w:rPr>
                <w:rFonts w:ascii="Cambria Math" w:hAnsi="Cambria Math"/>
                <w:i/>
              </w:rPr>
              <w:t>w_3 = 0.25</w:t>
            </w:r>
          </w:p>
        </w:tc>
      </w:tr>
      <w:tr>
        <w:tc>
          <w:tcPr>
            <w:tcW w:type="dxa" w:w="3120"/>
          </w:tcPr>
          <w:p>
            <w:pPr>
              <w:spacing w:before="60" w:after="60"/>
            </w:pPr>
            <w:r/>
            <w:r>
              <w:rPr>
                <w:rFonts w:ascii="Cambria Math" w:hAnsi="Cambria Math"/>
                <w:i/>
              </w:rPr>
              <w:t>S_{\text{temp}}</w:t>
            </w:r>
          </w:p>
        </w:tc>
        <w:tc>
          <w:tcPr>
            <w:tcW w:type="dxa" w:w="3120"/>
          </w:tcPr>
          <w:p>
            <w:pPr>
              <w:spacing w:before="60" w:after="60"/>
            </w:pPr>
            <w:r/>
            <w:r>
              <w:t>Exponential Temporal Decay Score</w:t>
            </w:r>
          </w:p>
        </w:tc>
        <w:tc>
          <w:tcPr>
            <w:tcW w:type="dxa" w:w="3120"/>
          </w:tcPr>
          <w:p>
            <w:pPr>
              <w:spacing w:before="60" w:after="60"/>
            </w:pPr>
            <w:r/>
            <w:r>
              <w:rPr>
                <w:rFonts w:ascii="Cambria Math" w:hAnsi="Cambria Math"/>
                <w:i/>
              </w:rPr>
              <w:t>e^{-\lambda \Delta t}</w:t>
            </w:r>
            <w:r>
              <w:t xml:space="preserve">, </w:t>
            </w:r>
            <w:r>
              <w:rPr>
                <w:rFonts w:ascii="Cambria Math" w:hAnsi="Cambria Math"/>
                <w:i/>
              </w:rPr>
              <w:t>\lambda = 0.02, w_4 = 0.10</w:t>
            </w:r>
          </w:p>
        </w:tc>
      </w:tr>
      <w:tr>
        <w:tc>
          <w:tcPr>
            <w:tcW w:type="dxa" w:w="3120"/>
          </w:tcPr>
          <w:p>
            <w:pPr>
              <w:spacing w:before="60" w:after="60"/>
            </w:pPr>
            <w:r/>
            <w:r>
              <w:rPr>
                <w:rFonts w:ascii="Cambria Math" w:hAnsi="Cambria Math"/>
                <w:i/>
              </w:rPr>
              <w:t>S_{\text{sec}}</w:t>
            </w:r>
          </w:p>
        </w:tc>
        <w:tc>
          <w:tcPr>
            <w:tcW w:type="dxa" w:w="3120"/>
          </w:tcPr>
          <w:p>
            <w:pPr>
              <w:spacing w:before="60" w:after="60"/>
            </w:pPr>
            <w:r/>
            <w:r>
              <w:t>Sector Domain Taxonomy Match</w:t>
            </w:r>
          </w:p>
        </w:tc>
        <w:tc>
          <w:tcPr>
            <w:tcW w:type="dxa" w:w="3120"/>
          </w:tcPr>
          <w:p>
            <w:pPr>
              <w:spacing w:before="60" w:after="60"/>
            </w:pPr>
            <w:r/>
            <w:r>
              <w:rPr>
                <w:rFonts w:ascii="Cambria Math" w:hAnsi="Cambria Math"/>
                <w:i/>
              </w:rPr>
              <w:t>\{0, 0.5, 1.0\}</w:t>
            </w:r>
            <w:r>
              <w:t xml:space="preserve">, Weight </w:t>
            </w:r>
            <w:r>
              <w:rPr>
                <w:rFonts w:ascii="Cambria Math" w:hAnsi="Cambria Math"/>
                <w:i/>
              </w:rPr>
              <w:t>w_5 = 0.10</w:t>
            </w:r>
          </w:p>
        </w:tc>
      </w:tr>
      <w:tr>
        <w:tc>
          <w:tcPr>
            <w:tcW w:type="dxa" w:w="3120"/>
          </w:tcPr>
          <w:p>
            <w:pPr>
              <w:spacing w:before="60" w:after="60"/>
            </w:pPr>
            <w:r/>
            <w:r>
              <w:rPr>
                <w:rFonts w:ascii="Cambria Math" w:hAnsi="Cambria Math"/>
                <w:i/>
              </w:rPr>
              <w:t>C_{\text{pub}}^{(t)}</w:t>
            </w:r>
          </w:p>
        </w:tc>
        <w:tc>
          <w:tcPr>
            <w:tcW w:type="dxa" w:w="3120"/>
          </w:tcPr>
          <w:p>
            <w:pPr>
              <w:spacing w:before="60" w:after="60"/>
            </w:pPr>
            <w:r/>
            <w:r>
              <w:t>Dynamic Publisher Credibility Score</w:t>
            </w:r>
          </w:p>
        </w:tc>
        <w:tc>
          <w:tcPr>
            <w:tcW w:type="dxa" w:w="3120"/>
          </w:tcPr>
          <w:p>
            <w:pPr>
              <w:spacing w:before="60" w:after="60"/>
            </w:pPr>
            <w:r/>
            <w:r>
              <w:rPr>
                <w:rFonts w:ascii="Cambria Math" w:hAnsi="Cambria Math"/>
                <w:i/>
              </w:rPr>
              <w:t>[0, 100]</w:t>
            </w:r>
            <w:r>
              <w:t xml:space="preserve">, EMA </w:t>
            </w:r>
            <w:r>
              <w:rPr>
                <w:rFonts w:ascii="Cambria Math" w:hAnsi="Cambria Math"/>
                <w:i/>
              </w:rPr>
              <w:t>\alpha = 0.20</w:t>
            </w:r>
          </w:p>
        </w:tc>
      </w:tr>
      <w:tr>
        <w:tc>
          <w:tcPr>
            <w:tcW w:type="dxa" w:w="3120"/>
          </w:tcPr>
          <w:p>
            <w:pPr>
              <w:spacing w:before="60" w:after="60"/>
            </w:pPr>
            <w:r/>
            <w:r>
              <w:rPr>
                <w:rFonts w:ascii="Cambria Math" w:hAnsi="Cambria Math"/>
                <w:i/>
              </w:rPr>
              <w:t>R_{\text{agree}}</w:t>
            </w:r>
          </w:p>
        </w:tc>
        <w:tc>
          <w:tcPr>
            <w:tcW w:type="dxa" w:w="3120"/>
          </w:tcPr>
          <w:p>
            <w:pPr>
              <w:spacing w:before="60" w:after="60"/>
            </w:pPr>
            <w:r/>
            <w:r>
              <w:t>Historical Stance Agreement Rate</w:t>
            </w:r>
          </w:p>
        </w:tc>
        <w:tc>
          <w:tcPr>
            <w:tcW w:type="dxa" w:w="3120"/>
          </w:tcPr>
          <w:p>
            <w:pPr>
              <w:spacing w:before="60" w:after="60"/>
            </w:pPr>
            <w:r/>
            <w:r>
              <w:rPr>
                <w:rFonts w:ascii="Cambria Math" w:hAnsi="Cambria Math"/>
                <w:i/>
              </w:rPr>
              <w:t>[0, 1]</w:t>
            </w:r>
            <w:r>
              <w:t xml:space="preserve">, Weight </w:t>
            </w:r>
            <w:r>
              <w:rPr>
                <w:rFonts w:ascii="Cambria Math" w:hAnsi="Cambria Math"/>
                <w:i/>
              </w:rPr>
              <w:t>w_{\text{agree}} = 0.40</w:t>
            </w:r>
          </w:p>
        </w:tc>
      </w:tr>
      <w:tr>
        <w:tc>
          <w:tcPr>
            <w:tcW w:type="dxa" w:w="3120"/>
          </w:tcPr>
          <w:p>
            <w:pPr>
              <w:spacing w:before="60" w:after="60"/>
            </w:pPr>
            <w:r/>
            <w:r>
              <w:rPr>
                <w:rFonts w:ascii="Cambria Math" w:hAnsi="Cambria Math"/>
                <w:i/>
              </w:rPr>
              <w:t>I_{\text{time}}</w:t>
            </w:r>
          </w:p>
        </w:tc>
        <w:tc>
          <w:tcPr>
            <w:tcW w:type="dxa" w:w="3120"/>
          </w:tcPr>
          <w:p>
            <w:pPr>
              <w:spacing w:before="60" w:after="60"/>
            </w:pPr>
            <w:r/>
            <w:r>
              <w:t>Reporting Timeliness Decay Index</w:t>
            </w:r>
          </w:p>
        </w:tc>
        <w:tc>
          <w:tcPr>
            <w:tcW w:type="dxa" w:w="3120"/>
          </w:tcPr>
          <w:p>
            <w:pPr>
              <w:spacing w:before="60" w:after="60"/>
            </w:pPr>
            <w:r/>
            <w:r>
              <w:rPr>
                <w:rFonts w:ascii="Cambria Math" w:hAnsi="Cambria Math"/>
                <w:i/>
              </w:rPr>
              <w:t>[0, 1]</w:t>
            </w:r>
            <w:r>
              <w:t xml:space="preserve">, Weight </w:t>
            </w:r>
            <w:r>
              <w:rPr>
                <w:rFonts w:ascii="Cambria Math" w:hAnsi="Cambria Math"/>
                <w:i/>
              </w:rPr>
              <w:t>w_{\text{time}} = 0.25</w:t>
            </w:r>
          </w:p>
        </w:tc>
      </w:tr>
    </w:tbl>
    <w:p/>
    <w:p>
      <w:pPr>
        <w:jc w:val="center"/>
      </w:pPr>
      <w:r>
        <w:rPr>
          <w:color w:val="969696"/>
        </w:rPr>
        <w:t>─────── ❖ ───────</w:t>
      </w:r>
    </w:p>
    <w:p>
      <w:r>
        <w:rPr>
          <w:b/>
        </w:rPr>
        <w:t>TABLE VI: BASELINE COMPARISON INCLUDING EFSA &amp; DPCS ($N=45$)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4F8"/>
          </w:tcPr>
          <w:p>
            <w:pPr>
              <w:spacing w:before="60" w:after="60"/>
            </w:pPr>
            <w:r>
              <w:rPr>
                <w:b/>
              </w:rPr>
            </w:r>
            <w:r>
              <w:rPr>
                <w:b/>
              </w:rPr>
              <w:t>Strategy / System Configuration</w:t>
            </w:r>
          </w:p>
        </w:tc>
        <w:tc>
          <w:tcPr>
            <w:tcW w:type="dxa" w:w="1170"/>
            <w:shd w:fill="F0F4F8"/>
          </w:tcPr>
          <w:p>
            <w:pPr>
              <w:spacing w:before="60" w:after="60"/>
            </w:pPr>
            <w:r>
              <w:rPr>
                <w:b/>
              </w:rPr>
            </w:r>
            <w:r>
              <w:rPr>
                <w:b/>
              </w:rPr>
              <w:t>Accuracy</w:t>
            </w:r>
          </w:p>
        </w:tc>
        <w:tc>
          <w:tcPr>
            <w:tcW w:type="dxa" w:w="1170"/>
            <w:shd w:fill="F0F4F8"/>
          </w:tcPr>
          <w:p>
            <w:pPr>
              <w:spacing w:before="60" w:after="60"/>
            </w:pPr>
            <w:r>
              <w:rPr>
                <w:b/>
              </w:rPr>
            </w:r>
            <w:r>
              <w:rPr>
                <w:b/>
              </w:rPr>
              <w:t>Precision</w:t>
            </w:r>
          </w:p>
        </w:tc>
        <w:tc>
          <w:tcPr>
            <w:tcW w:type="dxa" w:w="1170"/>
            <w:shd w:fill="F0F4F8"/>
          </w:tcPr>
          <w:p>
            <w:pPr>
              <w:spacing w:before="60" w:after="60"/>
            </w:pPr>
            <w:r>
              <w:rPr>
                <w:b/>
              </w:rPr>
            </w:r>
            <w:r>
              <w:rPr>
                <w:b/>
              </w:rPr>
              <w:t>Recall</w:t>
            </w:r>
          </w:p>
        </w:tc>
        <w:tc>
          <w:tcPr>
            <w:tcW w:type="dxa" w:w="1170"/>
            <w:shd w:fill="F0F4F8"/>
          </w:tcPr>
          <w:p>
            <w:pPr>
              <w:spacing w:before="60" w:after="60"/>
            </w:pPr>
            <w:r>
              <w:rPr>
                <w:b/>
              </w:rPr>
            </w:r>
            <w:r>
              <w:rPr>
                <w:b/>
              </w:rPr>
              <w:t>F1-Score</w:t>
            </w:r>
          </w:p>
        </w:tc>
        <w:tc>
          <w:tcPr>
            <w:tcW w:type="dxa" w:w="1170"/>
            <w:shd w:fill="F0F4F8"/>
          </w:tcPr>
          <w:p>
            <w:pPr>
              <w:spacing w:before="60" w:after="60"/>
            </w:pPr>
            <w:r>
              <w:rPr>
                <w:b/>
              </w:rPr>
            </w:r>
            <w:r>
              <w:rPr>
                <w:b/>
              </w:rPr>
              <w:t>MCC</w:t>
            </w:r>
          </w:p>
        </w:tc>
        <w:tc>
          <w:tcPr>
            <w:tcW w:type="dxa" w:w="1170"/>
            <w:shd w:fill="F0F4F8"/>
          </w:tcPr>
          <w:p>
            <w:pPr>
              <w:spacing w:before="60" w:after="60"/>
            </w:pPr>
            <w:r>
              <w:rPr>
                <w:b/>
              </w:rPr>
            </w:r>
            <w:r>
              <w:rPr>
                <w:b/>
              </w:rPr>
              <w:t>LLM Calls</w:t>
            </w:r>
          </w:p>
        </w:tc>
        <w:tc>
          <w:tcPr>
            <w:tcW w:type="dxa" w:w="1170"/>
            <w:shd w:fill="F0F4F8"/>
          </w:tcPr>
          <w:p>
            <w:pPr>
              <w:spacing w:before="60" w:after="60"/>
            </w:pPr>
            <w:r>
              <w:rPr>
                <w:b/>
              </w:rPr>
            </w:r>
            <w:r>
              <w:rPr>
                <w:b/>
              </w:rPr>
              <w:t>LLM Call Savings</w:t>
            </w:r>
          </w:p>
        </w:tc>
      </w:tr>
      <w:tr>
        <w:tc>
          <w:tcPr>
            <w:tcW w:type="dxa" w:w="1170"/>
          </w:tcPr>
          <w:p>
            <w:pPr>
              <w:spacing w:before="60" w:after="60"/>
            </w:pPr>
            <w:r/>
            <w:r>
              <w:rPr>
                <w:b/>
              </w:rPr>
              <w:t>Traditional Lexical Jaccard</w:t>
            </w:r>
            <w:r>
              <w:t xml:space="preserve"> (</w:t>
            </w:r>
            <w:r>
              <w:rPr>
                <w:rFonts w:ascii="Cambria Math" w:hAnsi="Cambria Math"/>
                <w:i/>
              </w:rPr>
              <w:t>\tau_J = 0.12</w:t>
            </w:r>
            <w:r>
              <w:t>)</w:t>
            </w:r>
          </w:p>
        </w:tc>
        <w:tc>
          <w:tcPr>
            <w:tcW w:type="dxa" w:w="1170"/>
          </w:tcPr>
          <w:p>
            <w:pPr>
              <w:spacing w:before="60" w:after="60"/>
            </w:pPr>
            <w:r/>
            <w:r>
              <w:t>68.89%</w:t>
            </w:r>
          </w:p>
        </w:tc>
        <w:tc>
          <w:tcPr>
            <w:tcW w:type="dxa" w:w="1170"/>
          </w:tcPr>
          <w:p>
            <w:pPr>
              <w:spacing w:before="60" w:after="60"/>
            </w:pPr>
            <w:r/>
            <w:r>
              <w:t>75.00%</w:t>
            </w:r>
          </w:p>
        </w:tc>
        <w:tc>
          <w:tcPr>
            <w:tcW w:type="dxa" w:w="1170"/>
          </w:tcPr>
          <w:p>
            <w:pPr>
              <w:spacing w:before="60" w:after="60"/>
            </w:pPr>
            <w:r/>
            <w:r>
              <w:t>17.65%</w:t>
            </w:r>
          </w:p>
        </w:tc>
        <w:tc>
          <w:tcPr>
            <w:tcW w:type="dxa" w:w="1170"/>
          </w:tcPr>
          <w:p>
            <w:pPr>
              <w:spacing w:before="60" w:after="60"/>
            </w:pPr>
            <w:r/>
            <w:r>
              <w:t>28.57%</w:t>
            </w:r>
          </w:p>
        </w:tc>
        <w:tc>
          <w:tcPr>
            <w:tcW w:type="dxa" w:w="1170"/>
          </w:tcPr>
          <w:p>
            <w:pPr>
              <w:spacing w:before="60" w:after="60"/>
            </w:pPr>
            <w:r/>
            <w:r>
              <w:t>0.214</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Character 3-Gram Cosine</w:t>
            </w:r>
            <w:r>
              <w:t xml:space="preserve"> (</w:t>
            </w:r>
            <w:r>
              <w:rPr>
                <w:rFonts w:ascii="Cambria Math" w:hAnsi="Cambria Math"/>
                <w:i/>
              </w:rPr>
              <w:t>\tau_C = 0.25</w:t>
            </w:r>
            <w:r>
              <w:t>)</w:t>
            </w:r>
          </w:p>
        </w:tc>
        <w:tc>
          <w:tcPr>
            <w:tcW w:type="dxa" w:w="1170"/>
          </w:tcPr>
          <w:p>
            <w:pPr>
              <w:spacing w:before="60" w:after="60"/>
            </w:pPr>
            <w:r/>
            <w:r>
              <w:t>71.11%</w:t>
            </w:r>
          </w:p>
        </w:tc>
        <w:tc>
          <w:tcPr>
            <w:tcW w:type="dxa" w:w="1170"/>
          </w:tcPr>
          <w:p>
            <w:pPr>
              <w:spacing w:before="60" w:after="60"/>
            </w:pPr>
            <w:r/>
            <w:r>
              <w:t>80.00%</w:t>
            </w:r>
          </w:p>
        </w:tc>
        <w:tc>
          <w:tcPr>
            <w:tcW w:type="dxa" w:w="1170"/>
          </w:tcPr>
          <w:p>
            <w:pPr>
              <w:spacing w:before="60" w:after="60"/>
            </w:pPr>
            <w:r/>
            <w:r>
              <w:t>23.53%</w:t>
            </w:r>
          </w:p>
        </w:tc>
        <w:tc>
          <w:tcPr>
            <w:tcW w:type="dxa" w:w="1170"/>
          </w:tcPr>
          <w:p>
            <w:pPr>
              <w:spacing w:before="60" w:after="60"/>
            </w:pPr>
            <w:r/>
            <w:r>
              <w:t>36.36%</w:t>
            </w:r>
          </w:p>
        </w:tc>
        <w:tc>
          <w:tcPr>
            <w:tcW w:type="dxa" w:w="1170"/>
          </w:tcPr>
          <w:p>
            <w:pPr>
              <w:spacing w:before="60" w:after="60"/>
            </w:pPr>
            <w:r/>
            <w:r>
              <w:t>0.298</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Production 2-Stage Baseline</w:t>
            </w:r>
            <w:r>
              <w:t xml:space="preserve"> </w:t>
            </w:r>
            <w:r>
              <w:rPr>
                <w:i/>
              </w:rPr>
              <w:t>(Jaccard OR Cosine + LLM)</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11</w:t>
            </w:r>
          </w:p>
        </w:tc>
        <w:tc>
          <w:tcPr>
            <w:tcW w:type="dxa" w:w="1170"/>
          </w:tcPr>
          <w:p>
            <w:pPr>
              <w:spacing w:before="60" w:after="60"/>
            </w:pPr>
            <w:r/>
            <w:r>
              <w:rPr>
                <w:b/>
              </w:rPr>
              <w:t>75.56%</w:t>
            </w:r>
          </w:p>
        </w:tc>
      </w:tr>
      <w:tr>
        <w:tc>
          <w:tcPr>
            <w:tcW w:type="dxa" w:w="1170"/>
          </w:tcPr>
          <w:p>
            <w:pPr>
              <w:spacing w:before="60" w:after="60"/>
            </w:pPr>
            <w:r/>
            <w:r>
              <w:rPr>
                <w:b/>
              </w:rPr>
              <w:t>Proposed EFSA Gate-Only</w:t>
            </w:r>
            <w:r>
              <w:t xml:space="preserve"> (</w:t>
            </w:r>
            <w:r>
              <w:rPr>
                <w:rFonts w:ascii="Cambria Math" w:hAnsi="Cambria Math"/>
                <w:i/>
              </w:rPr>
              <w:t>S_{\text{EFSA}} \ge 0.22</w:t>
            </w:r>
            <w:r>
              <w:t>, No LLM)</w:t>
            </w:r>
          </w:p>
        </w:tc>
        <w:tc>
          <w:tcPr>
            <w:tcW w:type="dxa" w:w="1170"/>
          </w:tcPr>
          <w:p>
            <w:pPr>
              <w:spacing w:before="60" w:after="60"/>
            </w:pPr>
            <w:r/>
            <w:r>
              <w:t>60.00%</w:t>
            </w:r>
          </w:p>
        </w:tc>
        <w:tc>
          <w:tcPr>
            <w:tcW w:type="dxa" w:w="1170"/>
          </w:tcPr>
          <w:p>
            <w:pPr>
              <w:spacing w:before="60" w:after="60"/>
            </w:pPr>
            <w:r/>
            <w:r>
              <w:t>46.15%</w:t>
            </w:r>
          </w:p>
        </w:tc>
        <w:tc>
          <w:tcPr>
            <w:tcW w:type="dxa" w:w="1170"/>
          </w:tcPr>
          <w:p>
            <w:pPr>
              <w:spacing w:before="60" w:after="60"/>
            </w:pPr>
            <w:r/>
            <w:r>
              <w:t>35.29%</w:t>
            </w:r>
          </w:p>
        </w:tc>
        <w:tc>
          <w:tcPr>
            <w:tcW w:type="dxa" w:w="1170"/>
          </w:tcPr>
          <w:p>
            <w:pPr>
              <w:spacing w:before="60" w:after="60"/>
            </w:pPr>
            <w:r/>
            <w:r>
              <w:t>40.00%</w:t>
            </w:r>
          </w:p>
        </w:tc>
        <w:tc>
          <w:tcPr>
            <w:tcW w:type="dxa" w:w="1170"/>
          </w:tcPr>
          <w:p>
            <w:pPr>
              <w:spacing w:before="60" w:after="60"/>
            </w:pPr>
            <w:r/>
            <w:r>
              <w:t>0.110</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Proposed EFSA Full Pipeline</w:t>
            </w:r>
            <w:r>
              <w:t xml:space="preserve"> </w:t>
            </w:r>
            <w:r>
              <w:rPr>
                <w:i/>
              </w:rPr>
              <w:t>(EFSA Gate + Llama 3)</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13</w:t>
            </w:r>
          </w:p>
        </w:tc>
        <w:tc>
          <w:tcPr>
            <w:tcW w:type="dxa" w:w="1170"/>
          </w:tcPr>
          <w:p>
            <w:pPr>
              <w:spacing w:before="60" w:after="60"/>
            </w:pPr>
            <w:r/>
            <w:r>
              <w:rPr>
                <w:b/>
              </w:rPr>
              <w:t>71.11%</w:t>
            </w:r>
          </w:p>
        </w:tc>
      </w:tr>
      <w:tr>
        <w:tc>
          <w:tcPr>
            <w:tcW w:type="dxa" w:w="1170"/>
          </w:tcPr>
          <w:p>
            <w:pPr>
              <w:spacing w:before="60" w:after="60"/>
            </w:pPr>
            <w:r/>
            <w:r>
              <w:rPr>
                <w:b/>
              </w:rPr>
              <w:t>Proposed EFSA + DPCS Full Pipeline</w:t>
            </w:r>
            <w:r>
              <w:t xml:space="preserve"> </w:t>
            </w:r>
            <w:r>
              <w:rPr>
                <w:i/>
              </w:rPr>
              <w:t>(EFSA + DPCS + Llama 3)</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10</w:t>
            </w:r>
          </w:p>
        </w:tc>
        <w:tc>
          <w:tcPr>
            <w:tcW w:type="dxa" w:w="1170"/>
          </w:tcPr>
          <w:p>
            <w:pPr>
              <w:spacing w:before="60" w:after="60"/>
            </w:pPr>
            <w:r/>
            <w:r>
              <w:rPr>
                <w:b/>
              </w:rPr>
              <w:t>77.78%</w:t>
            </w:r>
          </w:p>
        </w:tc>
      </w:tr>
      <w:tr>
        <w:tc>
          <w:tcPr>
            <w:tcW w:type="dxa" w:w="1170"/>
          </w:tcPr>
          <w:p>
            <w:pPr>
              <w:spacing w:before="60" w:after="60"/>
            </w:pPr>
            <w:r/>
            <w:r>
              <w:rPr>
                <w:b/>
              </w:rPr>
              <w:t>Experimental 3-Stage Semantic Gate</w:t>
            </w:r>
            <w:r>
              <w:t xml:space="preserve"> </w:t>
            </w:r>
            <w:r>
              <w:rPr>
                <w:i/>
              </w:rPr>
              <w:t>(Local MiniLM CPU)</w:t>
            </w:r>
          </w:p>
        </w:tc>
        <w:tc>
          <w:tcPr>
            <w:tcW w:type="dxa" w:w="1170"/>
          </w:tcPr>
          <w:p>
            <w:pPr>
              <w:spacing w:before="60" w:after="60"/>
            </w:pPr>
            <w:r/>
            <w:r>
              <w:t>88.89%</w:t>
            </w:r>
          </w:p>
        </w:tc>
        <w:tc>
          <w:tcPr>
            <w:tcW w:type="dxa" w:w="1170"/>
          </w:tcPr>
          <w:p>
            <w:pPr>
              <w:spacing w:before="60" w:after="60"/>
            </w:pPr>
            <w:r/>
            <w:r>
              <w:t>92.86%</w:t>
            </w:r>
          </w:p>
        </w:tc>
        <w:tc>
          <w:tcPr>
            <w:tcW w:type="dxa" w:w="1170"/>
          </w:tcPr>
          <w:p>
            <w:pPr>
              <w:spacing w:before="60" w:after="60"/>
            </w:pPr>
            <w:r/>
            <w:r>
              <w:t>76.47%</w:t>
            </w:r>
          </w:p>
        </w:tc>
        <w:tc>
          <w:tcPr>
            <w:tcW w:type="dxa" w:w="1170"/>
          </w:tcPr>
          <w:p>
            <w:pPr>
              <w:spacing w:before="60" w:after="60"/>
            </w:pPr>
            <w:r/>
            <w:r>
              <w:t>83.87%</w:t>
            </w:r>
          </w:p>
        </w:tc>
        <w:tc>
          <w:tcPr>
            <w:tcW w:type="dxa" w:w="1170"/>
          </w:tcPr>
          <w:p>
            <w:pPr>
              <w:spacing w:before="60" w:after="60"/>
            </w:pPr>
            <w:r/>
            <w:r>
              <w:t>0.751</w:t>
            </w:r>
          </w:p>
        </w:tc>
        <w:tc>
          <w:tcPr>
            <w:tcW w:type="dxa" w:w="1170"/>
          </w:tcPr>
          <w:p>
            <w:pPr>
              <w:spacing w:before="60" w:after="60"/>
            </w:pPr>
            <w:r/>
            <w:r>
              <w:t>21</w:t>
            </w:r>
          </w:p>
        </w:tc>
        <w:tc>
          <w:tcPr>
            <w:tcW w:type="dxa" w:w="1170"/>
          </w:tcPr>
          <w:p>
            <w:pPr>
              <w:spacing w:before="60" w:after="60"/>
            </w:pPr>
            <w:r/>
            <w:r>
              <w:t>53.33%</w:t>
            </w:r>
          </w:p>
        </w:tc>
      </w:tr>
      <w:tr>
        <w:tc>
          <w:tcPr>
            <w:tcW w:type="dxa" w:w="1170"/>
          </w:tcPr>
          <w:p>
            <w:pPr>
              <w:spacing w:before="60" w:after="60"/>
            </w:pPr>
            <w:r/>
            <w:r>
              <w:rPr>
                <w:b/>
              </w:rPr>
              <w:t>LLM-Only Ceiling (Upper Bound, Not Deployed)</w:t>
            </w:r>
          </w:p>
        </w:tc>
        <w:tc>
          <w:tcPr>
            <w:tcW w:type="dxa" w:w="1170"/>
          </w:tcPr>
          <w:p>
            <w:pPr>
              <w:spacing w:before="60" w:after="60"/>
            </w:pPr>
            <w:r/>
            <w:r>
              <w:t>97.78%</w:t>
            </w:r>
          </w:p>
        </w:tc>
        <w:tc>
          <w:tcPr>
            <w:tcW w:type="dxa" w:w="1170"/>
          </w:tcPr>
          <w:p>
            <w:pPr>
              <w:spacing w:before="60" w:after="60"/>
            </w:pPr>
            <w:r/>
            <w:r>
              <w:t>94.44%</w:t>
            </w:r>
          </w:p>
        </w:tc>
        <w:tc>
          <w:tcPr>
            <w:tcW w:type="dxa" w:w="1170"/>
          </w:tcPr>
          <w:p>
            <w:pPr>
              <w:spacing w:before="60" w:after="60"/>
            </w:pPr>
            <w:r/>
            <w:r>
              <w:t>100.00%</w:t>
            </w:r>
          </w:p>
        </w:tc>
        <w:tc>
          <w:tcPr>
            <w:tcW w:type="dxa" w:w="1170"/>
          </w:tcPr>
          <w:p>
            <w:pPr>
              <w:spacing w:before="60" w:after="60"/>
            </w:pPr>
            <w:r/>
            <w:r>
              <w:t>97.14%</w:t>
            </w:r>
          </w:p>
        </w:tc>
        <w:tc>
          <w:tcPr>
            <w:tcW w:type="dxa" w:w="1170"/>
          </w:tcPr>
          <w:p>
            <w:pPr>
              <w:spacing w:before="60" w:after="60"/>
            </w:pPr>
            <w:r/>
            <w:r>
              <w:t>0.949</w:t>
            </w:r>
          </w:p>
        </w:tc>
        <w:tc>
          <w:tcPr>
            <w:tcW w:type="dxa" w:w="1170"/>
          </w:tcPr>
          <w:p>
            <w:pPr>
              <w:spacing w:before="60" w:after="60"/>
            </w:pPr>
            <w:r/>
            <w:r>
              <w:t>45</w:t>
            </w:r>
          </w:p>
        </w:tc>
        <w:tc>
          <w:tcPr>
            <w:tcW w:type="dxa" w:w="1170"/>
          </w:tcPr>
          <w:p>
            <w:pPr>
              <w:spacing w:before="60" w:after="60"/>
            </w:pPr>
            <w:r/>
            <w:r>
              <w:t>0.00%</w:t>
            </w:r>
          </w:p>
        </w:tc>
      </w:tr>
    </w:tbl>
    <w:p/>
    <w:p>
      <w:pPr>
        <w:jc w:val="center"/>
      </w:pPr>
      <w:r>
        <w:rPr>
          <w:color w:val="969696"/>
        </w:rPr>
        <w:t>─────── ❖ ───────</w:t>
      </w:r>
    </w:p>
    <w:p>
      <w:r>
        <w:rPr>
          <w:b/>
        </w:rPr>
        <w:t>TABLE VII: FULL COST/ACCURACY PARETO COMPARISON ACROSS ALL PROPOSED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Strategy</w:t>
            </w:r>
          </w:p>
        </w:tc>
        <w:tc>
          <w:tcPr>
            <w:tcW w:type="dxa" w:w="1560"/>
            <w:shd w:fill="F0F4F8"/>
          </w:tcPr>
          <w:p>
            <w:pPr>
              <w:spacing w:before="60" w:after="60"/>
            </w:pPr>
            <w:r>
              <w:rPr>
                <w:b/>
              </w:rPr>
            </w:r>
            <w:r>
              <w:rPr>
                <w:b/>
              </w:rPr>
              <w:t>Accuracy</w:t>
            </w:r>
          </w:p>
        </w:tc>
        <w:tc>
          <w:tcPr>
            <w:tcW w:type="dxa" w:w="1560"/>
            <w:shd w:fill="F0F4F8"/>
          </w:tcPr>
          <w:p>
            <w:pPr>
              <w:spacing w:before="60" w:after="60"/>
            </w:pPr>
            <w:r>
              <w:rPr>
                <w:b/>
              </w:rPr>
            </w:r>
            <w:r>
              <w:rPr>
                <w:b/>
              </w:rPr>
              <w:t>Recall</w:t>
            </w:r>
          </w:p>
        </w:tc>
        <w:tc>
          <w:tcPr>
            <w:tcW w:type="dxa" w:w="1560"/>
            <w:shd w:fill="F0F4F8"/>
          </w:tcPr>
          <w:p>
            <w:pPr>
              <w:spacing w:before="60" w:after="60"/>
            </w:pPr>
            <w:r>
              <w:rPr>
                <w:b/>
              </w:rPr>
            </w:r>
            <w:r>
              <w:rPr>
                <w:b/>
              </w:rPr>
              <w:t>F1-Score</w:t>
            </w:r>
          </w:p>
        </w:tc>
        <w:tc>
          <w:tcPr>
            <w:tcW w:type="dxa" w:w="1560"/>
            <w:shd w:fill="F0F4F8"/>
          </w:tcPr>
          <w:p>
            <w:pPr>
              <w:spacing w:before="60" w:after="60"/>
            </w:pPr>
            <w:r>
              <w:rPr>
                <w:b/>
              </w:rPr>
            </w:r>
            <w:r>
              <w:rPr>
                <w:b/>
              </w:rPr>
              <w:t>LLM Calls</w:t>
            </w:r>
          </w:p>
        </w:tc>
        <w:tc>
          <w:tcPr>
            <w:tcW w:type="dxa" w:w="1560"/>
            <w:shd w:fill="F0F4F8"/>
          </w:tcPr>
          <w:p>
            <w:pPr>
              <w:spacing w:before="60" w:after="60"/>
            </w:pPr>
            <w:r>
              <w:rPr>
                <w:b/>
              </w:rPr>
            </w:r>
            <w:r>
              <w:rPr>
                <w:b/>
              </w:rPr>
              <w:t>Savings</w:t>
            </w:r>
          </w:p>
        </w:tc>
      </w:tr>
      <w:tr>
        <w:tc>
          <w:tcPr>
            <w:tcW w:type="dxa" w:w="1560"/>
          </w:tcPr>
          <w:p>
            <w:pPr>
              <w:spacing w:before="60" w:after="60"/>
            </w:pPr>
            <w:r/>
            <w:r>
              <w:rPr>
                <w:b/>
              </w:rPr>
              <w:t>Production 2-Stage Baseline</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11</w:t>
            </w:r>
          </w:p>
        </w:tc>
        <w:tc>
          <w:tcPr>
            <w:tcW w:type="dxa" w:w="1560"/>
          </w:tcPr>
          <w:p>
            <w:pPr>
              <w:spacing w:before="60" w:after="60"/>
            </w:pPr>
            <w:r/>
            <w:r>
              <w:t>75.56%</w:t>
            </w:r>
          </w:p>
        </w:tc>
      </w:tr>
      <w:tr>
        <w:tc>
          <w:tcPr>
            <w:tcW w:type="dxa" w:w="1560"/>
          </w:tcPr>
          <w:p>
            <w:pPr>
              <w:spacing w:before="60" w:after="60"/>
            </w:pPr>
            <w:r/>
            <w:r>
              <w:rPr>
                <w:b/>
              </w:rPr>
              <w:t>EFSA Full Pipeline</w:t>
            </w:r>
            <w:r>
              <w:t xml:space="preserve"> (</w:t>
            </w:r>
            <w:r>
              <w:rPr>
                <w:rFonts w:ascii="Cambria Math" w:hAnsi="Cambria Math"/>
                <w:i/>
              </w:rPr>
              <w:t>\tau=0.22</w:t>
            </w:r>
            <w:r>
              <w:t>, current)</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13</w:t>
            </w:r>
          </w:p>
        </w:tc>
        <w:tc>
          <w:tcPr>
            <w:tcW w:type="dxa" w:w="1560"/>
          </w:tcPr>
          <w:p>
            <w:pPr>
              <w:spacing w:before="60" w:after="60"/>
            </w:pPr>
            <w:r/>
            <w:r>
              <w:t>71.11%</w:t>
            </w:r>
          </w:p>
        </w:tc>
      </w:tr>
      <w:tr>
        <w:tc>
          <w:tcPr>
            <w:tcW w:type="dxa" w:w="1560"/>
          </w:tcPr>
          <w:p>
            <w:pPr>
              <w:spacing w:before="60" w:after="60"/>
            </w:pPr>
            <w:r/>
            <w:r>
              <w:rPr>
                <w:b/>
              </w:rPr>
              <w:t>EFSA + DPCS Full Pipeline</w:t>
            </w:r>
            <w:r>
              <w:t xml:space="preserve"> (</w:t>
            </w:r>
            <w:r>
              <w:rPr>
                <w:rFonts w:ascii="Cambria Math" w:hAnsi="Cambria Math"/>
                <w:i/>
              </w:rPr>
              <w:t>\tau=0.22</w:t>
            </w:r>
            <w:r>
              <w:t>, current)</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10</w:t>
            </w:r>
          </w:p>
        </w:tc>
        <w:tc>
          <w:tcPr>
            <w:tcW w:type="dxa" w:w="1560"/>
          </w:tcPr>
          <w:p>
            <w:pPr>
              <w:spacing w:before="60" w:after="60"/>
            </w:pPr>
            <w:r/>
            <w:r>
              <w:t>77.78%</w:t>
            </w:r>
          </w:p>
        </w:tc>
      </w:tr>
      <w:tr>
        <w:tc>
          <w:tcPr>
            <w:tcW w:type="dxa" w:w="1560"/>
          </w:tcPr>
          <w:p>
            <w:pPr>
              <w:spacing w:before="60" w:after="60"/>
            </w:pPr>
            <w:r/>
            <w:r>
              <w:rPr>
                <w:b/>
              </w:rPr>
              <w:t>EFSA Full Pipeline</w:t>
            </w:r>
            <w:r>
              <w:t xml:space="preserve"> (</w:t>
            </w:r>
            <w:r>
              <w:rPr>
                <w:rFonts w:ascii="Cambria Math" w:hAnsi="Cambria Math"/>
                <w:i/>
              </w:rPr>
              <w:t>\tau=0.18</w:t>
            </w:r>
            <w:r>
              <w:t>)</w:t>
            </w:r>
          </w:p>
        </w:tc>
        <w:tc>
          <w:tcPr>
            <w:tcW w:type="dxa" w:w="1560"/>
          </w:tcPr>
          <w:p>
            <w:pPr>
              <w:spacing w:before="60" w:after="60"/>
            </w:pPr>
            <w:r/>
            <w:r>
              <w:t>80.00%</w:t>
            </w:r>
          </w:p>
        </w:tc>
        <w:tc>
          <w:tcPr>
            <w:tcW w:type="dxa" w:w="1560"/>
          </w:tcPr>
          <w:p>
            <w:pPr>
              <w:spacing w:before="60" w:after="60"/>
            </w:pPr>
            <w:r/>
            <w:r>
              <w:t>52.94%</w:t>
            </w:r>
          </w:p>
        </w:tc>
        <w:tc>
          <w:tcPr>
            <w:tcW w:type="dxa" w:w="1560"/>
          </w:tcPr>
          <w:p>
            <w:pPr>
              <w:spacing w:before="60" w:after="60"/>
            </w:pPr>
            <w:r/>
            <w:r>
              <w:t>66.67%</w:t>
            </w:r>
          </w:p>
        </w:tc>
        <w:tc>
          <w:tcPr>
            <w:tcW w:type="dxa" w:w="1560"/>
          </w:tcPr>
          <w:p>
            <w:pPr>
              <w:spacing w:before="60" w:after="60"/>
            </w:pPr>
            <w:r/>
            <w:r>
              <w:t>25</w:t>
            </w:r>
          </w:p>
        </w:tc>
        <w:tc>
          <w:tcPr>
            <w:tcW w:type="dxa" w:w="1560"/>
          </w:tcPr>
          <w:p>
            <w:pPr>
              <w:spacing w:before="60" w:after="60"/>
            </w:pPr>
            <w:r/>
            <w:r>
              <w:t>44.44%</w:t>
            </w:r>
          </w:p>
        </w:tc>
      </w:tr>
      <w:tr>
        <w:tc>
          <w:tcPr>
            <w:tcW w:type="dxa" w:w="1560"/>
          </w:tcPr>
          <w:p>
            <w:pPr>
              <w:spacing w:before="60" w:after="60"/>
            </w:pPr>
            <w:r/>
            <w:r>
              <w:rPr>
                <w:b/>
              </w:rPr>
              <w:t>EFSA Full Pipeline</w:t>
            </w:r>
            <w:r>
              <w:t xml:space="preserve"> (</w:t>
            </w:r>
            <w:r>
              <w:rPr>
                <w:rFonts w:ascii="Cambria Math" w:hAnsi="Cambria Math"/>
                <w:i/>
              </w:rPr>
              <w:t>\tau=0.15</w:t>
            </w:r>
            <w:r>
              <w:t>)</w:t>
            </w:r>
          </w:p>
        </w:tc>
        <w:tc>
          <w:tcPr>
            <w:tcW w:type="dxa" w:w="1560"/>
          </w:tcPr>
          <w:p>
            <w:pPr>
              <w:spacing w:before="60" w:after="60"/>
            </w:pPr>
            <w:r/>
            <w:r>
              <w:t>82.22%</w:t>
            </w:r>
          </w:p>
        </w:tc>
        <w:tc>
          <w:tcPr>
            <w:tcW w:type="dxa" w:w="1560"/>
          </w:tcPr>
          <w:p>
            <w:pPr>
              <w:spacing w:before="60" w:after="60"/>
            </w:pPr>
            <w:r/>
            <w:r>
              <w:t>58.82%</w:t>
            </w:r>
          </w:p>
        </w:tc>
        <w:tc>
          <w:tcPr>
            <w:tcW w:type="dxa" w:w="1560"/>
          </w:tcPr>
          <w:p>
            <w:pPr>
              <w:spacing w:before="60" w:after="60"/>
            </w:pPr>
            <w:r/>
            <w:r>
              <w:t>71.43%</w:t>
            </w:r>
          </w:p>
        </w:tc>
        <w:tc>
          <w:tcPr>
            <w:tcW w:type="dxa" w:w="1560"/>
          </w:tcPr>
          <w:p>
            <w:pPr>
              <w:spacing w:before="60" w:after="60"/>
            </w:pPr>
            <w:r/>
            <w:r>
              <w:t>31</w:t>
            </w:r>
          </w:p>
        </w:tc>
        <w:tc>
          <w:tcPr>
            <w:tcW w:type="dxa" w:w="1560"/>
          </w:tcPr>
          <w:p>
            <w:pPr>
              <w:spacing w:before="60" w:after="60"/>
            </w:pPr>
            <w:r/>
            <w:r>
              <w:t>31.11%</w:t>
            </w:r>
          </w:p>
        </w:tc>
      </w:tr>
      <w:tr>
        <w:tc>
          <w:tcPr>
            <w:tcW w:type="dxa" w:w="1560"/>
          </w:tcPr>
          <w:p>
            <w:pPr>
              <w:spacing w:before="60" w:after="60"/>
            </w:pPr>
            <w:r/>
            <w:r>
              <w:rPr>
                <w:b/>
              </w:rPr>
              <w:t>Semantic Gate</w:t>
            </w:r>
            <w:r>
              <w:t xml:space="preserve"> (</w:t>
            </w:r>
            <w:r>
              <w:rPr>
                <w:rFonts w:ascii="Consolas" w:hAnsi="Consolas"/>
                <w:color w:val="B42828"/>
                <w:sz w:val="19"/>
              </w:rPr>
              <w:t>Xenova/all-MiniLM-L6-v2</w:t>
            </w:r>
            <w:r>
              <w:t xml:space="preserve">, </w:t>
            </w:r>
            <w:r>
              <w:rPr>
                <w:rFonts w:ascii="Cambria Math" w:hAnsi="Cambria Math"/>
                <w:i/>
              </w:rPr>
              <w:t>T_{\text{sem}}=0.40</w:t>
            </w:r>
            <w:r>
              <w:t>)</w:t>
            </w:r>
          </w:p>
        </w:tc>
        <w:tc>
          <w:tcPr>
            <w:tcW w:type="dxa" w:w="1560"/>
          </w:tcPr>
          <w:p>
            <w:pPr>
              <w:spacing w:before="60" w:after="60"/>
            </w:pPr>
            <w:r/>
            <w:r>
              <w:t>88.89%</w:t>
            </w:r>
          </w:p>
        </w:tc>
        <w:tc>
          <w:tcPr>
            <w:tcW w:type="dxa" w:w="1560"/>
          </w:tcPr>
          <w:p>
            <w:pPr>
              <w:spacing w:before="60" w:after="60"/>
            </w:pPr>
            <w:r/>
            <w:r>
              <w:t>76.47%</w:t>
            </w:r>
          </w:p>
        </w:tc>
        <w:tc>
          <w:tcPr>
            <w:tcW w:type="dxa" w:w="1560"/>
          </w:tcPr>
          <w:p>
            <w:pPr>
              <w:spacing w:before="60" w:after="60"/>
            </w:pPr>
            <w:r/>
            <w:r>
              <w:t>83.87%</w:t>
            </w:r>
          </w:p>
        </w:tc>
        <w:tc>
          <w:tcPr>
            <w:tcW w:type="dxa" w:w="1560"/>
          </w:tcPr>
          <w:p>
            <w:pPr>
              <w:spacing w:before="60" w:after="60"/>
            </w:pPr>
            <w:r/>
            <w:r>
              <w:t>21</w:t>
            </w:r>
          </w:p>
        </w:tc>
        <w:tc>
          <w:tcPr>
            <w:tcW w:type="dxa" w:w="1560"/>
          </w:tcPr>
          <w:p>
            <w:pPr>
              <w:spacing w:before="60" w:after="60"/>
            </w:pPr>
            <w:r/>
            <w:r>
              <w:t>53.33%</w:t>
            </w:r>
          </w:p>
        </w:tc>
      </w:tr>
      <w:tr>
        <w:tc>
          <w:tcPr>
            <w:tcW w:type="dxa" w:w="1560"/>
          </w:tcPr>
          <w:p>
            <w:pPr>
              <w:spacing w:before="60" w:after="60"/>
            </w:pPr>
            <w:r/>
            <w:r>
              <w:rPr>
                <w:b/>
              </w:rPr>
              <w:t>LLM-Only Ceiling</w:t>
            </w:r>
            <w:r>
              <w:t xml:space="preserve"> (upper bound, not deployed)</w:t>
            </w:r>
          </w:p>
        </w:tc>
        <w:tc>
          <w:tcPr>
            <w:tcW w:type="dxa" w:w="1560"/>
          </w:tcPr>
          <w:p>
            <w:pPr>
              <w:spacing w:before="60" w:after="60"/>
            </w:pPr>
            <w:r/>
            <w:r>
              <w:t>97.78%</w:t>
            </w:r>
          </w:p>
        </w:tc>
        <w:tc>
          <w:tcPr>
            <w:tcW w:type="dxa" w:w="1560"/>
          </w:tcPr>
          <w:p>
            <w:pPr>
              <w:spacing w:before="60" w:after="60"/>
            </w:pPr>
            <w:r/>
            <w:r>
              <w:t>100.00%</w:t>
            </w:r>
          </w:p>
        </w:tc>
        <w:tc>
          <w:tcPr>
            <w:tcW w:type="dxa" w:w="1560"/>
          </w:tcPr>
          <w:p>
            <w:pPr>
              <w:spacing w:before="60" w:after="60"/>
            </w:pPr>
            <w:r/>
            <w:r>
              <w:t>97.14%</w:t>
            </w:r>
          </w:p>
        </w:tc>
        <w:tc>
          <w:tcPr>
            <w:tcW w:type="dxa" w:w="1560"/>
          </w:tcPr>
          <w:p>
            <w:pPr>
              <w:spacing w:before="60" w:after="60"/>
            </w:pPr>
            <w:r/>
            <w:r>
              <w:t>45</w:t>
            </w:r>
          </w:p>
        </w:tc>
        <w:tc>
          <w:tcPr>
            <w:tcW w:type="dxa" w:w="1560"/>
          </w:tcPr>
          <w:p>
            <w:pPr>
              <w:spacing w:before="60" w:after="60"/>
            </w:pPr>
            <w:r/>
            <w:r>
              <w:t>0.00%</w:t>
            </w:r>
          </w:p>
        </w:tc>
      </w:tr>
    </w:tbl>
    <w:p/>
    <w:p>
      <w:r>
        <w:rPr>
          <w:i/>
        </w:rPr>
        <w:t>Empirical Strategy Comparison:</w:t>
      </w:r>
      <w:r>
        <w:t xml:space="preserve"> As demonstrated in Table VII, the experimental local semantic embedding gate (</w:t>
      </w:r>
      <w:r>
        <w:rPr>
          <w:rFonts w:ascii="Consolas" w:hAnsi="Consolas"/>
          <w:color w:val="B42828"/>
          <w:sz w:val="19"/>
        </w:rPr>
        <w:t>Xenova/all-MiniLM-L6-v2</w:t>
      </w:r>
      <w:r>
        <w:t xml:space="preserve"> at </w:t>
      </w:r>
      <w:r>
        <w:rPr>
          <w:rFonts w:ascii="Cambria Math" w:hAnsi="Cambria Math"/>
          <w:i/>
        </w:rPr>
        <w:t>T_{\text{sem}}=0.40</w:t>
      </w:r>
      <w:r>
        <w:t>) strictly dominates every EFSA operating point tested (</w:t>
      </w:r>
      <w:r>
        <w:rPr>
          <w:rFonts w:ascii="Cambria Math" w:hAnsi="Cambria Math"/>
          <w:i/>
        </w:rPr>
        <w:t>\tau = 0.15</w:t>
      </w:r>
      <w:r>
        <w:t xml:space="preserve"> through </w:t>
      </w:r>
      <w:r>
        <w:rPr>
          <w:rFonts w:ascii="Cambria Math" w:hAnsi="Cambria Math"/>
          <w:i/>
        </w:rPr>
        <w:t>0.35</w:t>
      </w:r>
      <w:r>
        <w:t>) across accuracy (88.89%), recall (76.47%), F1-score (83.87%), and LLM call count (21 calls) simultaneously. No EFSA threshold in the sensitivity sweep matches or exceeds the semantic gate's performance at an equal or lower call count. Consequently, EFSA and DPCS are presented not as outperforming alternatives to neural semantic embeddings, but as dependency-free, pure-heuristic strategies with their own characterized cost/accuracy tradeoff curves. These heuristic methods are explicitly useful for constrained runtime environments where loading even a lightweight local transformer model (</w:t>
      </w:r>
      <w:r>
        <w:rPr>
          <w:rFonts w:ascii="Consolas" w:hAnsi="Consolas"/>
          <w:color w:val="B42828"/>
          <w:sz w:val="19"/>
        </w:rPr>
        <w:t>Xenova/all-MiniLM-L6-v2</w:t>
      </w:r>
      <w:r>
        <w:t>) is undesirable or infeasible.</w:t>
      </w:r>
    </w:p>
    <w:p>
      <w:pPr>
        <w:jc w:val="center"/>
      </w:pPr>
      <w:r>
        <w:rPr>
          <w:color w:val="969696"/>
        </w:rPr>
        <w:t>─────── ❖ ───────</w:t>
      </w:r>
    </w:p>
    <w:p>
      <w:pPr>
        <w:pStyle w:val="Heading3"/>
      </w:pPr>
      <w:r>
        <w:t>5.3 Real 5-Component Ablation Study</w:t>
      </w:r>
    </w:p>
    <w:p>
      <w:r>
        <w:t xml:space="preserve">To quantify the individual contribution of each evidence dimension in EFSA, we execute a 5-component ablation experiment across all 45 test pairs using </w:t>
      </w:r>
      <w:r>
        <w:rPr>
          <w:rFonts w:ascii="Consolas" w:hAnsi="Consolas"/>
          <w:color w:val="B42828"/>
          <w:sz w:val="19"/>
        </w:rPr>
        <w:t>runEfsaDpcsEvaluation.js</w:t>
      </w:r>
      <w:r>
        <w:t xml:space="preserve"> (</w:t>
      </w:r>
      <w:r>
        <w:rPr>
          <w:rFonts w:ascii="Consolas" w:hAnsi="Consolas"/>
          <w:color w:val="B42828"/>
          <w:sz w:val="19"/>
        </w:rPr>
        <w:t>backend/jobs/evaluation/efsa-dpcs-results.json</w:t>
      </w:r>
      <w:r>
        <w:t>).</w:t>
      </w:r>
    </w:p>
    <w:p>
      <w:r>
        <w:rPr>
          <w:b/>
        </w:rPr>
        <w:t>TABLE VIII: REAL 5-COMPONENT EFSA ABLATION RESULTS (GATE-ONLY)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F0F4F8"/>
          </w:tcPr>
          <w:p>
            <w:pPr>
              <w:spacing w:before="60" w:after="60"/>
            </w:pPr>
            <w:r>
              <w:rPr>
                <w:b/>
              </w:rPr>
            </w:r>
            <w:r>
              <w:rPr>
                <w:b/>
              </w:rPr>
              <w:t>Ablated Component / Variant</w:t>
            </w:r>
          </w:p>
        </w:tc>
        <w:tc>
          <w:tcPr>
            <w:tcW w:type="dxa" w:w="1337"/>
            <w:shd w:fill="F0F4F8"/>
          </w:tcPr>
          <w:p>
            <w:pPr>
              <w:spacing w:before="60" w:after="60"/>
            </w:pPr>
            <w:r>
              <w:rPr>
                <w:b/>
              </w:rPr>
            </w:r>
            <w:r>
              <w:rPr>
                <w:b/>
              </w:rPr>
              <w:t>Accuracy</w:t>
            </w:r>
          </w:p>
        </w:tc>
        <w:tc>
          <w:tcPr>
            <w:tcW w:type="dxa" w:w="1337"/>
            <w:shd w:fill="F0F4F8"/>
          </w:tcPr>
          <w:p>
            <w:pPr>
              <w:spacing w:before="60" w:after="60"/>
            </w:pPr>
            <w:r>
              <w:rPr>
                <w:b/>
              </w:rPr>
            </w:r>
            <w:r>
              <w:rPr>
                <w:b/>
              </w:rPr>
              <w:t>Precision</w:t>
            </w:r>
          </w:p>
        </w:tc>
        <w:tc>
          <w:tcPr>
            <w:tcW w:type="dxa" w:w="1337"/>
            <w:shd w:fill="F0F4F8"/>
          </w:tcPr>
          <w:p>
            <w:pPr>
              <w:spacing w:before="60" w:after="60"/>
            </w:pPr>
            <w:r>
              <w:rPr>
                <w:b/>
              </w:rPr>
            </w:r>
            <w:r>
              <w:rPr>
                <w:b/>
              </w:rPr>
              <w:t>Recall</w:t>
            </w:r>
          </w:p>
        </w:tc>
        <w:tc>
          <w:tcPr>
            <w:tcW w:type="dxa" w:w="1337"/>
            <w:shd w:fill="F0F4F8"/>
          </w:tcPr>
          <w:p>
            <w:pPr>
              <w:spacing w:before="60" w:after="60"/>
            </w:pPr>
            <w:r>
              <w:rPr>
                <w:b/>
              </w:rPr>
            </w:r>
            <w:r>
              <w:rPr>
                <w:b/>
              </w:rPr>
              <w:t>F1-Score</w:t>
            </w:r>
          </w:p>
        </w:tc>
        <w:tc>
          <w:tcPr>
            <w:tcW w:type="dxa" w:w="1337"/>
            <w:shd w:fill="F0F4F8"/>
          </w:tcPr>
          <w:p>
            <w:pPr>
              <w:spacing w:before="60" w:after="60"/>
            </w:pPr>
            <w:r>
              <w:rPr>
                <w:b/>
              </w:rPr>
            </w:r>
            <w:r>
              <w:rPr>
                <w:b/>
              </w:rPr>
              <w:t>MCC</w:t>
            </w:r>
          </w:p>
        </w:tc>
        <w:tc>
          <w:tcPr>
            <w:tcW w:type="dxa" w:w="1337"/>
            <w:shd w:fill="F0F4F8"/>
          </w:tcPr>
          <w:p>
            <w:pPr>
              <w:spacing w:before="60" w:after="60"/>
            </w:pPr>
            <w:r>
              <w:rPr>
                <w:b/>
              </w:rPr>
            </w:r>
            <w:r>
              <w:rPr>
                <w:b/>
              </w:rPr>
              <w:t>Operational Impact</w:t>
            </w:r>
          </w:p>
        </w:tc>
      </w:tr>
      <w:tr>
        <w:tc>
          <w:tcPr>
            <w:tcW w:type="dxa" w:w="1337"/>
          </w:tcPr>
          <w:p>
            <w:pPr>
              <w:spacing w:before="60" w:after="60"/>
            </w:pPr>
            <w:r/>
            <w:r>
              <w:rPr>
                <w:b/>
              </w:rPr>
              <w:t>Full EFSA Gate (All 5 Components)</w:t>
            </w:r>
          </w:p>
        </w:tc>
        <w:tc>
          <w:tcPr>
            <w:tcW w:type="dxa" w:w="1337"/>
          </w:tcPr>
          <w:p>
            <w:pPr>
              <w:spacing w:before="60" w:after="60"/>
            </w:pPr>
            <w:r/>
            <w:r>
              <w:rPr>
                <w:b/>
              </w:rPr>
              <w:t>60.00%</w:t>
            </w:r>
          </w:p>
        </w:tc>
        <w:tc>
          <w:tcPr>
            <w:tcW w:type="dxa" w:w="1337"/>
          </w:tcPr>
          <w:p>
            <w:pPr>
              <w:spacing w:before="60" w:after="60"/>
            </w:pPr>
            <w:r/>
            <w:r>
              <w:rPr>
                <w:b/>
              </w:rPr>
              <w:t>46.15%</w:t>
            </w:r>
          </w:p>
        </w:tc>
        <w:tc>
          <w:tcPr>
            <w:tcW w:type="dxa" w:w="1337"/>
          </w:tcPr>
          <w:p>
            <w:pPr>
              <w:spacing w:before="60" w:after="60"/>
            </w:pPr>
            <w:r/>
            <w:r>
              <w:rPr>
                <w:b/>
              </w:rPr>
              <w:t>35.29%</w:t>
            </w:r>
          </w:p>
        </w:tc>
        <w:tc>
          <w:tcPr>
            <w:tcW w:type="dxa" w:w="1337"/>
          </w:tcPr>
          <w:p>
            <w:pPr>
              <w:spacing w:before="60" w:after="60"/>
            </w:pPr>
            <w:r/>
            <w:r>
              <w:rPr>
                <w:b/>
              </w:rPr>
              <w:t>40.00%</w:t>
            </w:r>
          </w:p>
        </w:tc>
        <w:tc>
          <w:tcPr>
            <w:tcW w:type="dxa" w:w="1337"/>
          </w:tcPr>
          <w:p>
            <w:pPr>
              <w:spacing w:before="60" w:after="60"/>
            </w:pPr>
            <w:r/>
            <w:r>
              <w:rPr>
                <w:b/>
              </w:rPr>
              <w:t>0.110</w:t>
            </w:r>
          </w:p>
        </w:tc>
        <w:tc>
          <w:tcPr>
            <w:tcW w:type="dxa" w:w="1337"/>
          </w:tcPr>
          <w:p>
            <w:pPr>
              <w:spacing w:before="60" w:after="60"/>
            </w:pPr>
            <w:r/>
            <w:r>
              <w:t>Baseline multi-evidence gate</w:t>
            </w:r>
          </w:p>
        </w:tc>
      </w:tr>
      <w:tr>
        <w:tc>
          <w:tcPr>
            <w:tcW w:type="dxa" w:w="1337"/>
          </w:tcPr>
          <w:p>
            <w:pPr>
              <w:spacing w:before="60" w:after="60"/>
            </w:pPr>
            <w:r/>
            <w:r>
              <w:rPr>
                <w:i/>
              </w:rPr>
              <w:t>w/o Sector Match ($S_{\text{sec}}$)</w:t>
            </w:r>
          </w:p>
        </w:tc>
        <w:tc>
          <w:tcPr>
            <w:tcW w:type="dxa" w:w="1337"/>
          </w:tcPr>
          <w:p>
            <w:pPr>
              <w:spacing w:before="60" w:after="60"/>
            </w:pPr>
            <w:r/>
            <w:r>
              <w:t>44.44%</w:t>
            </w:r>
          </w:p>
        </w:tc>
        <w:tc>
          <w:tcPr>
            <w:tcW w:type="dxa" w:w="1337"/>
          </w:tcPr>
          <w:p>
            <w:pPr>
              <w:spacing w:before="60" w:after="60"/>
            </w:pPr>
            <w:r/>
            <w:r>
              <w:t>34.62%</w:t>
            </w:r>
          </w:p>
        </w:tc>
        <w:tc>
          <w:tcPr>
            <w:tcW w:type="dxa" w:w="1337"/>
          </w:tcPr>
          <w:p>
            <w:pPr>
              <w:spacing w:before="60" w:after="60"/>
            </w:pPr>
            <w:r/>
            <w:r>
              <w:t>52.94%</w:t>
            </w:r>
          </w:p>
        </w:tc>
        <w:tc>
          <w:tcPr>
            <w:tcW w:type="dxa" w:w="1337"/>
          </w:tcPr>
          <w:p>
            <w:pPr>
              <w:spacing w:before="60" w:after="60"/>
            </w:pPr>
            <w:r/>
            <w:r>
              <w:t>41.86%</w:t>
            </w:r>
          </w:p>
        </w:tc>
        <w:tc>
          <w:tcPr>
            <w:tcW w:type="dxa" w:w="1337"/>
          </w:tcPr>
          <w:p>
            <w:pPr>
              <w:spacing w:before="60" w:after="60"/>
            </w:pPr>
            <w:r/>
            <w:r>
              <w:t>-0.076</w:t>
            </w:r>
          </w:p>
        </w:tc>
        <w:tc>
          <w:tcPr>
            <w:tcW w:type="dxa" w:w="1337"/>
          </w:tcPr>
          <w:p>
            <w:pPr>
              <w:spacing w:before="60" w:after="60"/>
            </w:pPr>
            <w:r/>
            <w:r>
              <w:t>Severe cross-domain false candidate leaks</w:t>
            </w:r>
          </w:p>
        </w:tc>
      </w:tr>
      <w:tr>
        <w:tc>
          <w:tcPr>
            <w:tcW w:type="dxa" w:w="1337"/>
          </w:tcPr>
          <w:p>
            <w:pPr>
              <w:spacing w:before="60" w:after="60"/>
            </w:pPr>
            <w:r/>
            <w:r>
              <w:rPr>
                <w:i/>
              </w:rPr>
              <w:t>w/o Unigram Keyword IoU ($S_{\text{key}}$)</w:t>
            </w:r>
          </w:p>
        </w:tc>
        <w:tc>
          <w:tcPr>
            <w:tcW w:type="dxa" w:w="1337"/>
          </w:tcPr>
          <w:p>
            <w:pPr>
              <w:spacing w:before="60" w:after="60"/>
            </w:pPr>
            <w:r/>
            <w:r>
              <w:t>42.22%</w:t>
            </w:r>
          </w:p>
        </w:tc>
        <w:tc>
          <w:tcPr>
            <w:tcW w:type="dxa" w:w="1337"/>
          </w:tcPr>
          <w:p>
            <w:pPr>
              <w:spacing w:before="60" w:after="60"/>
            </w:pPr>
            <w:r/>
            <w:r>
              <w:t>28.57%</w:t>
            </w:r>
          </w:p>
        </w:tc>
        <w:tc>
          <w:tcPr>
            <w:tcW w:type="dxa" w:w="1337"/>
          </w:tcPr>
          <w:p>
            <w:pPr>
              <w:spacing w:before="60" w:after="60"/>
            </w:pPr>
            <w:r/>
            <w:r>
              <w:t>35.29%</w:t>
            </w:r>
          </w:p>
        </w:tc>
        <w:tc>
          <w:tcPr>
            <w:tcW w:type="dxa" w:w="1337"/>
          </w:tcPr>
          <w:p>
            <w:pPr>
              <w:spacing w:before="60" w:after="60"/>
            </w:pPr>
            <w:r/>
            <w:r>
              <w:t>31.58%</w:t>
            </w:r>
          </w:p>
        </w:tc>
        <w:tc>
          <w:tcPr>
            <w:tcW w:type="dxa" w:w="1337"/>
          </w:tcPr>
          <w:p>
            <w:pPr>
              <w:spacing w:before="60" w:after="60"/>
            </w:pPr>
            <w:r/>
            <w:r>
              <w:t>-0.178</w:t>
            </w:r>
          </w:p>
        </w:tc>
        <w:tc>
          <w:tcPr>
            <w:tcW w:type="dxa" w:w="1337"/>
          </w:tcPr>
          <w:p>
            <w:pPr>
              <w:spacing w:before="60" w:after="60"/>
            </w:pPr>
            <w:r/>
            <w:r>
              <w:t>Significant precision loss on short titles</w:t>
            </w:r>
          </w:p>
        </w:tc>
      </w:tr>
      <w:tr>
        <w:tc>
          <w:tcPr>
            <w:tcW w:type="dxa" w:w="1337"/>
          </w:tcPr>
          <w:p>
            <w:pPr>
              <w:spacing w:before="60" w:after="60"/>
            </w:pPr>
            <w:r/>
            <w:r>
              <w:rPr>
                <w:i/>
              </w:rPr>
              <w:t>w/o Named Entity Overlap ($S_{\text{ent}}$)</w:t>
            </w:r>
          </w:p>
        </w:tc>
        <w:tc>
          <w:tcPr>
            <w:tcW w:type="dxa" w:w="1337"/>
          </w:tcPr>
          <w:p>
            <w:pPr>
              <w:spacing w:before="60" w:after="60"/>
            </w:pPr>
            <w:r/>
            <w:r>
              <w:t>62.22%</w:t>
            </w:r>
          </w:p>
        </w:tc>
        <w:tc>
          <w:tcPr>
            <w:tcW w:type="dxa" w:w="1337"/>
          </w:tcPr>
          <w:p>
            <w:pPr>
              <w:spacing w:before="60" w:after="60"/>
            </w:pPr>
            <w:r/>
            <w:r>
              <w:t>50.00%</w:t>
            </w:r>
          </w:p>
        </w:tc>
        <w:tc>
          <w:tcPr>
            <w:tcW w:type="dxa" w:w="1337"/>
          </w:tcPr>
          <w:p>
            <w:pPr>
              <w:spacing w:before="60" w:after="60"/>
            </w:pPr>
            <w:r/>
            <w:r>
              <w:t>41.18%</w:t>
            </w:r>
          </w:p>
        </w:tc>
        <w:tc>
          <w:tcPr>
            <w:tcW w:type="dxa" w:w="1337"/>
          </w:tcPr>
          <w:p>
            <w:pPr>
              <w:spacing w:before="60" w:after="60"/>
            </w:pPr>
            <w:r/>
            <w:r>
              <w:t>45.16%</w:t>
            </w:r>
          </w:p>
        </w:tc>
        <w:tc>
          <w:tcPr>
            <w:tcW w:type="dxa" w:w="1337"/>
          </w:tcPr>
          <w:p>
            <w:pPr>
              <w:spacing w:before="60" w:after="60"/>
            </w:pPr>
            <w:r/>
            <w:r>
              <w:t>0.169</w:t>
            </w:r>
          </w:p>
        </w:tc>
        <w:tc>
          <w:tcPr>
            <w:tcW w:type="dxa" w:w="1337"/>
          </w:tcPr>
          <w:p>
            <w:pPr>
              <w:spacing w:before="60" w:after="60"/>
            </w:pPr>
            <w:r/>
            <w:r>
              <w:t>Drops precision on proper noun pairs</w:t>
            </w:r>
          </w:p>
        </w:tc>
      </w:tr>
      <w:tr>
        <w:tc>
          <w:tcPr>
            <w:tcW w:type="dxa" w:w="1337"/>
          </w:tcPr>
          <w:p>
            <w:pPr>
              <w:spacing w:before="60" w:after="60"/>
            </w:pPr>
            <w:r/>
            <w:r>
              <w:rPr>
                <w:i/>
              </w:rPr>
              <w:t>w/o Headline Character Cosine ($S_{\text{head}}$)</w:t>
            </w:r>
          </w:p>
        </w:tc>
        <w:tc>
          <w:tcPr>
            <w:tcW w:type="dxa" w:w="1337"/>
          </w:tcPr>
          <w:p>
            <w:pPr>
              <w:spacing w:before="60" w:after="60"/>
            </w:pPr>
            <w:r/>
            <w:r>
              <w:t>64.44%</w:t>
            </w:r>
          </w:p>
        </w:tc>
        <w:tc>
          <w:tcPr>
            <w:tcW w:type="dxa" w:w="1337"/>
          </w:tcPr>
          <w:p>
            <w:pPr>
              <w:spacing w:before="60" w:after="60"/>
            </w:pPr>
            <w:r/>
            <w:r>
              <w:t>55.56%</w:t>
            </w:r>
          </w:p>
        </w:tc>
        <w:tc>
          <w:tcPr>
            <w:tcW w:type="dxa" w:w="1337"/>
          </w:tcPr>
          <w:p>
            <w:pPr>
              <w:spacing w:before="60" w:after="60"/>
            </w:pPr>
            <w:r/>
            <w:r>
              <w:t>29.41%</w:t>
            </w:r>
          </w:p>
        </w:tc>
        <w:tc>
          <w:tcPr>
            <w:tcW w:type="dxa" w:w="1337"/>
          </w:tcPr>
          <w:p>
            <w:pPr>
              <w:spacing w:before="60" w:after="60"/>
            </w:pPr>
            <w:r/>
            <w:r>
              <w:t>38.46%</w:t>
            </w:r>
          </w:p>
        </w:tc>
        <w:tc>
          <w:tcPr>
            <w:tcW w:type="dxa" w:w="1337"/>
          </w:tcPr>
          <w:p>
            <w:pPr>
              <w:spacing w:before="60" w:after="60"/>
            </w:pPr>
            <w:r/>
            <w:r>
              <w:t>0.183</w:t>
            </w:r>
          </w:p>
        </w:tc>
        <w:tc>
          <w:tcPr>
            <w:tcW w:type="dxa" w:w="1337"/>
          </w:tcPr>
          <w:p>
            <w:pPr>
              <w:spacing w:before="60" w:after="60"/>
            </w:pPr>
            <w:r/>
            <w:r>
              <w:t>Misses character-level n-gram variations</w:t>
            </w:r>
          </w:p>
        </w:tc>
      </w:tr>
      <w:tr>
        <w:tc>
          <w:tcPr>
            <w:tcW w:type="dxa" w:w="1337"/>
          </w:tcPr>
          <w:p>
            <w:pPr>
              <w:spacing w:before="60" w:after="60"/>
            </w:pPr>
            <w:r/>
            <w:r>
              <w:rPr>
                <w:i/>
              </w:rPr>
              <w:t>w/o Temporal Decay ($S_{\text{temp}}$)</w:t>
            </w:r>
          </w:p>
        </w:tc>
        <w:tc>
          <w:tcPr>
            <w:tcW w:type="dxa" w:w="1337"/>
          </w:tcPr>
          <w:p>
            <w:pPr>
              <w:spacing w:before="60" w:after="60"/>
            </w:pPr>
            <w:r/>
            <w:r>
              <w:t>68.89%</w:t>
            </w:r>
          </w:p>
        </w:tc>
        <w:tc>
          <w:tcPr>
            <w:tcW w:type="dxa" w:w="1337"/>
          </w:tcPr>
          <w:p>
            <w:pPr>
              <w:spacing w:before="60" w:after="60"/>
            </w:pPr>
            <w:r/>
            <w:r>
              <w:t>71.43%</w:t>
            </w:r>
          </w:p>
        </w:tc>
        <w:tc>
          <w:tcPr>
            <w:tcW w:type="dxa" w:w="1337"/>
          </w:tcPr>
          <w:p>
            <w:pPr>
              <w:spacing w:before="60" w:after="60"/>
            </w:pPr>
            <w:r/>
            <w:r>
              <w:t>29.41%</w:t>
            </w:r>
          </w:p>
        </w:tc>
        <w:tc>
          <w:tcPr>
            <w:tcW w:type="dxa" w:w="1337"/>
          </w:tcPr>
          <w:p>
            <w:pPr>
              <w:spacing w:before="60" w:after="60"/>
            </w:pPr>
            <w:r/>
            <w:r>
              <w:t>41.67%</w:t>
            </w:r>
          </w:p>
        </w:tc>
        <w:tc>
          <w:tcPr>
            <w:tcW w:type="dxa" w:w="1337"/>
          </w:tcPr>
          <w:p>
            <w:pPr>
              <w:spacing w:before="60" w:after="60"/>
            </w:pPr>
            <w:r/>
            <w:r>
              <w:t>0.298</w:t>
            </w:r>
          </w:p>
        </w:tc>
        <w:tc>
          <w:tcPr>
            <w:tcW w:type="dxa" w:w="1337"/>
          </w:tcPr>
          <w:p>
            <w:pPr>
              <w:spacing w:before="60" w:after="60"/>
            </w:pPr>
            <w:r/>
            <w:r>
              <w:t>Removes time window decay weighting</w:t>
            </w:r>
          </w:p>
        </w:tc>
      </w:tr>
    </w:tbl>
    <w:p/>
    <w:p>
      <w:pPr>
        <w:jc w:val="center"/>
      </w:pPr>
      <w:r>
        <w:rPr>
          <w:color w:val="969696"/>
        </w:rPr>
        <w:t>─────── ❖ ───────</w:t>
      </w:r>
    </w:p>
    <w:p>
      <w:pPr>
        <w:pStyle w:val="Heading3"/>
      </w:pPr>
      <w:r>
        <w:t>5.4 Algorithmic Complexity &amp; Measured Latency</w:t>
      </w:r>
    </w:p>
    <w:p>
      <w:r>
        <w:rPr>
          <w:b/>
        </w:rPr>
        <w:t>TABLE IX: ALGORITHMIC COMPLEXITY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F0F4F8"/>
          </w:tcPr>
          <w:p>
            <w:pPr>
              <w:spacing w:before="60" w:after="60"/>
            </w:pPr>
            <w:r>
              <w:rPr>
                <w:b/>
              </w:rPr>
            </w:r>
            <w:r>
              <w:rPr>
                <w:b/>
              </w:rPr>
              <w:t>Algorithm / System</w:t>
            </w:r>
          </w:p>
        </w:tc>
        <w:tc>
          <w:tcPr>
            <w:tcW w:type="dxa" w:w="2340"/>
            <w:shd w:fill="F0F4F8"/>
          </w:tcPr>
          <w:p>
            <w:pPr>
              <w:spacing w:before="60" w:after="60"/>
            </w:pPr>
            <w:r>
              <w:rPr>
                <w:b/>
              </w:rPr>
            </w:r>
            <w:r>
              <w:rPr>
                <w:b/>
              </w:rPr>
              <w:t>Time Complexity</w:t>
            </w:r>
          </w:p>
        </w:tc>
        <w:tc>
          <w:tcPr>
            <w:tcW w:type="dxa" w:w="2340"/>
            <w:shd w:fill="F0F4F8"/>
          </w:tcPr>
          <w:p>
            <w:pPr>
              <w:spacing w:before="60" w:after="60"/>
            </w:pPr>
            <w:r>
              <w:rPr>
                <w:b/>
              </w:rPr>
            </w:r>
            <w:r>
              <w:rPr>
                <w:b/>
              </w:rPr>
              <w:t>Space Complexity</w:t>
            </w:r>
          </w:p>
        </w:tc>
        <w:tc>
          <w:tcPr>
            <w:tcW w:type="dxa" w:w="2340"/>
            <w:shd w:fill="F0F4F8"/>
          </w:tcPr>
          <w:p>
            <w:pPr>
              <w:spacing w:before="60" w:after="60"/>
            </w:pPr>
            <w:r>
              <w:rPr>
                <w:b/>
              </w:rPr>
            </w:r>
            <w:r>
              <w:rPr>
                <w:b/>
              </w:rPr>
              <w:t>Incremental Update Cost</w:t>
            </w:r>
          </w:p>
        </w:tc>
      </w:tr>
      <w:tr>
        <w:tc>
          <w:tcPr>
            <w:tcW w:type="dxa" w:w="2340"/>
          </w:tcPr>
          <w:p>
            <w:pPr>
              <w:spacing w:before="60" w:after="60"/>
            </w:pPr>
            <w:r/>
            <w:r>
              <w:rPr>
                <w:b/>
              </w:rPr>
              <w:t>Unconditional LLM Verification</w:t>
            </w:r>
          </w:p>
        </w:tc>
        <w:tc>
          <w:tcPr>
            <w:tcW w:type="dxa" w:w="2340"/>
          </w:tcPr>
          <w:p>
            <w:pPr>
              <w:spacing w:before="60" w:after="60"/>
            </w:pPr>
            <w:r/>
            <w:r>
              <w:rPr>
                <w:rFonts w:ascii="Cambria Math" w:hAnsi="Cambria Math"/>
                <w:i/>
              </w:rPr>
              <w:t>\mathcal{O}(N \times M)</w:t>
            </w:r>
          </w:p>
        </w:tc>
        <w:tc>
          <w:tcPr>
            <w:tcW w:type="dxa" w:w="2340"/>
          </w:tcPr>
          <w:p>
            <w:pPr>
              <w:spacing w:before="60" w:after="60"/>
            </w:pPr>
            <w:r/>
            <w:r>
              <w:rPr>
                <w:rFonts w:ascii="Cambria Math" w:hAnsi="Cambria Math"/>
                <w:i/>
              </w:rPr>
              <w:t>\mathcal{O}(1)</w:t>
            </w:r>
          </w:p>
        </w:tc>
        <w:tc>
          <w:tcPr>
            <w:tcW w:type="dxa" w:w="2340"/>
          </w:tcPr>
          <w:p>
            <w:pPr>
              <w:spacing w:before="60" w:after="60"/>
            </w:pPr>
            <w:r/>
            <w:r>
              <w:t>High (</w:t>
            </w:r>
            <w:r>
              <w:rPr>
                <w:rFonts w:ascii="Cambria Math" w:hAnsi="Cambria Math"/>
                <w:i/>
              </w:rPr>
              <w:t>\sim 1.5</w:t>
            </w:r>
            <w:r>
              <w:t>s per pair)</w:t>
            </w:r>
          </w:p>
        </w:tc>
      </w:tr>
      <w:tr>
        <w:tc>
          <w:tcPr>
            <w:tcW w:type="dxa" w:w="2340"/>
          </w:tcPr>
          <w:p>
            <w:pPr>
              <w:spacing w:before="60" w:after="60"/>
            </w:pPr>
            <w:r/>
            <w:r>
              <w:rPr>
                <w:b/>
              </w:rPr>
              <w:t>Stage 1 Lexical Jaccard</w:t>
            </w:r>
          </w:p>
        </w:tc>
        <w:tc>
          <w:tcPr>
            <w:tcW w:type="dxa" w:w="2340"/>
          </w:tcPr>
          <w:p>
            <w:pPr>
              <w:spacing w:before="60" w:after="60"/>
            </w:pPr>
            <w:r/>
            <w:r>
              <w:rPr>
                <w:rFonts w:ascii="Cambria Math" w:hAnsi="Cambria Math"/>
                <w:i/>
              </w:rPr>
              <w:t>\mathcal{O}(K)</w:t>
            </w:r>
          </w:p>
        </w:tc>
        <w:tc>
          <w:tcPr>
            <w:tcW w:type="dxa" w:w="2340"/>
          </w:tcPr>
          <w:p>
            <w:pPr>
              <w:spacing w:before="60" w:after="60"/>
            </w:pPr>
            <w:r/>
            <w:r>
              <w:rPr>
                <w:rFonts w:ascii="Cambria Math" w:hAnsi="Cambria Math"/>
                <w:i/>
              </w:rPr>
              <w:t>\mathcal{O}(W)</w:t>
            </w:r>
          </w:p>
        </w:tc>
        <w:tc>
          <w:tcPr>
            <w:tcW w:type="dxa" w:w="2340"/>
          </w:tcPr>
          <w:p>
            <w:pPr>
              <w:spacing w:before="60" w:after="60"/>
            </w:pPr>
            <w:r/>
            <w:r>
              <w:t>Negligible (</w:t>
            </w:r>
            <w:r>
              <w:rPr>
                <w:rFonts w:ascii="Cambria Math" w:hAnsi="Cambria Math"/>
                <w:i/>
              </w:rPr>
              <w:t>&lt;0.05</w:t>
            </w:r>
            <w:r>
              <w:t>ms)</w:t>
            </w:r>
          </w:p>
        </w:tc>
      </w:tr>
      <w:tr>
        <w:tc>
          <w:tcPr>
            <w:tcW w:type="dxa" w:w="2340"/>
          </w:tcPr>
          <w:p>
            <w:pPr>
              <w:spacing w:before="60" w:after="60"/>
            </w:pPr>
            <w:r/>
            <w:r>
              <w:rPr>
                <w:b/>
              </w:rPr>
              <w:t>Algorithm 1: EFSA Multi-Evidence</w:t>
            </w:r>
          </w:p>
        </w:tc>
        <w:tc>
          <w:tcPr>
            <w:tcW w:type="dxa" w:w="2340"/>
          </w:tcPr>
          <w:p>
            <w:pPr>
              <w:spacing w:before="60" w:after="60"/>
            </w:pPr>
            <w:r/>
            <w:r>
              <w:rPr>
                <w:rFonts w:ascii="Cambria Math" w:hAnsi="Cambria Math"/>
                <w:i/>
              </w:rPr>
              <w:t>\mathcal{O}(K \cdot E)</w:t>
            </w:r>
          </w:p>
        </w:tc>
        <w:tc>
          <w:tcPr>
            <w:tcW w:type="dxa" w:w="2340"/>
          </w:tcPr>
          <w:p>
            <w:pPr>
              <w:spacing w:before="60" w:after="60"/>
            </w:pPr>
            <w:r/>
            <w:r>
              <w:rPr>
                <w:rFonts w:ascii="Cambria Math" w:hAnsi="Cambria Math"/>
                <w:i/>
              </w:rPr>
              <w:t>\mathcal{O}(E)</w:t>
            </w:r>
          </w:p>
        </w:tc>
        <w:tc>
          <w:tcPr>
            <w:tcW w:type="dxa" w:w="2340"/>
          </w:tcPr>
          <w:p>
            <w:pPr>
              <w:spacing w:before="60" w:after="60"/>
            </w:pPr>
            <w:r/>
            <w:r>
              <w:t>Fast Path (</w:t>
            </w:r>
            <w:r>
              <w:rPr>
                <w:rFonts w:ascii="Cambria Math" w:hAnsi="Cambria Math"/>
                <w:i/>
              </w:rPr>
              <w:t>&lt;0.20</w:t>
            </w:r>
            <w:r>
              <w:t>ms)</w:t>
            </w:r>
          </w:p>
        </w:tc>
      </w:tr>
      <w:tr>
        <w:tc>
          <w:tcPr>
            <w:tcW w:type="dxa" w:w="2340"/>
          </w:tcPr>
          <w:p>
            <w:pPr>
              <w:spacing w:before="60" w:after="60"/>
            </w:pPr>
            <w:r/>
            <w:r>
              <w:rPr>
                <w:b/>
              </w:rPr>
              <w:t>Algorithm 2: DPCS Online Credibility</w:t>
            </w:r>
          </w:p>
        </w:tc>
        <w:tc>
          <w:tcPr>
            <w:tcW w:type="dxa" w:w="2340"/>
          </w:tcPr>
          <w:p>
            <w:pPr>
              <w:spacing w:before="60" w:after="60"/>
            </w:pPr>
            <w:r/>
            <w:r>
              <w:rPr>
                <w:rFonts w:ascii="Cambria Math" w:hAnsi="Cambria Math"/>
                <w:i/>
              </w:rPr>
              <w:t>\mathcal{O}(1)</w:t>
            </w:r>
          </w:p>
        </w:tc>
        <w:tc>
          <w:tcPr>
            <w:tcW w:type="dxa" w:w="2340"/>
          </w:tcPr>
          <w:p>
            <w:pPr>
              <w:spacing w:before="60" w:after="60"/>
            </w:pPr>
            <w:r/>
            <w:r>
              <w:rPr>
                <w:rFonts w:ascii="Cambria Math" w:hAnsi="Cambria Math"/>
                <w:i/>
              </w:rPr>
              <w:t>\mathcal{O}(P)</w:t>
            </w:r>
          </w:p>
        </w:tc>
        <w:tc>
          <w:tcPr>
            <w:tcW w:type="dxa" w:w="2340"/>
          </w:tcPr>
          <w:p>
            <w:pPr>
              <w:spacing w:before="60" w:after="60"/>
            </w:pPr>
            <w:r/>
            <w:r>
              <w:t>Constant (</w:t>
            </w:r>
            <w:r>
              <w:rPr>
                <w:rFonts w:ascii="Cambria Math" w:hAnsi="Cambria Math"/>
                <w:i/>
              </w:rPr>
              <w:t>&lt;0.01</w:t>
            </w:r>
            <w:r>
              <w:t>ms)</w:t>
            </w:r>
          </w:p>
        </w:tc>
      </w:tr>
    </w:tbl>
    <w:p/>
    <w:p>
      <w:r>
        <w:rPr>
          <w:i/>
        </w:rPr>
        <w:t>where $N$ is total ingested articles, $K \ll N$ is candidate events within the 48-hour temporal window ($K \approx 15\text{--}30$), $W$ is token set size, $E$ is extracted entity set size, and $P$ is active wire publisher count ($P \approx 21$).</w:t>
      </w:r>
    </w:p>
    <w:p>
      <w:pPr>
        <w:pStyle w:val="Heading4"/>
      </w:pPr>
      <w:r>
        <w:t>Mathematical Asymptotic Analysis</w:t>
      </w:r>
    </w:p>
    <w:p>
      <w:pPr>
        <w:pStyle w:val="ListNumber"/>
      </w:pPr>
      <w:r>
        <w:rPr>
          <w:b/>
        </w:rPr>
        <w:t>Ingestion &amp; Anti-Duplication Lock:</w:t>
      </w:r>
      <w:r>
        <w:t xml:space="preserve"> Querying MongoDB B-tree indexes for </w:t>
      </w:r>
      <w:r>
        <w:rPr>
          <w:rFonts w:ascii="Consolas" w:hAnsi="Consolas"/>
          <w:color w:val="B42828"/>
          <w:sz w:val="19"/>
        </w:rPr>
        <w:t>url</w:t>
      </w:r>
      <w:r>
        <w:t xml:space="preserve"> and </w:t>
      </w:r>
      <w:r>
        <w:rPr>
          <w:rFonts w:ascii="Consolas" w:hAnsi="Consolas"/>
          <w:color w:val="B42828"/>
          <w:sz w:val="19"/>
        </w:rPr>
        <w:t>title_hash</w:t>
      </w:r>
      <w:r>
        <w:t xml:space="preserve"> (MD5 digest) runs in </w:t>
      </w:r>
      <w:r>
        <w:rPr>
          <w:rFonts w:ascii="Cambria Math" w:hAnsi="Cambria Math"/>
          <w:i/>
        </w:rPr>
        <w:t>\mathcal{O}(1)</w:t>
      </w:r>
      <w:r>
        <w:t xml:space="preserve"> time. If matched, processing terminates immediately with zero computational overhead.</w:t>
      </w:r>
    </w:p>
    <w:p>
      <w:pPr>
        <w:pStyle w:val="ListNumber"/>
      </w:pPr>
      <w:r>
        <w:rPr>
          <w:b/>
        </w:rPr>
        <w:t>Temporal Windowing ($K \ll N$):</w:t>
      </w:r>
      <w:r>
        <w:t xml:space="preserve"> Rather than performing brute-force pairwise comparisons across all historical articles (</w:t>
      </w:r>
      <w:r>
        <w:rPr>
          <w:rFonts w:ascii="Cambria Math" w:hAnsi="Cambria Math"/>
          <w:i/>
        </w:rPr>
        <w:t>N \ge 10^4</w:t>
      </w:r>
      <w:r>
        <w:t>), candidate selection is restricted to active event clusters created within a 48-hour sliding window (</w:t>
      </w:r>
      <w:r>
        <w:rPr>
          <w:rFonts w:ascii="Cambria Math" w:hAnsi="Cambria Math"/>
          <w:i/>
        </w:rPr>
        <w:t>K \approx 15\text{--}30</w:t>
      </w:r>
      <w:r>
        <w:t>).</w:t>
      </w:r>
    </w:p>
    <w:p>
      <w:pPr>
        <w:pStyle w:val="ListNumber"/>
      </w:pPr>
      <w:r>
        <w:rPr>
          <w:b/>
        </w:rPr>
        <w:t>Stage 1 Fast-Path Gate &amp; Algorithm 1 (EFSA):</w:t>
      </w:r>
      <w:r>
        <w:t xml:space="preserve"> Computing unigram IoU (</w:t>
      </w:r>
      <w:r>
        <w:rPr>
          <w:rFonts w:ascii="Cambria Math" w:hAnsi="Cambria Math"/>
          <w:i/>
        </w:rPr>
        <w:t>S_{\text{key}}</w:t>
      </w:r>
      <w:r>
        <w:t>), character 3-gram cosine (</w:t>
      </w:r>
      <w:r>
        <w:rPr>
          <w:rFonts w:ascii="Cambria Math" w:hAnsi="Cambria Math"/>
          <w:i/>
        </w:rPr>
        <w:t>S_{\text{head}}</w:t>
      </w:r>
      <w:r>
        <w:t>), named entity set overlap (</w:t>
      </w:r>
      <w:r>
        <w:rPr>
          <w:rFonts w:ascii="Cambria Math" w:hAnsi="Cambria Math"/>
          <w:i/>
        </w:rPr>
        <w:t>S_{\text{ent}}</w:t>
      </w:r>
      <w:r>
        <w:t>), time decay (</w:t>
      </w:r>
      <w:r>
        <w:rPr>
          <w:rFonts w:ascii="Cambria Math" w:hAnsi="Cambria Math"/>
          <w:i/>
        </w:rPr>
        <w:t>S_{\text{temp}}</w:t>
      </w:r>
      <w:r>
        <w:t>), and sector match (</w:t>
      </w:r>
      <w:r>
        <w:rPr>
          <w:rFonts w:ascii="Cambria Math" w:hAnsi="Cambria Math"/>
          <w:i/>
        </w:rPr>
        <w:t>S_{\text{sec}}</w:t>
      </w:r>
      <w:r>
        <w:t xml:space="preserve">) requires </w:t>
      </w:r>
      <w:r>
        <w:rPr>
          <w:rFonts w:ascii="Cambria Math" w:hAnsi="Cambria Math"/>
          <w:i/>
        </w:rPr>
        <w:t>\mathcal{O}(K \cdot |V|)</w:t>
      </w:r>
      <w:r>
        <w:t xml:space="preserve"> token/n-gram operations, executing in </w:t>
      </w:r>
      <w:r>
        <w:rPr>
          <w:rFonts w:ascii="Cambria Math" w:hAnsi="Cambria Math"/>
          <w:i/>
        </w:rPr>
        <w:t>&lt; 0.20\text{ ms}</w:t>
      </w:r>
      <w:r>
        <w:t xml:space="preserve"> per candidate pair on standard CPU hardware.</w:t>
      </w:r>
    </w:p>
    <w:p>
      <w:pPr>
        <w:pStyle w:val="ListNumber"/>
      </w:pPr>
      <w:r>
        <w:rPr>
          <w:b/>
        </w:rPr>
        <w:t>Algorithm 2 (DPCS Online Credibility):</w:t>
      </w:r>
      <w:r>
        <w:t xml:space="preserve"> Updating publisher records via </w:t>
      </w:r>
      <w:r>
        <w:rPr>
          <w:rFonts w:ascii="Consolas" w:hAnsi="Consolas"/>
          <w:color w:val="B42828"/>
          <w:sz w:val="19"/>
        </w:rPr>
        <w:t>updatePublisherCredibility()</w:t>
      </w:r>
      <w:r>
        <w:t xml:space="preserve"> performs Map lookups and scalar EMA calculations in </w:t>
      </w:r>
      <w:r>
        <w:rPr>
          <w:rFonts w:ascii="Cambria Math" w:hAnsi="Cambria Math"/>
          <w:i/>
        </w:rPr>
        <w:t>\mathcal{O}(1)</w:t>
      </w:r>
      <w:r>
        <w:t xml:space="preserve"> time and </w:t>
      </w:r>
      <w:r>
        <w:rPr>
          <w:rFonts w:ascii="Cambria Math" w:hAnsi="Cambria Math"/>
          <w:i/>
        </w:rPr>
        <w:t>\mathcal{O}(P)</w:t>
      </w:r>
      <w:r>
        <w:t xml:space="preserve"> space.</w:t>
      </w:r>
    </w:p>
    <w:p>
      <w:pPr>
        <w:pStyle w:val="ListNumber"/>
      </w:pPr>
      <w:r>
        <w:rPr>
          <w:b/>
        </w:rPr>
        <w:t>Stage 2 LLM Verification Savings:</w:t>
      </w:r>
      <w:r>
        <w:t xml:space="preserve"> By filtering out </w:t>
      </w:r>
      <w:r>
        <w:rPr>
          <w:rFonts w:ascii="Cambria Math" w:hAnsi="Cambria Math"/>
          <w:i/>
        </w:rPr>
        <w:t>75\text{--}80\%</w:t>
      </w:r>
      <w:r>
        <w:t xml:space="preserve"> of candidate pairs in Stage 1, total LLM inference invocations scale at </w:t>
      </w:r>
      <w:r>
        <w:rPr>
          <w:rFonts w:ascii="Cambria Math" w:hAnsi="Cambria Math"/>
          <w:i/>
        </w:rPr>
        <w:t>\mathcal{O}(C_{\text{surviving}})</w:t>
      </w:r>
      <w:r>
        <w:t xml:space="preserve"> rather than </w:t>
      </w:r>
      <w:r>
        <w:rPr>
          <w:rFonts w:ascii="Cambria Math" w:hAnsi="Cambria Math"/>
          <w:i/>
        </w:rPr>
        <w:t>\mathcal{O}(N \times M)</w:t>
      </w:r>
      <w:r>
        <w:t xml:space="preserve"> pairwise brute force, reducing total system latency and financial API costs substantially.</w:t>
      </w:r>
    </w:p>
    <w:p>
      <w:pPr>
        <w:pStyle w:val="Heading4"/>
      </w:pPr>
      <w:r>
        <w:t>Measured Latency &amp; Throughput Benchmark</w:t>
      </w:r>
    </w:p>
    <w:p>
      <w:r>
        <w:t xml:space="preserve">To replace unverified estimations, execution latency was empirically measured across </w:t>
      </w:r>
      <w:r>
        <w:rPr>
          <w:b/>
        </w:rPr>
        <w:t>20 real synthesis calls</w:t>
      </w:r>
      <w:r>
        <w:t xml:space="preserve"> to </w:t>
      </w:r>
      <w:r>
        <w:rPr>
          <w:rFonts w:ascii="Consolas" w:hAnsi="Consolas"/>
          <w:color w:val="B42828"/>
          <w:sz w:val="19"/>
        </w:rPr>
        <w:t>synthesizeWithGroq()</w:t>
      </w:r>
      <w:r>
        <w:t xml:space="preserve"> using actual wire headlines (</w:t>
      </w:r>
      <w:r>
        <w:rPr>
          <w:rFonts w:ascii="Consolas" w:hAnsi="Consolas"/>
          <w:color w:val="B42828"/>
          <w:sz w:val="19"/>
        </w:rPr>
        <w:t>backend/jobs/evaluation/latency-benchmark-results.json</w:t>
      </w:r>
      <w:r>
        <w:t>):</w:t>
      </w:r>
    </w:p>
    <w:p>
      <w:pPr>
        <w:pStyle w:val="ListBullet"/>
      </w:pPr>
      <w:r>
        <w:rPr>
          <w:b/>
        </w:rPr>
        <w:t>Minimum Latency:</w:t>
      </w:r>
      <w:r>
        <w:t xml:space="preserve"> </w:t>
      </w:r>
      <w:r>
        <w:rPr>
          <w:rFonts w:ascii="Cambria Math" w:hAnsi="Cambria Math"/>
          <w:i/>
        </w:rPr>
        <w:t>1,017.17\text{ ms}</w:t>
      </w:r>
      <w:r>
        <w:t xml:space="preserve"> (</w:t>
      </w:r>
      <w:r>
        <w:rPr>
          <w:rFonts w:ascii="Cambria Math" w:hAnsi="Cambria Math"/>
          <w:i/>
        </w:rPr>
        <w:t>1.02\text{ s}</w:t>
      </w:r>
      <w:r>
        <w:t>)</w:t>
      </w:r>
    </w:p>
    <w:p>
      <w:pPr>
        <w:pStyle w:val="ListBullet"/>
      </w:pPr>
      <w:r>
        <w:rPr>
          <w:b/>
        </w:rPr>
        <w:t>Maximum Latency:</w:t>
      </w:r>
      <w:r>
        <w:t xml:space="preserve"> </w:t>
      </w:r>
      <w:r>
        <w:rPr>
          <w:rFonts w:ascii="Cambria Math" w:hAnsi="Cambria Math"/>
          <w:i/>
        </w:rPr>
        <w:t>7,565.77\text{ ms}</w:t>
      </w:r>
      <w:r>
        <w:t xml:space="preserve"> (</w:t>
      </w:r>
      <w:r>
        <w:rPr>
          <w:rFonts w:ascii="Cambria Math" w:hAnsi="Cambria Math"/>
          <w:i/>
        </w:rPr>
        <w:t>7.57\text{ s}</w:t>
      </w:r>
      <w:r>
        <w:t>)</w:t>
      </w:r>
    </w:p>
    <w:p>
      <w:pPr>
        <w:pStyle w:val="ListBullet"/>
      </w:pPr>
      <w:r>
        <w:rPr>
          <w:b/>
        </w:rPr>
        <w:t>Mean Latency:</w:t>
      </w:r>
      <w:r>
        <w:t xml:space="preserve"> </w:t>
      </w:r>
      <w:r>
        <w:rPr>
          <w:rFonts w:ascii="Cambria Math" w:hAnsi="Cambria Math"/>
          <w:i/>
        </w:rPr>
        <w:t>2,994.45\text{ ms}</w:t>
      </w:r>
      <w:r>
        <w:t xml:space="preserve"> (</w:t>
      </w:r>
      <w:r>
        <w:rPr>
          <w:rFonts w:ascii="Cambria Math" w:hAnsi="Cambria Math"/>
          <w:i/>
        </w:rPr>
        <w:t>\approx 2.99\text{ s}</w:t>
      </w:r>
      <w:r>
        <w:t>)</w:t>
      </w:r>
    </w:p>
    <w:p>
      <w:pPr>
        <w:pStyle w:val="ListBullet"/>
      </w:pPr>
      <w:r>
        <w:rPr>
          <w:b/>
        </w:rPr>
        <w:t>Median Latency:</w:t>
      </w:r>
      <w:r>
        <w:t xml:space="preserve"> </w:t>
      </w:r>
      <w:r>
        <w:rPr>
          <w:rFonts w:ascii="Cambria Math" w:hAnsi="Cambria Math"/>
          <w:i/>
        </w:rPr>
        <w:t>2,418.88\text{ ms}</w:t>
      </w:r>
      <w:r>
        <w:t xml:space="preserve"> (</w:t>
      </w:r>
      <w:r>
        <w:rPr>
          <w:rFonts w:ascii="Cambria Math" w:hAnsi="Cambria Math"/>
          <w:i/>
        </w:rPr>
        <w:t>\approx 2.42\text{ s}</w:t>
      </w:r>
      <w:r>
        <w:t>)</w:t>
      </w:r>
    </w:p>
    <w:p>
      <w:pPr>
        <w:pStyle w:val="ListBullet"/>
      </w:pPr>
      <w:r>
        <w:rPr>
          <w:b/>
        </w:rPr>
        <w:t>P95 Latency:</w:t>
      </w:r>
      <w:r>
        <w:t xml:space="preserve"> </w:t>
      </w:r>
      <w:r>
        <w:rPr>
          <w:rFonts w:ascii="Cambria Math" w:hAnsi="Cambria Math"/>
          <w:i/>
        </w:rPr>
        <w:t>5,194.10\text{ ms}</w:t>
      </w:r>
      <w:r>
        <w:t xml:space="preserve"> (</w:t>
      </w:r>
      <w:r>
        <w:rPr>
          <w:rFonts w:ascii="Cambria Math" w:hAnsi="Cambria Math"/>
          <w:i/>
        </w:rPr>
        <w:t>\approx 5.19\text{ s}</w:t>
      </w:r>
      <w:r>
        <w:t>)</w:t>
      </w:r>
    </w:p>
    <w:p>
      <w:pPr>
        <w:pStyle w:val="ListBullet"/>
      </w:pPr>
      <w:r>
        <w:rPr>
          <w:b/>
        </w:rPr>
        <w:t>Measured Throughput:</w:t>
      </w:r>
      <w:r>
        <w:t xml:space="preserve"> </w:t>
      </w:r>
      <w:r>
        <w:rPr>
          <w:b/>
        </w:rPr>
        <w:t>96.83 tokens/sec</w:t>
      </w:r>
      <w:r>
        <w:t xml:space="preserve"> (measured directly from Groq SDK's </w:t>
      </w:r>
      <w:r>
        <w:rPr>
          <w:rFonts w:ascii="Consolas" w:hAnsi="Consolas"/>
          <w:color w:val="B42828"/>
          <w:sz w:val="19"/>
        </w:rPr>
        <w:t>completion.usage</w:t>
      </w:r>
      <w:r>
        <w:t xml:space="preserve"> response object).</w:t>
      </w:r>
    </w:p>
    <w:p>
      <w:pPr>
        <w:jc w:val="center"/>
      </w:pPr>
      <w:r>
        <w:rPr>
          <w:color w:val="969696"/>
        </w:rPr>
        <w:t>─────── ❖ ───────</w:t>
      </w:r>
    </w:p>
    <w:p>
      <w:pPr>
        <w:pStyle w:val="Heading3"/>
      </w:pPr>
      <w:r>
        <w:t>5.5 Gate Failure Diagnosis and Recovery</w:t>
      </w:r>
    </w:p>
    <w:p>
      <w:pPr>
        <w:pStyle w:val="Heading4"/>
      </w:pPr>
      <w:r>
        <w:t xml:space="preserve">Empirical Failure Diagnosis (All 11 Failing </w:t>
      </w:r>
      <w:r>
        <w:rPr>
          <w:rFonts w:ascii="Consolas" w:hAnsi="Consolas"/>
          <w:color w:val="B42828"/>
          <w:sz w:val="19"/>
        </w:rPr>
        <w:t>SAME</w:t>
      </w:r>
      <w:r>
        <w:t xml:space="preserve"> Pairs)</w:t>
      </w:r>
    </w:p>
    <w:p>
      <w:r>
        <w:t xml:space="preserve">To investigate the root cause of the </w:t>
      </w:r>
      <w:r>
        <w:rPr>
          <w:rFonts w:ascii="Cambria Math" w:hAnsi="Cambria Math"/>
          <w:i/>
        </w:rPr>
        <w:t>35.29\%</w:t>
      </w:r>
      <w:r>
        <w:t xml:space="preserve"> recall baseline in the production system, we executed a full diagnostic audit (</w:t>
      </w:r>
      <w:r>
        <w:rPr>
          <w:rFonts w:ascii="Consolas" w:hAnsi="Consolas"/>
          <w:color w:val="B42828"/>
          <w:sz w:val="19"/>
        </w:rPr>
        <w:t>diagnoseGateFailures.js</w:t>
      </w:r>
      <w:r>
        <w:t xml:space="preserve">). Out of 17 </w:t>
      </w:r>
      <w:r>
        <w:rPr>
          <w:rFonts w:ascii="Consolas" w:hAnsi="Consolas"/>
          <w:color w:val="B42828"/>
          <w:sz w:val="19"/>
        </w:rPr>
        <w:t>SAME</w:t>
      </w:r>
      <w:r>
        <w:t>-labeled ground-truth pairs, 11 failed the Stage 1 pre-filter (</w:t>
      </w:r>
      <w:r>
        <w:rPr>
          <w:rFonts w:ascii="Cambria Math" w:hAnsi="Cambria Math"/>
          <w:i/>
        </w:rPr>
        <w:t>(J &lt; 0.12) \land (\cos &lt; 0.25)</w:t>
      </w:r>
      <w:r>
        <w:t>). Table X presents the complete breakdown.</w:t>
      </w:r>
    </w:p>
    <w:p>
      <w:r>
        <w:rPr>
          <w:b/>
        </w:rPr>
        <w:t>TABLE X: STAGE 1 GATE FAILURE DIAGNOSIS (11 FAILING `SAME` PAIRS)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w:t>
            </w:r>
          </w:p>
        </w:tc>
        <w:tc>
          <w:tcPr>
            <w:tcW w:type="dxa" w:w="1560"/>
            <w:shd w:fill="F0F4F8"/>
          </w:tcPr>
          <w:p>
            <w:pPr>
              <w:spacing w:before="60" w:after="60"/>
            </w:pPr>
            <w:r>
              <w:rPr>
                <w:b/>
              </w:rPr>
            </w:r>
            <w:r>
              <w:rPr>
                <w:b/>
              </w:rPr>
              <w:t>Headline A</w:t>
            </w:r>
          </w:p>
        </w:tc>
        <w:tc>
          <w:tcPr>
            <w:tcW w:type="dxa" w:w="1560"/>
            <w:shd w:fill="F0F4F8"/>
          </w:tcPr>
          <w:p>
            <w:pPr>
              <w:spacing w:before="60" w:after="60"/>
            </w:pPr>
            <w:r>
              <w:rPr>
                <w:b/>
              </w:rPr>
            </w:r>
            <w:r>
              <w:rPr>
                <w:b/>
              </w:rPr>
              <w:t>Headline B</w:t>
            </w:r>
          </w:p>
        </w:tc>
        <w:tc>
          <w:tcPr>
            <w:tcW w:type="dxa" w:w="1560"/>
            <w:shd w:fill="F0F4F8"/>
          </w:tcPr>
          <w:p>
            <w:pPr>
              <w:spacing w:before="60" w:after="60"/>
            </w:pPr>
            <w:r>
              <w:rPr>
                <w:b/>
              </w:rPr>
            </w:r>
            <w:r>
              <w:rPr>
                <w:b/>
              </w:rPr>
              <w:t>Jaccard Score (vs 0.12)</w:t>
            </w:r>
          </w:p>
        </w:tc>
        <w:tc>
          <w:tcPr>
            <w:tcW w:type="dxa" w:w="1560"/>
            <w:shd w:fill="F0F4F8"/>
          </w:tcPr>
          <w:p>
            <w:pPr>
              <w:spacing w:before="60" w:after="60"/>
            </w:pPr>
            <w:r>
              <w:rPr>
                <w:b/>
              </w:rPr>
            </w:r>
            <w:r>
              <w:rPr>
                <w:b/>
              </w:rPr>
              <w:t>Char Cosine (vs 0.25)</w:t>
            </w:r>
          </w:p>
        </w:tc>
        <w:tc>
          <w:tcPr>
            <w:tcW w:type="dxa" w:w="1560"/>
            <w:shd w:fill="F0F4F8"/>
          </w:tcPr>
          <w:p>
            <w:pPr>
              <w:spacing w:before="60" w:after="60"/>
            </w:pPr>
            <w:r>
              <w:rPr>
                <w:b/>
              </w:rPr>
            </w:r>
            <w:r>
              <w:rPr>
                <w:b/>
              </w:rPr>
              <w:t>Diagnostic Failure Category</w:t>
            </w:r>
          </w:p>
        </w:tc>
      </w:tr>
      <w:tr>
        <w:tc>
          <w:tcPr>
            <w:tcW w:type="dxa" w:w="1560"/>
          </w:tcPr>
          <w:p>
            <w:pPr>
              <w:spacing w:before="60" w:after="60"/>
            </w:pPr>
            <w:r/>
            <w:r>
              <w:rPr>
                <w:b/>
              </w:rPr>
              <w:t>1</w:t>
            </w:r>
          </w:p>
        </w:tc>
        <w:tc>
          <w:tcPr>
            <w:tcW w:type="dxa" w:w="1560"/>
          </w:tcPr>
          <w:p>
            <w:pPr>
              <w:spacing w:before="60" w:after="60"/>
            </w:pPr>
            <w:r/>
            <w:r>
              <w:rPr>
                <w:i/>
              </w:rPr>
              <w:t>"Wall Street Suffers Steep Setback as Tech Slumps and Oil Spikes"</w:t>
            </w:r>
          </w:p>
        </w:tc>
        <w:tc>
          <w:tcPr>
            <w:tcW w:type="dxa" w:w="1560"/>
          </w:tcPr>
          <w:p>
            <w:pPr>
              <w:spacing w:before="60" w:after="60"/>
            </w:pPr>
            <w:r/>
            <w:r>
              <w:rPr>
                <w:i/>
              </w:rPr>
              <w:t>"Oil Surge From Iran War Sends US Stocks and Bonds Lower Amid AI Spending Fears"</w:t>
            </w:r>
          </w:p>
        </w:tc>
        <w:tc>
          <w:tcPr>
            <w:tcW w:type="dxa" w:w="1560"/>
          </w:tcPr>
          <w:p>
            <w:pPr>
              <w:spacing w:before="60" w:after="60"/>
            </w:pPr>
            <w:r/>
            <w:r>
              <w:rPr>
                <w:b/>
              </w:rPr>
              <w:t>0.1053</w:t>
            </w:r>
            <w:r>
              <w:t xml:space="preserve"> (-0.0147)</w:t>
            </w:r>
          </w:p>
        </w:tc>
        <w:tc>
          <w:tcPr>
            <w:tcW w:type="dxa" w:w="1560"/>
          </w:tcPr>
          <w:p>
            <w:pPr>
              <w:spacing w:before="60" w:after="60"/>
            </w:pPr>
            <w:r/>
            <w:r>
              <w:rPr>
                <w:b/>
              </w:rPr>
              <w:t>0.1918</w:t>
            </w:r>
            <w:r>
              <w:t xml:space="preserve"> (-0.0582)</w:t>
            </w:r>
          </w:p>
        </w:tc>
        <w:tc>
          <w:tcPr>
            <w:tcW w:type="dxa" w:w="1560"/>
          </w:tcPr>
          <w:p>
            <w:pPr>
              <w:spacing w:before="60" w:after="60"/>
            </w:pPr>
            <w:r/>
            <w:r>
              <w:t>High Vocabulary Divergence</w:t>
            </w:r>
          </w:p>
        </w:tc>
      </w:tr>
      <w:tr>
        <w:tc>
          <w:tcPr>
            <w:tcW w:type="dxa" w:w="1560"/>
          </w:tcPr>
          <w:p>
            <w:pPr>
              <w:spacing w:before="60" w:after="60"/>
            </w:pPr>
            <w:r/>
            <w:r>
              <w:rPr>
                <w:b/>
              </w:rPr>
              <w:t>2</w:t>
            </w:r>
          </w:p>
        </w:tc>
        <w:tc>
          <w:tcPr>
            <w:tcW w:type="dxa" w:w="1560"/>
          </w:tcPr>
          <w:p>
            <w:pPr>
              <w:spacing w:before="60" w:after="60"/>
            </w:pPr>
            <w:r/>
            <w:r>
              <w:rPr>
                <w:i/>
              </w:rPr>
              <w:t>"Dow drops 507 points as tech selloff deepens on Alphabet, Tesla earnings and Iran tensions"</w:t>
            </w:r>
          </w:p>
        </w:tc>
        <w:tc>
          <w:tcPr>
            <w:tcW w:type="dxa" w:w="1560"/>
          </w:tcPr>
          <w:p>
            <w:pPr>
              <w:spacing w:before="60" w:after="60"/>
            </w:pPr>
            <w:r/>
            <w:r>
              <w:rPr>
                <w:i/>
              </w:rPr>
              <w:t>"US stocks fall as oil prices surge amid Middle East conflict, Alphabet AI spending worries weigh on market"</w:t>
            </w:r>
          </w:p>
        </w:tc>
        <w:tc>
          <w:tcPr>
            <w:tcW w:type="dxa" w:w="1560"/>
          </w:tcPr>
          <w:p>
            <w:pPr>
              <w:spacing w:before="60" w:after="60"/>
            </w:pPr>
            <w:r/>
            <w:r>
              <w:rPr>
                <w:b/>
              </w:rPr>
              <w:t>0.0400</w:t>
            </w:r>
            <w:r>
              <w:t xml:space="preserve"> (-0.0800)</w:t>
            </w:r>
          </w:p>
        </w:tc>
        <w:tc>
          <w:tcPr>
            <w:tcW w:type="dxa" w:w="1560"/>
          </w:tcPr>
          <w:p>
            <w:pPr>
              <w:spacing w:before="60" w:after="60"/>
            </w:pPr>
            <w:r/>
            <w:r>
              <w:rPr>
                <w:b/>
              </w:rPr>
              <w:t>0.1542</w:t>
            </w:r>
            <w:r>
              <w:t xml:space="preserve"> (-0.0958)</w:t>
            </w:r>
          </w:p>
        </w:tc>
        <w:tc>
          <w:tcPr>
            <w:tcW w:type="dxa" w:w="1560"/>
          </w:tcPr>
          <w:p>
            <w:pPr>
              <w:spacing w:before="60" w:after="60"/>
            </w:pPr>
            <w:r/>
            <w:r>
              <w:t>High Vocabulary Divergence</w:t>
            </w:r>
          </w:p>
        </w:tc>
      </w:tr>
      <w:tr>
        <w:tc>
          <w:tcPr>
            <w:tcW w:type="dxa" w:w="1560"/>
          </w:tcPr>
          <w:p>
            <w:pPr>
              <w:spacing w:before="60" w:after="60"/>
            </w:pPr>
            <w:r/>
            <w:r>
              <w:rPr>
                <w:b/>
              </w:rPr>
              <w:t>3</w:t>
            </w:r>
          </w:p>
        </w:tc>
        <w:tc>
          <w:tcPr>
            <w:tcW w:type="dxa" w:w="1560"/>
          </w:tcPr>
          <w:p>
            <w:pPr>
              <w:spacing w:before="60" w:after="60"/>
            </w:pPr>
            <w:r/>
            <w:r>
              <w:rPr>
                <w:i/>
              </w:rPr>
              <w:t>"Nvidia quarterly revenue reaches record $57 billion on Blackwell demand"</w:t>
            </w:r>
          </w:p>
        </w:tc>
        <w:tc>
          <w:tcPr>
            <w:tcW w:type="dxa" w:w="1560"/>
          </w:tcPr>
          <w:p>
            <w:pPr>
              <w:spacing w:before="60" w:after="60"/>
            </w:pPr>
            <w:r/>
            <w:r>
              <w:rPr>
                <w:i/>
              </w:rPr>
              <w:t>"Chipmaker Nvidia posts 62% sales surge as AI infrastructure boom continues"</w:t>
            </w:r>
          </w:p>
        </w:tc>
        <w:tc>
          <w:tcPr>
            <w:tcW w:type="dxa" w:w="1560"/>
          </w:tcPr>
          <w:p>
            <w:pPr>
              <w:spacing w:before="60" w:after="60"/>
            </w:pPr>
            <w:r/>
            <w:r>
              <w:rPr>
                <w:b/>
              </w:rPr>
              <w:t>0.0667</w:t>
            </w:r>
            <w:r>
              <w:t xml:space="preserve"> (-0.0533)</w:t>
            </w:r>
          </w:p>
        </w:tc>
        <w:tc>
          <w:tcPr>
            <w:tcW w:type="dxa" w:w="1560"/>
          </w:tcPr>
          <w:p>
            <w:pPr>
              <w:spacing w:before="60" w:after="60"/>
            </w:pPr>
            <w:r/>
            <w:r>
              <w:rPr>
                <w:b/>
              </w:rPr>
              <w:t>0.0953</w:t>
            </w:r>
            <w:r>
              <w:t xml:space="preserve"> (-0.1547)</w:t>
            </w:r>
          </w:p>
        </w:tc>
        <w:tc>
          <w:tcPr>
            <w:tcW w:type="dxa" w:w="1560"/>
          </w:tcPr>
          <w:p>
            <w:pPr>
              <w:spacing w:before="60" w:after="60"/>
            </w:pPr>
            <w:r/>
            <w:r>
              <w:t>Numerical Phrasing Variation</w:t>
            </w:r>
          </w:p>
        </w:tc>
      </w:tr>
      <w:tr>
        <w:tc>
          <w:tcPr>
            <w:tcW w:type="dxa" w:w="1560"/>
          </w:tcPr>
          <w:p>
            <w:pPr>
              <w:spacing w:before="60" w:after="60"/>
            </w:pPr>
            <w:r/>
            <w:r>
              <w:rPr>
                <w:b/>
              </w:rPr>
              <w:t>4</w:t>
            </w:r>
          </w:p>
        </w:tc>
        <w:tc>
          <w:tcPr>
            <w:tcW w:type="dxa" w:w="1560"/>
          </w:tcPr>
          <w:p>
            <w:pPr>
              <w:spacing w:before="60" w:after="60"/>
            </w:pPr>
            <w:r/>
            <w:r>
              <w:rPr>
                <w:i/>
              </w:rPr>
              <w:t>"NASA's Artemis II crew completes final launch pad dress rehearsal"</w:t>
            </w:r>
          </w:p>
        </w:tc>
        <w:tc>
          <w:tcPr>
            <w:tcW w:type="dxa" w:w="1560"/>
          </w:tcPr>
          <w:p>
            <w:pPr>
              <w:spacing w:before="60" w:after="60"/>
            </w:pPr>
            <w:r/>
            <w:r>
              <w:rPr>
                <w:i/>
              </w:rPr>
              <w:t>"Astronauts clear major milestone ahead of upcoming lunar flyby mission"</w:t>
            </w:r>
          </w:p>
        </w:tc>
        <w:tc>
          <w:tcPr>
            <w:tcW w:type="dxa" w:w="1560"/>
          </w:tcPr>
          <w:p>
            <w:pPr>
              <w:spacing w:before="60" w:after="60"/>
            </w:pPr>
            <w:r/>
            <w:r>
              <w:rPr>
                <w:b/>
              </w:rPr>
              <w:t>0.0000</w:t>
            </w:r>
            <w:r>
              <w:t xml:space="preserve"> (-0.1200)</w:t>
            </w:r>
          </w:p>
        </w:tc>
        <w:tc>
          <w:tcPr>
            <w:tcW w:type="dxa" w:w="1560"/>
          </w:tcPr>
          <w:p>
            <w:pPr>
              <w:spacing w:before="60" w:after="60"/>
            </w:pPr>
            <w:r/>
            <w:r>
              <w:rPr>
                <w:b/>
              </w:rPr>
              <w:t>0.0738</w:t>
            </w:r>
            <w:r>
              <w:t xml:space="preserve"> (-0.1762)</w:t>
            </w:r>
          </w:p>
        </w:tc>
        <w:tc>
          <w:tcPr>
            <w:tcW w:type="dxa" w:w="1560"/>
          </w:tcPr>
          <w:p>
            <w:pPr>
              <w:spacing w:before="60" w:after="60"/>
            </w:pPr>
            <w:r/>
            <w:r>
              <w:t>Zero Shared Unigrams</w:t>
            </w:r>
          </w:p>
        </w:tc>
      </w:tr>
      <w:tr>
        <w:tc>
          <w:tcPr>
            <w:tcW w:type="dxa" w:w="1560"/>
          </w:tcPr>
          <w:p>
            <w:pPr>
              <w:spacing w:before="60" w:after="60"/>
            </w:pPr>
            <w:r/>
            <w:r>
              <w:rPr>
                <w:b/>
              </w:rPr>
              <w:t>5</w:t>
            </w:r>
          </w:p>
        </w:tc>
        <w:tc>
          <w:tcPr>
            <w:tcW w:type="dxa" w:w="1560"/>
          </w:tcPr>
          <w:p>
            <w:pPr>
              <w:spacing w:before="60" w:after="60"/>
            </w:pPr>
            <w:r/>
            <w:r>
              <w:rPr>
                <w:i/>
              </w:rPr>
              <w:t>"Bitcoin crosses $100,000 mark for the first time in history"</w:t>
            </w:r>
          </w:p>
        </w:tc>
        <w:tc>
          <w:tcPr>
            <w:tcW w:type="dxa" w:w="1560"/>
          </w:tcPr>
          <w:p>
            <w:pPr>
              <w:spacing w:before="60" w:after="60"/>
            </w:pPr>
            <w:r/>
            <w:r>
              <w:rPr>
                <w:i/>
              </w:rPr>
              <w:t>"World's largest cryptocurrency surges past landmark six-figure threshold"</w:t>
            </w:r>
          </w:p>
        </w:tc>
        <w:tc>
          <w:tcPr>
            <w:tcW w:type="dxa" w:w="1560"/>
          </w:tcPr>
          <w:p>
            <w:pPr>
              <w:spacing w:before="60" w:after="60"/>
            </w:pPr>
            <w:r/>
            <w:r>
              <w:rPr>
                <w:b/>
              </w:rPr>
              <w:t>0.0000</w:t>
            </w:r>
            <w:r>
              <w:t xml:space="preserve"> (-0.1200)</w:t>
            </w:r>
          </w:p>
        </w:tc>
        <w:tc>
          <w:tcPr>
            <w:tcW w:type="dxa" w:w="1560"/>
          </w:tcPr>
          <w:p>
            <w:pPr>
              <w:spacing w:before="60" w:after="60"/>
            </w:pPr>
            <w:r/>
            <w:r>
              <w:rPr>
                <w:b/>
              </w:rPr>
              <w:t>0.1156</w:t>
            </w:r>
            <w:r>
              <w:t xml:space="preserve"> (-0.1344)</w:t>
            </w:r>
          </w:p>
        </w:tc>
        <w:tc>
          <w:tcPr>
            <w:tcW w:type="dxa" w:w="1560"/>
          </w:tcPr>
          <w:p>
            <w:pPr>
              <w:spacing w:before="60" w:after="60"/>
            </w:pPr>
            <w:r/>
            <w:r>
              <w:t>Metaphorical Rewriting</w:t>
            </w:r>
          </w:p>
        </w:tc>
      </w:tr>
      <w:tr>
        <w:tc>
          <w:tcPr>
            <w:tcW w:type="dxa" w:w="1560"/>
          </w:tcPr>
          <w:p>
            <w:pPr>
              <w:spacing w:before="60" w:after="60"/>
            </w:pPr>
            <w:r/>
            <w:r>
              <w:rPr>
                <w:b/>
              </w:rPr>
              <w:t>6</w:t>
            </w:r>
          </w:p>
        </w:tc>
        <w:tc>
          <w:tcPr>
            <w:tcW w:type="dxa" w:w="1560"/>
          </w:tcPr>
          <w:p>
            <w:pPr>
              <w:spacing w:before="60" w:after="60"/>
            </w:pPr>
            <w:r/>
            <w:r>
              <w:rPr>
                <w:i/>
              </w:rPr>
              <w:t>"Tesla delivers record 1.8 million electric vehicles in full-year report"</w:t>
            </w:r>
          </w:p>
        </w:tc>
        <w:tc>
          <w:tcPr>
            <w:tcW w:type="dxa" w:w="1560"/>
          </w:tcPr>
          <w:p>
            <w:pPr>
              <w:spacing w:before="60" w:after="60"/>
            </w:pPr>
            <w:r/>
            <w:r>
              <w:rPr>
                <w:i/>
              </w:rPr>
              <w:t>"Musk's EV giant hits annual delivery target despite global market slowdown"</w:t>
            </w:r>
          </w:p>
        </w:tc>
        <w:tc>
          <w:tcPr>
            <w:tcW w:type="dxa" w:w="1560"/>
          </w:tcPr>
          <w:p>
            <w:pPr>
              <w:spacing w:before="60" w:after="60"/>
            </w:pPr>
            <w:r/>
            <w:r>
              <w:rPr>
                <w:b/>
              </w:rPr>
              <w:t>0.0000</w:t>
            </w:r>
            <w:r>
              <w:t xml:space="preserve"> (-0.1200)</w:t>
            </w:r>
          </w:p>
        </w:tc>
        <w:tc>
          <w:tcPr>
            <w:tcW w:type="dxa" w:w="1560"/>
          </w:tcPr>
          <w:p>
            <w:pPr>
              <w:spacing w:before="60" w:after="60"/>
            </w:pPr>
            <w:r/>
            <w:r>
              <w:rPr>
                <w:b/>
              </w:rPr>
              <w:t>0.0960</w:t>
            </w:r>
            <w:r>
              <w:t xml:space="preserve"> (-0.1540)</w:t>
            </w:r>
          </w:p>
        </w:tc>
        <w:tc>
          <w:tcPr>
            <w:tcW w:type="dxa" w:w="1560"/>
          </w:tcPr>
          <w:p>
            <w:pPr>
              <w:spacing w:before="60" w:after="60"/>
            </w:pPr>
            <w:r/>
            <w:r>
              <w:t>Brand Metonymy (</w:t>
            </w:r>
            <w:r>
              <w:rPr>
                <w:i/>
              </w:rPr>
              <w:t>"Musk's EV giant"</w:t>
            </w:r>
            <w:r>
              <w:t>)</w:t>
            </w:r>
          </w:p>
        </w:tc>
      </w:tr>
      <w:tr>
        <w:tc>
          <w:tcPr>
            <w:tcW w:type="dxa" w:w="1560"/>
          </w:tcPr>
          <w:p>
            <w:pPr>
              <w:spacing w:before="60" w:after="60"/>
            </w:pPr>
            <w:r/>
            <w:r>
              <w:rPr>
                <w:b/>
              </w:rPr>
              <w:t>7</w:t>
            </w:r>
          </w:p>
        </w:tc>
        <w:tc>
          <w:tcPr>
            <w:tcW w:type="dxa" w:w="1560"/>
          </w:tcPr>
          <w:p>
            <w:pPr>
              <w:spacing w:before="60" w:after="60"/>
            </w:pPr>
            <w:r/>
            <w:r>
              <w:rPr>
                <w:i/>
              </w:rPr>
              <w:t>"UN Security Council passes resolution demanding immediate ceasefire in Middle East conflict"</w:t>
            </w:r>
          </w:p>
        </w:tc>
        <w:tc>
          <w:tcPr>
            <w:tcW w:type="dxa" w:w="1560"/>
          </w:tcPr>
          <w:p>
            <w:pPr>
              <w:spacing w:before="60" w:after="60"/>
            </w:pPr>
            <w:r/>
            <w:r>
              <w:rPr>
                <w:i/>
              </w:rPr>
              <w:t>"United Nations votes unanimously for emergency cessation of hostilities"</w:t>
            </w:r>
          </w:p>
        </w:tc>
        <w:tc>
          <w:tcPr>
            <w:tcW w:type="dxa" w:w="1560"/>
          </w:tcPr>
          <w:p>
            <w:pPr>
              <w:spacing w:before="60" w:after="60"/>
            </w:pPr>
            <w:r/>
            <w:r>
              <w:rPr>
                <w:b/>
              </w:rPr>
              <w:t>0.0000</w:t>
            </w:r>
            <w:r>
              <w:t xml:space="preserve"> (-0.1200)</w:t>
            </w:r>
          </w:p>
        </w:tc>
        <w:tc>
          <w:tcPr>
            <w:tcW w:type="dxa" w:w="1560"/>
          </w:tcPr>
          <w:p>
            <w:pPr>
              <w:spacing w:before="60" w:after="60"/>
            </w:pPr>
            <w:r/>
            <w:r>
              <w:rPr>
                <w:b/>
              </w:rPr>
              <w:t>0.0958</w:t>
            </w:r>
            <w:r>
              <w:t xml:space="preserve"> (-0.1542)</w:t>
            </w:r>
          </w:p>
        </w:tc>
        <w:tc>
          <w:tcPr>
            <w:tcW w:type="dxa" w:w="1560"/>
          </w:tcPr>
          <w:p>
            <w:pPr>
              <w:spacing w:before="60" w:after="60"/>
            </w:pPr>
            <w:r/>
            <w:r>
              <w:t>Acronym Variation (</w:t>
            </w:r>
            <w:r>
              <w:rPr>
                <w:i/>
              </w:rPr>
              <w:t>"UN" vs "United Nations"</w:t>
            </w:r>
            <w:r>
              <w:t>)</w:t>
            </w:r>
          </w:p>
        </w:tc>
      </w:tr>
      <w:tr>
        <w:tc>
          <w:tcPr>
            <w:tcW w:type="dxa" w:w="1560"/>
          </w:tcPr>
          <w:p>
            <w:pPr>
              <w:spacing w:before="60" w:after="60"/>
            </w:pPr>
            <w:r/>
            <w:r>
              <w:rPr>
                <w:b/>
              </w:rPr>
              <w:t>8</w:t>
            </w:r>
          </w:p>
        </w:tc>
        <w:tc>
          <w:tcPr>
            <w:tcW w:type="dxa" w:w="1560"/>
          </w:tcPr>
          <w:p>
            <w:pPr>
              <w:spacing w:before="60" w:after="60"/>
            </w:pPr>
            <w:r/>
            <w:r>
              <w:rPr>
                <w:i/>
              </w:rPr>
              <w:t>"FDA approves first CRISPR gene-editing therapy for sickle cell disease"</w:t>
            </w:r>
          </w:p>
        </w:tc>
        <w:tc>
          <w:tcPr>
            <w:tcW w:type="dxa" w:w="1560"/>
          </w:tcPr>
          <w:p>
            <w:pPr>
              <w:spacing w:before="60" w:after="60"/>
            </w:pPr>
            <w:r/>
            <w:r>
              <w:rPr>
                <w:i/>
              </w:rPr>
              <w:t>"US health regulators clear landmark gene therapy Casgevy for commercial use"</w:t>
            </w:r>
          </w:p>
        </w:tc>
        <w:tc>
          <w:tcPr>
            <w:tcW w:type="dxa" w:w="1560"/>
          </w:tcPr>
          <w:p>
            <w:pPr>
              <w:spacing w:before="60" w:after="60"/>
            </w:pPr>
            <w:r/>
            <w:r>
              <w:rPr>
                <w:b/>
              </w:rPr>
              <w:t>0.0625</w:t>
            </w:r>
            <w:r>
              <w:t xml:space="preserve"> (-0.0575)</w:t>
            </w:r>
          </w:p>
        </w:tc>
        <w:tc>
          <w:tcPr>
            <w:tcW w:type="dxa" w:w="1560"/>
          </w:tcPr>
          <w:p>
            <w:pPr>
              <w:spacing w:before="60" w:after="60"/>
            </w:pPr>
            <w:r/>
            <w:r>
              <w:rPr>
                <w:b/>
              </w:rPr>
              <w:t>0.2002</w:t>
            </w:r>
            <w:r>
              <w:t xml:space="preserve"> (-0.0498)</w:t>
            </w:r>
          </w:p>
        </w:tc>
        <w:tc>
          <w:tcPr>
            <w:tcW w:type="dxa" w:w="1560"/>
          </w:tcPr>
          <w:p>
            <w:pPr>
              <w:spacing w:before="60" w:after="60"/>
            </w:pPr>
            <w:r/>
            <w:r>
              <w:t>Agency Alias (</w:t>
            </w:r>
            <w:r>
              <w:rPr>
                <w:i/>
              </w:rPr>
              <w:t>"FDA" vs "US health regulators"</w:t>
            </w:r>
            <w:r>
              <w:t>)</w:t>
            </w:r>
          </w:p>
        </w:tc>
      </w:tr>
      <w:tr>
        <w:tc>
          <w:tcPr>
            <w:tcW w:type="dxa" w:w="1560"/>
          </w:tcPr>
          <w:p>
            <w:pPr>
              <w:spacing w:before="60" w:after="60"/>
            </w:pPr>
            <w:r/>
            <w:r>
              <w:rPr>
                <w:b/>
              </w:rPr>
              <w:t>9</w:t>
            </w:r>
          </w:p>
        </w:tc>
        <w:tc>
          <w:tcPr>
            <w:tcW w:type="dxa" w:w="1560"/>
          </w:tcPr>
          <w:p>
            <w:pPr>
              <w:spacing w:before="60" w:after="60"/>
            </w:pPr>
            <w:r/>
            <w:r>
              <w:rPr>
                <w:i/>
              </w:rPr>
              <w:t>"Avatar 3 trailer debuts at CinemaCon ahead of December theatrical release"</w:t>
            </w:r>
          </w:p>
        </w:tc>
        <w:tc>
          <w:tcPr>
            <w:tcW w:type="dxa" w:w="1560"/>
          </w:tcPr>
          <w:p>
            <w:pPr>
              <w:spacing w:before="60" w:after="60"/>
            </w:pPr>
            <w:r/>
            <w:r>
              <w:rPr>
                <w:i/>
              </w:rPr>
              <w:t>"James Cameron previews next Sci-Fi installment during industry showcase"</w:t>
            </w:r>
          </w:p>
        </w:tc>
        <w:tc>
          <w:tcPr>
            <w:tcW w:type="dxa" w:w="1560"/>
          </w:tcPr>
          <w:p>
            <w:pPr>
              <w:spacing w:before="60" w:after="60"/>
            </w:pPr>
            <w:r/>
            <w:r>
              <w:rPr>
                <w:b/>
              </w:rPr>
              <w:t>0.0000</w:t>
            </w:r>
            <w:r>
              <w:t xml:space="preserve"> (-0.1200)</w:t>
            </w:r>
          </w:p>
        </w:tc>
        <w:tc>
          <w:tcPr>
            <w:tcW w:type="dxa" w:w="1560"/>
          </w:tcPr>
          <w:p>
            <w:pPr>
              <w:spacing w:before="60" w:after="60"/>
            </w:pPr>
            <w:r/>
            <w:r>
              <w:rPr>
                <w:b/>
              </w:rPr>
              <w:t>0.0269</w:t>
            </w:r>
            <w:r>
              <w:t xml:space="preserve"> (-0.2231)</w:t>
            </w:r>
          </w:p>
        </w:tc>
        <w:tc>
          <w:tcPr>
            <w:tcW w:type="dxa" w:w="1560"/>
          </w:tcPr>
          <w:p>
            <w:pPr>
              <w:spacing w:before="60" w:after="60"/>
            </w:pPr>
            <w:r/>
            <w:r>
              <w:t>Zero Shared Unigrams</w:t>
            </w:r>
          </w:p>
        </w:tc>
      </w:tr>
      <w:tr>
        <w:tc>
          <w:tcPr>
            <w:tcW w:type="dxa" w:w="1560"/>
          </w:tcPr>
          <w:p>
            <w:pPr>
              <w:spacing w:before="60" w:after="60"/>
            </w:pPr>
            <w:r/>
            <w:r>
              <w:rPr>
                <w:b/>
              </w:rPr>
              <w:t>10</w:t>
            </w:r>
          </w:p>
        </w:tc>
        <w:tc>
          <w:tcPr>
            <w:tcW w:type="dxa" w:w="1560"/>
          </w:tcPr>
          <w:p>
            <w:pPr>
              <w:spacing w:before="60" w:after="60"/>
            </w:pPr>
            <w:r/>
            <w:r>
              <w:rPr>
                <w:i/>
              </w:rPr>
              <w:t>"Global climate summit concludes with historic pledge to transition away from fossil fuels"</w:t>
            </w:r>
          </w:p>
        </w:tc>
        <w:tc>
          <w:tcPr>
            <w:tcW w:type="dxa" w:w="1560"/>
          </w:tcPr>
          <w:p>
            <w:pPr>
              <w:spacing w:before="60" w:after="60"/>
            </w:pPr>
            <w:r/>
            <w:r>
              <w:rPr>
                <w:i/>
              </w:rPr>
              <w:t>"COP delegates reach agreement on renewable energy phase-in at annual conference"</w:t>
            </w:r>
          </w:p>
        </w:tc>
        <w:tc>
          <w:tcPr>
            <w:tcW w:type="dxa" w:w="1560"/>
          </w:tcPr>
          <w:p>
            <w:pPr>
              <w:spacing w:before="60" w:after="60"/>
            </w:pPr>
            <w:r/>
            <w:r>
              <w:rPr>
                <w:b/>
              </w:rPr>
              <w:t>0.0000</w:t>
            </w:r>
            <w:r>
              <w:t xml:space="preserve"> (-0.1200)</w:t>
            </w:r>
          </w:p>
        </w:tc>
        <w:tc>
          <w:tcPr>
            <w:tcW w:type="dxa" w:w="1560"/>
          </w:tcPr>
          <w:p>
            <w:pPr>
              <w:spacing w:before="60" w:after="60"/>
            </w:pPr>
            <w:r/>
            <w:r>
              <w:rPr>
                <w:b/>
              </w:rPr>
              <w:t>0.0947</w:t>
            </w:r>
            <w:r>
              <w:t xml:space="preserve"> (-0.1553)</w:t>
            </w:r>
          </w:p>
        </w:tc>
        <w:tc>
          <w:tcPr>
            <w:tcW w:type="dxa" w:w="1560"/>
          </w:tcPr>
          <w:p>
            <w:pPr>
              <w:spacing w:before="60" w:after="60"/>
            </w:pPr>
            <w:r/>
            <w:r>
              <w:t>Domain Synonymy (</w:t>
            </w:r>
            <w:r>
              <w:rPr>
                <w:i/>
              </w:rPr>
              <w:t>"Climate summit" vs "COP"</w:t>
            </w:r>
            <w:r>
              <w:t>)</w:t>
            </w:r>
          </w:p>
        </w:tc>
      </w:tr>
      <w:tr>
        <w:tc>
          <w:tcPr>
            <w:tcW w:type="dxa" w:w="1560"/>
          </w:tcPr>
          <w:p>
            <w:pPr>
              <w:spacing w:before="60" w:after="60"/>
            </w:pPr>
            <w:r/>
            <w:r>
              <w:rPr>
                <w:b/>
              </w:rPr>
              <w:t>11</w:t>
            </w:r>
          </w:p>
        </w:tc>
        <w:tc>
          <w:tcPr>
            <w:tcW w:type="dxa" w:w="1560"/>
          </w:tcPr>
          <w:p>
            <w:pPr>
              <w:spacing w:before="60" w:after="60"/>
            </w:pPr>
            <w:r/>
            <w:r>
              <w:rPr>
                <w:i/>
              </w:rPr>
              <w:t>"Real Madrid wins Champions League final with dramatic 2-1 victory over Dortmund"</w:t>
            </w:r>
          </w:p>
        </w:tc>
        <w:tc>
          <w:tcPr>
            <w:tcW w:type="dxa" w:w="1560"/>
          </w:tcPr>
          <w:p>
            <w:pPr>
              <w:spacing w:before="60" w:after="60"/>
            </w:pPr>
            <w:r/>
            <w:r>
              <w:rPr>
                <w:i/>
              </w:rPr>
              <w:t>"Spanish giants secure 15th European crown after late goals at Wembley"</w:t>
            </w:r>
          </w:p>
        </w:tc>
        <w:tc>
          <w:tcPr>
            <w:tcW w:type="dxa" w:w="1560"/>
          </w:tcPr>
          <w:p>
            <w:pPr>
              <w:spacing w:before="60" w:after="60"/>
            </w:pPr>
            <w:r/>
            <w:r>
              <w:rPr>
                <w:b/>
              </w:rPr>
              <w:t>0.0000</w:t>
            </w:r>
            <w:r>
              <w:t xml:space="preserve"> (-0.1200)</w:t>
            </w:r>
          </w:p>
        </w:tc>
        <w:tc>
          <w:tcPr>
            <w:tcW w:type="dxa" w:w="1560"/>
          </w:tcPr>
          <w:p>
            <w:pPr>
              <w:spacing w:before="60" w:after="60"/>
            </w:pPr>
            <w:r/>
            <w:r>
              <w:rPr>
                <w:b/>
              </w:rPr>
              <w:t>0.0270</w:t>
            </w:r>
            <w:r>
              <w:t xml:space="preserve"> (-0.2230)</w:t>
            </w:r>
          </w:p>
        </w:tc>
        <w:tc>
          <w:tcPr>
            <w:tcW w:type="dxa" w:w="1560"/>
          </w:tcPr>
          <w:p>
            <w:pPr>
              <w:spacing w:before="60" w:after="60"/>
            </w:pPr>
            <w:r/>
            <w:r>
              <w:t>Metonymy / Periphrasis (</w:t>
            </w:r>
            <w:r>
              <w:rPr>
                <w:i/>
              </w:rPr>
              <w:t>"Spanish giants"</w:t>
            </w:r>
            <w:r>
              <w:t>)</w:t>
            </w:r>
          </w:p>
        </w:tc>
      </w:tr>
    </w:tbl>
    <w:p/>
    <w:p>
      <w:pPr>
        <w:pStyle w:val="Heading4"/>
      </w:pPr>
      <w:r>
        <w:t>Empirical Reproduction of the Dense Embedding Motivation</w:t>
      </w:r>
    </w:p>
    <w:p>
      <w:r>
        <w:t>This diagnostic breakdown provides an empirical reproduction of the exact limitation documented by Reimers &amp; Gurevych [3] when introducing Sentence-BERT. Journalist periphrasis (</w:t>
      </w:r>
      <w:r>
        <w:rPr>
          <w:i/>
        </w:rPr>
        <w:t>"Spanish giants"</w:t>
      </w:r>
      <w:r>
        <w:t xml:space="preserve"> for Real Madrid, </w:t>
      </w:r>
      <w:r>
        <w:rPr>
          <w:i/>
        </w:rPr>
        <w:t>"Musk's EV giant"</w:t>
      </w:r>
      <w:r>
        <w:t xml:space="preserve"> for Tesla, </w:t>
      </w:r>
      <w:r>
        <w:rPr>
          <w:i/>
        </w:rPr>
        <w:t>"six-figure threshold"</w:t>
      </w:r>
      <w:r>
        <w:t xml:space="preserve"> for $100,000) and agency aliases (</w:t>
      </w:r>
      <w:r>
        <w:rPr>
          <w:i/>
        </w:rPr>
        <w:t>"US health regulators"</w:t>
      </w:r>
      <w:r>
        <w:t xml:space="preserve"> for FDA) yield exactly zero unigram token overlap and near-zero character 3-gram overlap. Lexical and character-level TF-IDF pre-filters are fundamentally incapable of bridging these semantic gaps without semantic vector representations.</w:t>
      </w:r>
    </w:p>
    <w:p>
      <w:pPr>
        <w:pStyle w:val="Heading4"/>
      </w:pPr>
      <w:r>
        <w:t>Proposed Local CPU Semantic Embedding Extension (</w:t>
      </w:r>
      <w:r>
        <w:rPr>
          <w:rFonts w:ascii="Consolas" w:hAnsi="Consolas"/>
          <w:color w:val="B42828"/>
          <w:sz w:val="19"/>
        </w:rPr>
        <w:t>testSemanticGate.js</w:t>
      </w:r>
      <w:r>
        <w:t>)</w:t>
      </w:r>
    </w:p>
    <w:p>
      <w:r>
        <w:t>To test recovery without incurring GPU costs or external API latency, we evaluated a third OR-gate condition using a lightweight local CPU sentence transformer model (</w:t>
      </w:r>
      <w:r>
        <w:rPr>
          <w:rFonts w:ascii="Consolas" w:hAnsi="Consolas"/>
          <w:color w:val="B42828"/>
          <w:sz w:val="19"/>
        </w:rPr>
        <w:t>Xenova/all-MiniLM-L6-v2</w:t>
      </w:r>
      <w:r>
        <w:t xml:space="preserve"> via </w:t>
      </w:r>
      <w:r>
        <w:rPr>
          <w:rFonts w:ascii="Consolas" w:hAnsi="Consolas"/>
          <w:color w:val="B42828"/>
          <w:sz w:val="19"/>
        </w:rPr>
        <w:t>@xenova/transformers</w:t>
      </w:r>
      <w:r>
        <w:t>, running in ~1.8 seconds for all 45 pairs on standard CPU hardware).</w:t>
      </w:r>
    </w:p>
    <w:p>
      <w:r>
        <w:t>The full three-stage gating condition is defined as:</w:t>
      </w:r>
    </w:p>
    <w:p>
      <w:r>
        <w:rPr>
          <w:rFonts w:ascii="Cambria Math" w:hAnsi="Cambria Math"/>
          <w:i/>
        </w:rPr>
      </w:r>
      <w:r>
        <w:t>\text{PassesGating} = (J(A,B) \ge 0.12) \lor (\cos_{\text{char}}(V_A, V_B) \ge 0.25) \lor (\cos_{\text{semantic}}(E_A, E_B) \ge T_{\text{sem}})</w:t>
      </w:r>
      <w:r>
        <w:rPr>
          <w:rFonts w:ascii="Cambria Math" w:hAnsi="Cambria Math"/>
          <w:i/>
        </w:rPr>
      </w:r>
    </w:p>
    <w:p>
      <w:r>
        <w:t xml:space="preserve">As detailed in Table VI, setting </w:t>
      </w:r>
      <w:r>
        <w:rPr>
          <w:rFonts w:ascii="Cambria Math" w:hAnsi="Cambria Math"/>
          <w:i/>
        </w:rPr>
        <w:t>T_{\text{sem}} = 0.40</w:t>
      </w:r>
      <w:r>
        <w:t xml:space="preserve"> recovers recall from </w:t>
      </w:r>
      <w:r>
        <w:rPr>
          <w:b/>
        </w:rPr>
        <w:t>35.29% to 76.47%</w:t>
      </w:r>
      <w:r>
        <w:t xml:space="preserve"> (+41.18 percentage points) while maintaining </w:t>
      </w:r>
      <w:r>
        <w:rPr>
          <w:b/>
        </w:rPr>
        <w:t>88.89% Accuracy</w:t>
      </w:r>
      <w:r>
        <w:t xml:space="preserve">, </w:t>
      </w:r>
      <w:r>
        <w:rPr>
          <w:b/>
        </w:rPr>
        <w:t>92.86% Precision</w:t>
      </w:r>
      <w:r>
        <w:t xml:space="preserve">, and a </w:t>
      </w:r>
      <w:r>
        <w:rPr>
          <w:b/>
        </w:rPr>
        <w:t>53.33% LLM call reduction</w:t>
      </w:r>
      <w:r>
        <w:t xml:space="preserve"> (21 of 45 calls). </w:t>
      </w:r>
    </w:p>
    <w:p>
      <w:r>
        <w:rPr>
          <w:i/>
        </w:rPr>
        <w:t>Methodological Caveat:</w:t>
      </w:r>
      <w:r>
        <w:t xml:space="preserve"> The semantic threshold (</w:t>
      </w:r>
      <w:r>
        <w:rPr>
          <w:rFonts w:ascii="Cambria Math" w:hAnsi="Cambria Math"/>
          <w:i/>
        </w:rPr>
        <w:t>T_{\text{sem}} = 0.40</w:t>
      </w:r>
      <w:r>
        <w:t xml:space="preserve">) was selected by inspecting performance on this same 45-pair dataset rather than a separate held-out validation set; the reported recall recovery represents an upper-bound estimate pending validation on unseen wire data. This extension has been experimentally evaluated in </w:t>
      </w:r>
      <w:r>
        <w:rPr>
          <w:rFonts w:ascii="Consolas" w:hAnsi="Consolas"/>
          <w:color w:val="B42828"/>
          <w:sz w:val="19"/>
        </w:rPr>
        <w:t>testFullHybridWithSemantic.js</w:t>
      </w:r>
      <w:r>
        <w:t xml:space="preserve"> but is </w:t>
      </w:r>
      <w:r>
        <w:rPr>
          <w:b/>
        </w:rPr>
        <w:t>not integrated into the deployed production system</w:t>
      </w:r>
      <w:r>
        <w:t>.</w:t>
      </w:r>
    </w:p>
    <w:p>
      <w:pPr>
        <w:jc w:val="center"/>
      </w:pPr>
      <w:r>
        <w:rPr>
          <w:color w:val="969696"/>
        </w:rPr>
        <w:t>─────── ❖ ───────</w:t>
      </w:r>
    </w:p>
    <w:p>
      <w:pPr>
        <w:pStyle w:val="Heading2"/>
      </w:pPr>
      <w:r>
        <w:t>VI. THREATS TO VALIDITY</w:t>
      </w:r>
    </w:p>
    <w:p>
      <w:r>
        <w:t>Before concluding, we explicitly document six methodological and operational threats to validity:</w:t>
      </w:r>
    </w:p>
    <w:p>
      <w:pPr>
        <w:pStyle w:val="ListNumber"/>
      </w:pPr>
      <w:r>
        <w:rPr>
          <w:b/>
        </w:rPr>
        <w:t>Benchmark Scale &amp; Single-Annotator Labeling:</w:t>
      </w:r>
      <w:r>
        <w:t xml:space="preserve"> The </w:t>
      </w:r>
      <w:r>
        <w:rPr>
          <w:rFonts w:ascii="Cambria Math" w:hAnsi="Cambria Math"/>
          <w:i/>
        </w:rPr>
        <w:t>N=45</w:t>
      </w:r>
      <w:r>
        <w:t xml:space="preserve"> evaluation dataset represents a modest, single-annotator-labeled benchmark collected over a 6-week wire window. Inter-annotator agreement metrics were not formally measured on a multi-annotator panel.</w:t>
      </w:r>
    </w:p>
    <w:p>
      <w:pPr>
        <w:pStyle w:val="ListNumber"/>
      </w:pPr>
      <w:r>
        <w:rPr>
          <w:b/>
        </w:rPr>
        <w:t>Evaluation Scale vs. Enterprise Corpora:</w:t>
      </w:r>
      <w:r>
        <w:t xml:space="preserve"> While NISE is evaluated against live RSS wire streams, we do not present direct empirical comparisons against large-scale static databases such as GDELT or Event Registry at their full operating volume (</w:t>
      </w:r>
      <w:r>
        <w:rPr>
          <w:rFonts w:ascii="Cambria Math" w:hAnsi="Cambria Math"/>
          <w:i/>
        </w:rPr>
        <w:t>10^6+</w:t>
      </w:r>
      <w:r>
        <w:t xml:space="preserve"> daily documents).</w:t>
      </w:r>
    </w:p>
    <w:p>
      <w:pPr>
        <w:pStyle w:val="ListNumber"/>
      </w:pPr>
      <w:r>
        <w:rPr>
          <w:b/>
        </w:rPr>
        <w:t>Unvalidated Sub-Components:</w:t>
      </w:r>
      <w:r>
        <w:t xml:space="preserve"> The stance-detection agent and factuality reflection loop are fully implemented and operational in code, but their isolated classification accuracy has not been benchmarked against dedicated domain datasets (e.g., BASIL for stance annotation or FACTS Grounding for hallucination evaluation).</w:t>
      </w:r>
    </w:p>
    <w:p>
      <w:pPr>
        <w:pStyle w:val="ListNumber"/>
      </w:pPr>
      <w:r>
        <w:rPr>
          <w:b/>
        </w:rPr>
        <w:t>Legal Status of Transformative Rewriting:</w:t>
      </w:r>
      <w:r>
        <w:t xml:space="preserve"> The copyright reduction strategy is a software design goal intended to minimize exposure through transformative rewriting. It does not constitute a legally guaranteed exemption under copyright law, acknowledging active 2025 litigation surrounding AI news summarization (e.g., </w:t>
      </w:r>
      <w:r>
        <w:rPr>
          <w:i/>
        </w:rPr>
        <w:t>Advance Local Media LLC v. Cohere Inc.</w:t>
      </w:r>
      <w:r>
        <w:t>).</w:t>
      </w:r>
    </w:p>
    <w:p>
      <w:pPr>
        <w:pStyle w:val="ListNumber"/>
      </w:pPr>
      <w:r>
        <w:rPr>
          <w:b/>
        </w:rPr>
        <w:t>Experimental Threshold Selection on Evaluation Set:</w:t>
      </w:r>
      <w:r>
        <w:t xml:space="preserve"> The semantic gate threshold (</w:t>
      </w:r>
      <w:r>
        <w:rPr>
          <w:rFonts w:ascii="Cambria Math" w:hAnsi="Cambria Math"/>
          <w:i/>
        </w:rPr>
        <w:t>T_{\text{sem}} = 0.40</w:t>
      </w:r>
      <w:r>
        <w:t xml:space="preserve">) evaluated in Section 5.5 was selected via inspection of performance on the same </w:t>
      </w:r>
      <w:r>
        <w:rPr>
          <w:rFonts w:ascii="Cambria Math" w:hAnsi="Cambria Math"/>
          <w:i/>
        </w:rPr>
        <w:t>N=45</w:t>
      </w:r>
      <w:r>
        <w:t xml:space="preserve"> evaluation dataset rather than a separate held-out validation set; the reported recall recovery should be treated as an upper estimate pending validation on unseen data.</w:t>
      </w:r>
    </w:p>
    <w:p>
      <w:pPr>
        <w:pStyle w:val="ListNumber"/>
      </w:pPr>
      <w:r>
        <w:rPr>
          <w:b/>
        </w:rPr>
        <w:t>Non-Uniform Credibility Suppression in DPCS:</w:t>
      </w:r>
      <w:r>
        <w:t xml:space="preserve"> Dynamic publisher credibility weighting is not uniformly beneficial across all operating points. For example, at threshold </w:t>
      </w:r>
      <w:r>
        <w:rPr>
          <w:rFonts w:ascii="Cambria Math" w:hAnsi="Cambria Math"/>
          <w:i/>
        </w:rPr>
        <w:t>\tau = 0.18</w:t>
      </w:r>
      <w:r>
        <w:t>, integrating DPCS into EFSA reduces recall from 52.94% to 41.18% (true positives drop from 9 to 7 out of 17), because credibility suppression filters out genuine same-event pairs from lower-scoring publisher feeds before they reach LLM verification, trading real recall for a modest reduction in LLM calls (25 to 22 calls). This represents an explicit, acknowledged limitation of the current static-factor DPCS weighting scheme under lower gate operating thresholds.</w:t>
      </w:r>
    </w:p>
    <w:p>
      <w:pPr>
        <w:jc w:val="center"/>
      </w:pPr>
      <w:r>
        <w:rPr>
          <w:color w:val="969696"/>
        </w:rPr>
        <w:t>─────── ❖ ───────</w:t>
      </w:r>
    </w:p>
    <w:p>
      <w:pPr>
        <w:pStyle w:val="Heading2"/>
      </w:pPr>
      <w:r>
        <w:t>VII. CONCLUSION &amp; FUTURE WORK</w:t>
      </w:r>
    </w:p>
    <w:p>
      <w:r>
        <w:t xml:space="preserve">This paper presented </w:t>
      </w:r>
      <w:r>
        <w:rPr>
          <w:b/>
        </w:rPr>
        <w:t>NISE</w:t>
      </w:r>
      <w:r>
        <w:t xml:space="preserve"> alongside two novel algorithmic contributions: the </w:t>
      </w:r>
      <w:r>
        <w:rPr>
          <w:b/>
        </w:rPr>
        <w:t>Enhanced Fusion Scoring Algorithm (EFSA)</w:t>
      </w:r>
      <w:r>
        <w:t xml:space="preserve"> and </w:t>
      </w:r>
      <w:r>
        <w:rPr>
          <w:b/>
        </w:rPr>
        <w:t>Dynamic Publisher Credibility Scoring (DPCS)</w:t>
      </w:r>
      <w:r>
        <w:t xml:space="preserve">. EFSA and DPCS provide a dependency-free, pure-heuristic strategy with a fully characterized cost/accuracy tradeoff curve, achieving </w:t>
      </w:r>
      <w:r>
        <w:rPr>
          <w:b/>
        </w:rPr>
        <w:t>73.33% Accuracy</w:t>
      </w:r>
      <w:r>
        <w:t xml:space="preserve">, </w:t>
      </w:r>
      <w:r>
        <w:rPr>
          <w:b/>
        </w:rPr>
        <w:t>50.00% F1-Score</w:t>
      </w:r>
      <w:r>
        <w:t xml:space="preserve">, and </w:t>
      </w:r>
      <w:r>
        <w:rPr>
          <w:b/>
        </w:rPr>
        <w:t>77.78% LLM Call Savings</w:t>
      </w:r>
      <w:r>
        <w:t xml:space="preserve"> (10 calls of 45 pairs) at the current production threshold (</w:t>
      </w:r>
      <w:r>
        <w:rPr>
          <w:rFonts w:ascii="Cambria Math" w:hAnsi="Cambria Math"/>
          <w:i/>
        </w:rPr>
        <w:t>\tau=0.22</w:t>
      </w:r>
      <w:r>
        <w:t>). Experimental benchmark comparisons demonstrate that while the local semantic embedding extension (</w:t>
      </w:r>
      <w:r>
        <w:rPr>
          <w:rFonts w:ascii="Consolas" w:hAnsi="Consolas"/>
          <w:color w:val="B42828"/>
          <w:sz w:val="19"/>
        </w:rPr>
        <w:t>Xenova/all-MiniLM-L6-v2</w:t>
      </w:r>
      <w:r>
        <w:t xml:space="preserve"> at </w:t>
      </w:r>
      <w:r>
        <w:rPr>
          <w:rFonts w:ascii="Cambria Math" w:hAnsi="Cambria Math"/>
          <w:i/>
        </w:rPr>
        <w:t>T_{\text{sem}}=0.40</w:t>
      </w:r>
      <w:r>
        <w:t>) delivers the strongest overall performance (88.89% Accuracy, 76.47% Recall, 83.87% F1-Score at 21 calls), EFSA and DPCS offer an effective zero-dependency alternative for resource-constrained deployments where loading neural transformer models is undesirable or infeasible. Future work includes extending DPCS to Graph Neural Networks (GNNs) for multi-agent publisher network trust propagation and integrating cross-lingual multi-modal vision-language event fusion.</w:t>
      </w:r>
    </w:p>
    <w:p>
      <w:pPr>
        <w:jc w:val="center"/>
      </w:pPr>
      <w:r>
        <w:rPr>
          <w:color w:val="969696"/>
        </w:rPr>
        <w:t>─────── ❖ ───────</w:t>
      </w:r>
    </w:p>
    <w:p>
      <w:pPr>
        <w:pStyle w:val="Heading2"/>
      </w:pPr>
      <w:r>
        <w:t>VIII. REFERENCES</w:t>
      </w:r>
    </w:p>
    <w:p>
      <w:pPr>
        <w:pStyle w:val="ListNumber"/>
      </w:pPr>
      <w:r>
        <w:t xml:space="preserve">G. Salton and C. Buckley, "Term-weighting approaches in automatic text retrieval," </w:t>
      </w:r>
      <w:r>
        <w:rPr>
          <w:i/>
        </w:rPr>
        <w:t>Information Processing &amp; Management</w:t>
      </w:r>
      <w:r>
        <w:t>, vol. 24, no. 5, pp. 513–523, 1988.</w:t>
      </w:r>
    </w:p>
    <w:p>
      <w:pPr>
        <w:pStyle w:val="ListNumber"/>
      </w:pPr>
      <w:r>
        <w:t xml:space="preserve">P. Jaccard, "Étude comparative de la distribution florale dans une portion des Alpes et du Jura," </w:t>
      </w:r>
      <w:r>
        <w:rPr>
          <w:i/>
        </w:rPr>
        <w:t>Bulletin de la Société Vaudoise des Sciences Naturelles</w:t>
      </w:r>
      <w:r>
        <w:t>, vol. 37, pp. 547–579, 1901.</w:t>
      </w:r>
    </w:p>
    <w:p>
      <w:pPr>
        <w:pStyle w:val="ListNumber"/>
      </w:pPr>
      <w:r>
        <w:t xml:space="preserve">N. Reimers and I. Gurevych, "Sentence-BERT: Sentence Embeddings using Siamese BERT-Networks," in </w:t>
      </w:r>
      <w:r>
        <w:rPr>
          <w:i/>
        </w:rPr>
        <w:t>Proc. EMNLP-IJCNLP</w:t>
      </w:r>
      <w:r>
        <w:t>, 2019, pp. 3982–3992.</w:t>
      </w:r>
    </w:p>
    <w:p>
      <w:pPr>
        <w:pStyle w:val="ListNumber"/>
      </w:pPr>
      <w:r>
        <w:t xml:space="preserve">L. McInnes, J. Healy, and J. Melville, "UMAP: Uniform Manifold Approximation and Projection for Dimension Reduction," </w:t>
      </w:r>
      <w:r>
        <w:rPr>
          <w:i/>
        </w:rPr>
        <w:t>arXiv preprint arXiv:1802.03426</w:t>
      </w:r>
      <w:r>
        <w:t>, 2018.</w:t>
      </w:r>
    </w:p>
    <w:p>
      <w:pPr>
        <w:pStyle w:val="ListNumber"/>
      </w:pPr>
      <w:r>
        <w:t xml:space="preserve">R. J. G. B. Campello, D. Moulavi, and J. Sander, "Density-Based Clustering Based on Hierarchical Density Estimates," in </w:t>
      </w:r>
      <w:r>
        <w:rPr>
          <w:i/>
        </w:rPr>
        <w:t>Proc. PAKDD</w:t>
      </w:r>
      <w:r>
        <w:t>, 2013, pp. 160–172.</w:t>
      </w:r>
    </w:p>
    <w:p>
      <w:pPr>
        <w:pStyle w:val="ListNumber"/>
      </w:pPr>
      <w:r>
        <w:t xml:space="preserve">A. N. Tarekegn, M. Rabbi, and S. Tessem, "Large Language Model Enhanced Clustering for News Event Detection," </w:t>
      </w:r>
      <w:r>
        <w:rPr>
          <w:i/>
        </w:rPr>
        <w:t>arXiv preprint arXiv:2406.10552</w:t>
      </w:r>
      <w:r>
        <w:t>, 2024.</w:t>
      </w:r>
    </w:p>
    <w:p>
      <w:pPr>
        <w:pStyle w:val="ListNumber"/>
      </w:pPr>
      <w:r>
        <w:t xml:space="preserve">S. Nakshatri, Y. Liu, C. Chen, D. Roth, D. Goldwasser, and M. Hopkins, "Using LLM for Improving Key Event Discovery: Temporal-Guided News Stream Clustering with Event Summaries," in </w:t>
      </w:r>
      <w:r>
        <w:rPr>
          <w:i/>
        </w:rPr>
        <w:t>Findings of the Association for Computational Linguistics: EMNLP 2023</w:t>
      </w:r>
      <w:r>
        <w:t>, pp. 4510–4525, 2023.</w:t>
      </w:r>
    </w:p>
    <w:p>
      <w:pPr>
        <w:pStyle w:val="ListNumber"/>
      </w:pPr>
      <w:r>
        <w:t xml:space="preserve">ACL Anthology, "Enhancing Event-centric News Cluster Summarization via Multi-stage Extraction," </w:t>
      </w:r>
      <w:r>
        <w:rPr>
          <w:i/>
        </w:rPr>
        <w:t>Proc. ACL 2025</w:t>
      </w:r>
      <w:r>
        <w:t>, 2025.acl-long.801, 2025.</w:t>
      </w:r>
    </w:p>
    <w:p>
      <w:pPr>
        <w:pStyle w:val="ListNumber"/>
      </w:pPr>
      <w:r>
        <w:t xml:space="preserve">L. Fan et al., "BASIL: Bias Annotation Spans on the Informational Level," in </w:t>
      </w:r>
      <w:r>
        <w:rPr>
          <w:i/>
        </w:rPr>
        <w:t>Proc. EMNLP-IJCNLP</w:t>
      </w:r>
      <w:r>
        <w:t>, 2019, pp. 2410–2420.</w:t>
      </w:r>
    </w:p>
    <w:p>
      <w:pPr>
        <w:pStyle w:val="ListNumber"/>
      </w:pPr>
      <w:r>
        <w:t xml:space="preserve">Z. Ji et al., "Survey of Hallucination in Natural Language Generation," </w:t>
      </w:r>
      <w:r>
        <w:rPr>
          <w:i/>
        </w:rPr>
        <w:t>ACM Computing Surveys</w:t>
      </w:r>
      <w:r>
        <w:t>, vol. 55, no. 12, pp. 1–38, 2023.</w:t>
      </w:r>
    </w:p>
    <w:p>
      <w:pPr>
        <w:pStyle w:val="ListNumber"/>
      </w:pPr>
      <w:r>
        <w:t xml:space="preserve">Y. Zhang et al., "Siren's Song in the AI Ocean: A Survey on Hallucination in Large Language Models," </w:t>
      </w:r>
      <w:r>
        <w:rPr>
          <w:i/>
        </w:rPr>
        <w:t>arXiv preprint arXiv:2309.01219</w:t>
      </w:r>
      <w:r>
        <w:t>, 2023.</w:t>
      </w:r>
    </w:p>
    <w:p>
      <w:pPr>
        <w:pStyle w:val="ListNumber"/>
      </w:pPr>
      <w:r>
        <w:t xml:space="preserve">N. Shinn et al., "Reflexion: Language Agents with Verbal Reinforcement Learning," in </w:t>
      </w:r>
      <w:r>
        <w:rPr>
          <w:i/>
        </w:rPr>
        <w:t>Proc. NeurIPS</w:t>
      </w:r>
      <w:r>
        <w:t>, 2023.</w:t>
      </w:r>
    </w:p>
    <w:p>
      <w:pPr>
        <w:pStyle w:val="ListNumber"/>
      </w:pPr>
      <w:r>
        <w:t xml:space="preserve">F. Atefeh and W. Khreich, "A Survey of Techniques for Event Detection in Twitter," </w:t>
      </w:r>
      <w:r>
        <w:rPr>
          <w:i/>
        </w:rPr>
        <w:t>Computational Intelligence</w:t>
      </w:r>
      <w:r>
        <w:t>, vol. 31, no. 1, pp. 132–164, 2015.</w:t>
      </w:r>
    </w:p>
    <w:p>
      <w:pPr>
        <w:pStyle w:val="ListNumber"/>
      </w:pPr>
      <w:r>
        <w:t xml:space="preserve">H. Touvron et al., "Llama 2: Open Foundation and Fine-Tuned Chat Models," </w:t>
      </w:r>
      <w:r>
        <w:rPr>
          <w:i/>
        </w:rPr>
        <w:t>arXiv preprint arXiv:2307.09288</w:t>
      </w:r>
      <w:r>
        <w:t>, 2023.</w:t>
      </w:r>
    </w:p>
    <w:p>
      <w:pPr>
        <w:pStyle w:val="ListNumber"/>
      </w:pPr>
      <w:r>
        <w:t>Meta AI Research, "Llama 3 Model Card," Meta AI, 2024.</w:t>
      </w:r>
    </w:p>
    <w:p>
      <w:pPr>
        <w:pStyle w:val="ListNumber"/>
      </w:pPr>
      <w:r>
        <w:t>Groq Inc., "Groq LPU Inference Engine Architecture Overview," Groq Technical Whitepaper, 2024.</w:t>
      </w:r>
    </w:p>
    <w:p>
      <w:pPr>
        <w:pStyle w:val="ListNumber"/>
      </w:pPr>
      <w:r>
        <w:t>Pollinations.ai, "FLUX Realism Image Generation API Documentation," 2024.</w:t>
      </w:r>
    </w:p>
    <w:p>
      <w:pPr>
        <w:pStyle w:val="ListNumber"/>
      </w:pPr>
      <w:r>
        <w:t xml:space="preserve">F. Sufi, "Just-in-Time News: An AI Chatbot for the Modern Information Age," </w:t>
      </w:r>
      <w:r>
        <w:rPr>
          <w:i/>
        </w:rPr>
        <w:t>AI (MDPI)</w:t>
      </w:r>
      <w:r>
        <w:t>, vol. 6, no. 2, article 22, 2025.</w:t>
      </w:r>
    </w:p>
    <w:p>
      <w:pPr>
        <w:pStyle w:val="ListNumber"/>
      </w:pPr>
      <w:r>
        <w:t xml:space="preserve">C. D. Manning, P. Raghavan, and H. Schütze, </w:t>
      </w:r>
      <w:r>
        <w:rPr>
          <w:i/>
        </w:rPr>
        <w:t>Introduction to Information Retrieval</w:t>
      </w:r>
      <w:r>
        <w:t>, Cambridge University Press, 2008.</w:t>
      </w:r>
    </w:p>
    <w:p>
      <w:pPr>
        <w:pStyle w:val="ListNumber"/>
      </w:pPr>
      <w:r>
        <w:t xml:space="preserve">V. Christophides, V. Efthymiou, T. Palpanas, G. Papadakis, and K. Stefanidis, "An Overview of End-to-End Entity Resolution for Big Data," </w:t>
      </w:r>
      <w:r>
        <w:rPr>
          <w:i/>
        </w:rPr>
        <w:t>ACM Computing Surveys</w:t>
      </w:r>
      <w:r>
        <w:t>, vol. 53, no. 6, Article 127, 2020.</w:t>
      </w:r>
    </w:p>
    <w:p>
      <w:pPr>
        <w:pStyle w:val="ListNumber"/>
      </w:pPr>
      <w:r>
        <w:t xml:space="preserve">K.-C. Yang and F. Menczer, "Accuracy and Political Bias of News Source Credibility Ratings by Large Language Models," </w:t>
      </w:r>
      <w:r>
        <w:rPr>
          <w:i/>
        </w:rPr>
        <w:t>arXiv preprint arXiv:2304.00228</w:t>
      </w:r>
      <w:r>
        <w:t>,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