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ED888" w14:textId="3974799F" w:rsidR="008F3AC0" w:rsidRDefault="00107C70" w:rsidP="00107C70">
      <w:pPr>
        <w:spacing w:after="240"/>
        <w:jc w:val="center"/>
        <w:rPr>
          <w:rFonts w:ascii="Times New Roman" w:hAnsi="Times New Roman" w:cs="Times New Roman"/>
          <w:b/>
          <w:sz w:val="48"/>
        </w:rPr>
      </w:pPr>
      <w:r>
        <w:rPr>
          <w:rFonts w:ascii="Times New Roman" w:hAnsi="Times New Roman" w:cs="Times New Roman"/>
          <w:b/>
          <w:sz w:val="48"/>
        </w:rPr>
        <w:t>A Cost-Aware Multi-Stage Event Clustering Pipeline for Automated News Aggregation and Social Media Distribution: Design, Deployment, and Empirical Trade-off Analysis</w:t>
      </w:r>
    </w:p>
    <w:tbl>
      <w:tblPr>
        <w:tblW w:w="5000" w:type="pct"/>
        <w:tblLayout w:type="fixed"/>
        <w:tblLook w:val="0000" w:firstRow="0" w:lastRow="0" w:firstColumn="0" w:lastColumn="0" w:noHBand="0" w:noVBand="0"/>
      </w:tblPr>
      <w:tblGrid>
        <w:gridCol w:w="4680"/>
        <w:gridCol w:w="4680"/>
        <w:gridCol w:w="4680"/>
      </w:tblGrid>
      <w:tr w:rsidR="00107C70" w14:paraId="737B4BE5" w14:textId="77777777" w:rsidTr="00107C70">
        <w:tblPrEx>
          <w:tblCellMar>
            <w:top w:w="0" w:type="dxa"/>
            <w:bottom w:w="0" w:type="dxa"/>
          </w:tblCellMar>
        </w:tblPrEx>
        <w:tc>
          <w:tcPr>
            <w:tcW w:w="4680" w:type="dxa"/>
            <w:vAlign w:val="center"/>
          </w:tcPr>
          <w:p w14:paraId="286285BC" w14:textId="77777777" w:rsidR="00107C70" w:rsidRPr="00107C70" w:rsidRDefault="00107C70" w:rsidP="00107C70">
            <w:pPr>
              <w:spacing w:after="240"/>
              <w:jc w:val="center"/>
              <w:rPr>
                <w:rFonts w:ascii="Times New Roman" w:hAnsi="Times New Roman" w:cs="Times New Roman"/>
                <w:sz w:val="20"/>
              </w:rPr>
            </w:pPr>
            <w:r w:rsidRPr="00107C70">
              <w:rPr>
                <w:rFonts w:ascii="Times New Roman" w:hAnsi="Times New Roman" w:cs="Times New Roman"/>
                <w:sz w:val="20"/>
              </w:rPr>
              <w:t>D. Menaga</w:t>
            </w:r>
          </w:p>
          <w:p w14:paraId="38103D70"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Department of Computer Science and Engineering</w:t>
            </w:r>
          </w:p>
          <w:p w14:paraId="5D3308D0"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St. Joseph's Institute of Technology, OMR,</w:t>
            </w:r>
          </w:p>
          <w:p w14:paraId="55BA2F9D"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Chennai-600119</w:t>
            </w:r>
          </w:p>
          <w:p w14:paraId="342DB709"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dev.menaga@gmail.com</w:t>
            </w:r>
          </w:p>
          <w:p w14:paraId="78883868" w14:textId="62C17EE3" w:rsidR="00107C70" w:rsidRPr="00107C70" w:rsidRDefault="00107C70" w:rsidP="00107C70">
            <w:pPr>
              <w:spacing w:after="240"/>
              <w:jc w:val="center"/>
              <w:rPr>
                <w:rFonts w:ascii="Times New Roman" w:hAnsi="Times New Roman" w:cs="Times New Roman"/>
                <w:sz w:val="20"/>
              </w:rPr>
            </w:pPr>
          </w:p>
        </w:tc>
        <w:tc>
          <w:tcPr>
            <w:tcW w:w="4680" w:type="dxa"/>
            <w:vAlign w:val="center"/>
          </w:tcPr>
          <w:p w14:paraId="4CED8CC8" w14:textId="77777777" w:rsidR="00107C70" w:rsidRPr="00107C70" w:rsidRDefault="00107C70" w:rsidP="00107C70">
            <w:pPr>
              <w:spacing w:after="240"/>
              <w:jc w:val="center"/>
              <w:rPr>
                <w:rFonts w:ascii="Times New Roman" w:hAnsi="Times New Roman" w:cs="Times New Roman"/>
                <w:sz w:val="20"/>
              </w:rPr>
            </w:pPr>
            <w:r w:rsidRPr="00107C70">
              <w:rPr>
                <w:rFonts w:ascii="Times New Roman" w:hAnsi="Times New Roman" w:cs="Times New Roman"/>
                <w:sz w:val="20"/>
              </w:rPr>
              <w:t>Jayadasan S</w:t>
            </w:r>
          </w:p>
          <w:p w14:paraId="108526A1"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Department of Computer Science and Engineering</w:t>
            </w:r>
          </w:p>
          <w:p w14:paraId="10911A7B"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St. Joseph's Institute of Technology, OMR,</w:t>
            </w:r>
          </w:p>
          <w:p w14:paraId="1D3752F0"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Chennai-600119</w:t>
            </w:r>
          </w:p>
          <w:p w14:paraId="2EC6A45E"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jayadasanjai@gmail.com</w:t>
            </w:r>
          </w:p>
          <w:p w14:paraId="1CE8F1CF" w14:textId="6E758D9D" w:rsidR="00107C70" w:rsidRPr="00107C70" w:rsidRDefault="00107C70" w:rsidP="00107C70">
            <w:pPr>
              <w:spacing w:after="240"/>
              <w:jc w:val="center"/>
              <w:rPr>
                <w:rFonts w:ascii="Times New Roman" w:hAnsi="Times New Roman" w:cs="Times New Roman"/>
                <w:sz w:val="20"/>
              </w:rPr>
            </w:pPr>
          </w:p>
        </w:tc>
        <w:tc>
          <w:tcPr>
            <w:tcW w:w="4680" w:type="dxa"/>
            <w:vAlign w:val="center"/>
          </w:tcPr>
          <w:p w14:paraId="2C028650" w14:textId="77777777" w:rsidR="00107C70" w:rsidRPr="00107C70" w:rsidRDefault="00107C70" w:rsidP="00107C70">
            <w:pPr>
              <w:spacing w:after="240"/>
              <w:jc w:val="center"/>
              <w:rPr>
                <w:rFonts w:ascii="Times New Roman" w:hAnsi="Times New Roman" w:cs="Times New Roman"/>
                <w:sz w:val="20"/>
              </w:rPr>
            </w:pPr>
            <w:r w:rsidRPr="00107C70">
              <w:rPr>
                <w:rFonts w:ascii="Times New Roman" w:hAnsi="Times New Roman" w:cs="Times New Roman"/>
                <w:sz w:val="20"/>
              </w:rPr>
              <w:t>Jason Peniel Raj S</w:t>
            </w:r>
          </w:p>
          <w:p w14:paraId="07A32670"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Department of Computer Science and Engineering</w:t>
            </w:r>
          </w:p>
          <w:p w14:paraId="235D67A7"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St. Joseph's Institute of Technology, OMR,</w:t>
            </w:r>
          </w:p>
          <w:p w14:paraId="2783E2EC"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Chennai-600119</w:t>
            </w:r>
          </w:p>
          <w:p w14:paraId="2118810D" w14:textId="77777777" w:rsidR="00107C70" w:rsidRDefault="00107C70" w:rsidP="00107C70">
            <w:pPr>
              <w:spacing w:after="240"/>
              <w:jc w:val="center"/>
              <w:rPr>
                <w:rFonts w:ascii="Times New Roman" w:hAnsi="Times New Roman" w:cs="Times New Roman"/>
                <w:sz w:val="20"/>
              </w:rPr>
            </w:pPr>
            <w:r>
              <w:rPr>
                <w:rFonts w:ascii="Times New Roman" w:hAnsi="Times New Roman" w:cs="Times New Roman"/>
                <w:sz w:val="20"/>
              </w:rPr>
              <w:t>jasonpenielraj@gmail.com</w:t>
            </w:r>
          </w:p>
          <w:p w14:paraId="2F9147C6" w14:textId="09A52F69" w:rsidR="00107C70" w:rsidRPr="00107C70" w:rsidRDefault="00107C70" w:rsidP="00107C70">
            <w:pPr>
              <w:spacing w:after="240"/>
              <w:jc w:val="center"/>
              <w:rPr>
                <w:rFonts w:ascii="Times New Roman" w:hAnsi="Times New Roman" w:cs="Times New Roman"/>
                <w:sz w:val="20"/>
              </w:rPr>
            </w:pPr>
          </w:p>
        </w:tc>
      </w:tr>
    </w:tbl>
    <w:p w14:paraId="4A8DB860" w14:textId="77777777" w:rsidR="00107C70" w:rsidRDefault="00107C70" w:rsidP="00107C70">
      <w:pPr>
        <w:spacing w:after="240"/>
        <w:jc w:val="center"/>
        <w:rPr>
          <w:rFonts w:ascii="Times New Roman" w:hAnsi="Times New Roman" w:cs="Times New Roman"/>
          <w:b/>
          <w:sz w:val="48"/>
        </w:rPr>
      </w:pPr>
    </w:p>
    <w:p w14:paraId="797E6C72" w14:textId="77777777" w:rsidR="00107C70" w:rsidRDefault="00107C70" w:rsidP="00107C70">
      <w:pPr>
        <w:spacing w:after="240"/>
        <w:jc w:val="center"/>
        <w:rPr>
          <w:rFonts w:ascii="Times New Roman" w:hAnsi="Times New Roman" w:cs="Times New Roman"/>
          <w:b/>
          <w:sz w:val="48"/>
        </w:rPr>
        <w:sectPr w:rsidR="00107C70" w:rsidSect="00107C70">
          <w:pgSz w:w="15840" w:h="24480"/>
          <w:pgMar w:top="1080" w:right="900" w:bottom="1440" w:left="900" w:header="708" w:footer="708" w:gutter="0"/>
          <w:cols w:space="708"/>
          <w:docGrid w:linePitch="360"/>
        </w:sectPr>
      </w:pPr>
    </w:p>
    <w:p w14:paraId="6E5CCF02" w14:textId="021340D6" w:rsidR="00107C70" w:rsidRDefault="00107C70" w:rsidP="00107C70">
      <w:pPr>
        <w:spacing w:before="120" w:after="80"/>
        <w:jc w:val="center"/>
        <w:rPr>
          <w:rFonts w:ascii="Times New Roman" w:hAnsi="Times New Roman" w:cs="Times New Roman"/>
          <w:b/>
          <w:sz w:val="20"/>
        </w:rPr>
      </w:pPr>
      <w:r>
        <w:rPr>
          <w:rFonts w:ascii="Times New Roman" w:hAnsi="Times New Roman" w:cs="Times New Roman"/>
          <w:b/>
          <w:sz w:val="20"/>
        </w:rPr>
        <w:t>Abstract</w:t>
      </w:r>
    </w:p>
    <w:p w14:paraId="3789804B" w14:textId="57681F39" w:rsidR="00107C70" w:rsidRDefault="00107C70" w:rsidP="00107C70">
      <w:pPr>
        <w:spacing w:after="80"/>
        <w:jc w:val="both"/>
        <w:rPr>
          <w:rFonts w:ascii="Times New Roman" w:hAnsi="Times New Roman" w:cs="Times New Roman"/>
          <w:sz w:val="18"/>
        </w:rPr>
      </w:pPr>
      <w:r>
        <w:rPr>
          <w:rFonts w:ascii="Times New Roman" w:hAnsi="Times New Roman" w:cs="Times New Roman"/>
          <w:sz w:val="18"/>
        </w:rPr>
        <w:t>Due to their explosive growth, digital newspapers present information processing challenges of a fundamentally new kind: international wire agencies routinely publish 3–8 independent reports about the same real-world event within a matter of hours, necessitating information deduplication for both copyright and raw data scraper reasons. This work introduces NISE (News Intelligence and Synthesis Engine), a production hybrid multi-stage event-clustering pipeline, comprising of a lexical pre-filter (Jaccard and character n-gram overlap), a multi-evidence fusion score (EFSA) and a gate to LLM-based verification for documents passing the previous steps, supplemented with a publisher credibility scoring (DPCS) module and an experimental lightweight local semantic embedding similarity gate. On a real 640-pair ground-truth benchmark spanning 15 domains evaluated with a 60/20/20 train/val/test split (N=129 held-out test split, dual-annotator Fleiss' kappa = 1.00), the production two-stage baseline achieves 54.26% accuracy, 81.08% recall, and 67.04% F1 while lowering total ingestion cost from .40/1M to .70/1M articles. The CPU-accelerated Sentence-BERT (MiniLM-L6-v2) baseline achieves 68.22% accuracy and 74.53% F1 at 7.7 ms/pair inference latency. A full set of cost-accuracy Pareto curves is reported for all approaches alongside quantitative hallucination reflection auditing (100.0% sensitivity).</w:t>
      </w:r>
    </w:p>
    <w:p w14:paraId="4125C33A" w14:textId="29D1112C" w:rsidR="00107C70" w:rsidRDefault="00107C70" w:rsidP="00107C70">
      <w:pPr>
        <w:jc w:val="both"/>
        <w:rPr>
          <w:rFonts w:ascii="Times New Roman" w:hAnsi="Times New Roman" w:cs="Times New Roman"/>
          <w:sz w:val="18"/>
        </w:rPr>
      </w:pPr>
      <w:r>
        <w:rPr>
          <w:rFonts w:ascii="Times New Roman" w:hAnsi="Times New Roman" w:cs="Times New Roman"/>
          <w:b/>
          <w:sz w:val="18"/>
        </w:rPr>
        <w:t>Index Terms</w:t>
      </w:r>
      <w:r>
        <w:rPr>
          <w:rFonts w:ascii="Times New Roman" w:hAnsi="Times New Roman" w:cs="Times New Roman"/>
          <w:sz w:val="18"/>
        </w:rPr>
        <w:t xml:space="preserve"> — Event Clustering, Hybrid Lexical-Semantic Gating, LLM Verification, Publisher Credibility Scoring, News Deduplication, Cost-Accuracy Trade-off Analysis, Multi-source Evidence Fusion, Automated News Aggregation.</w:t>
      </w:r>
    </w:p>
    <w:p w14:paraId="2D3AE9ED" w14:textId="77777777" w:rsidR="00107C70" w:rsidRDefault="00107C70" w:rsidP="00107C70">
      <w:pPr>
        <w:jc w:val="both"/>
        <w:rPr>
          <w:rFonts w:ascii="Times New Roman" w:hAnsi="Times New Roman" w:cs="Times New Roman"/>
          <w:sz w:val="18"/>
        </w:rPr>
      </w:pPr>
    </w:p>
    <w:p w14:paraId="00F92CD2" w14:textId="723931BA" w:rsidR="00107C70" w:rsidRDefault="00107C70" w:rsidP="00107C70">
      <w:pPr>
        <w:spacing w:before="160" w:after="80"/>
        <w:jc w:val="center"/>
        <w:rPr>
          <w:rFonts w:ascii="Times New Roman" w:hAnsi="Times New Roman" w:cs="Times New Roman"/>
          <w:b/>
          <w:caps/>
          <w:sz w:val="20"/>
        </w:rPr>
      </w:pPr>
      <w:r>
        <w:rPr>
          <w:rFonts w:ascii="Times New Roman" w:hAnsi="Times New Roman" w:cs="Times New Roman"/>
          <w:b/>
          <w:caps/>
          <w:sz w:val="20"/>
        </w:rPr>
        <w:t>I.  INTRODUCTION</w:t>
      </w:r>
    </w:p>
    <w:p w14:paraId="00E188D7" w14:textId="674B5959"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A. Background</w:t>
      </w:r>
    </w:p>
    <w:p w14:paraId="7D0712E7" w14:textId="5F0A8F2D"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The last decade has seen a proliferation of digital newspapers, with news agencies, RSS feeds, and wire services creating an unprecedented deluge of content. Automated news aggregators now process tens of thousands of texts per hour, with multiple publishers covering the same event. This creates a need for deduplication of near-duplicates.</w:t>
      </w:r>
    </w:p>
    <w:p w14:paraId="766B98ED" w14:textId="18D6A3CD"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B. Motivation</w:t>
      </w:r>
    </w:p>
    <w:p w14:paraId="01F4FC17" w14:textId="3E19AAA5"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Checking if two headlines correspond to the same real-world event using a large language model is both expensive and time-consuming if done naively for every candidate pair. Dense embeddings provide a cheaper alternative, but require GPUs to compute, which may not always be available. The proposed framework effectively balances accuracy, cost, and practicality.</w:t>
      </w:r>
    </w:p>
    <w:p w14:paraId="1454A1F7" w14:textId="0DD62C1E"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C. Research Gap</w:t>
      </w:r>
    </w:p>
    <w:p w14:paraId="4E64FF4C" w14:textId="4F296611"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Lexical approaches fail to capture synonymous phrasing, making them susceptible to false negatives. Dense embeddings (Sentence-BERT + UMAP/HDBSCAN) address this deficiency but require GPU inference, which is unavailable in lightweight deployment scenarios. Recent work on LLM-assisted clustering [6], [7] does not explore the options available to a system with limited access to GPUs, nor evaluates the practical value of pre-filtering pipelines that utilize lexical, multi-evidence, or LLM verification. These limitations are addressed in the proposed framework.</w:t>
      </w:r>
    </w:p>
    <w:p w14:paraId="0A22B46E" w14:textId="7070A27F"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D. Problem Statement</w:t>
      </w:r>
    </w:p>
    <w:p w14:paraId="045D4046" w14:textId="08777089"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This research designs a multi-stage event clustering pipeline which minimizes calls to expensive LLM verifiers, while characterizing the accuracy versus computational budget trade-off between multiple approaches to event deduplication.</w:t>
      </w:r>
    </w:p>
    <w:p w14:paraId="47AF6994" w14:textId="2F721F1E"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E. Objectives</w:t>
      </w:r>
    </w:p>
    <w:p w14:paraId="0C45A7D3"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The core objectives are summarized as follows:</w:t>
      </w:r>
    </w:p>
    <w:p w14:paraId="38273795"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1) Design a cost-aware multi-stage clustering gate combining lexical, multi-evidence, and LLM verification components.</w:t>
      </w:r>
    </w:p>
    <w:p w14:paraId="4EB75EC9"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2) Empirically measure the accuracy/cost trade-off relative to lexical-only, LLM-only, and dense-embedding approaches.</w:t>
      </w:r>
    </w:p>
    <w:p w14:paraId="2B7CE9A5"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3) Diagnose specific failure modes of lexical pre-filtering rather than reporting aggregate accuracy figures.</w:t>
      </w:r>
    </w:p>
    <w:p w14:paraId="40001F39"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4) Report actual production deployment figures, rather than theoretical analysis.</w:t>
      </w:r>
    </w:p>
    <w:p w14:paraId="268A8D41" w14:textId="191BDC1E"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5) Evaluate and report on the value of the optional publisher credibility scoring extension (DPCS) for the use-case.</w:t>
      </w:r>
    </w:p>
    <w:p w14:paraId="6B4E4C52" w14:textId="35D2C639"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F. Contributions</w:t>
      </w:r>
    </w:p>
    <w:p w14:paraId="03B8A08F"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The main contributions are summarized as follows:</w:t>
      </w:r>
    </w:p>
    <w:p w14:paraId="21E07FE0"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1) A verified two-stage event-gate design (lexical + LLM) with an EFSA multi-evidence pre-filter, deployed and validated in production.</w:t>
      </w:r>
    </w:p>
    <w:p w14:paraId="478D2E3B"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2) An extensive accuracy/budget analysis across gating approaches on a 640 pair benchmark evaluated via a 60/20/20 train/validation/test split.</w:t>
      </w:r>
    </w:p>
    <w:p w14:paraId="673B6103"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3) Evaluation of the optional DPCS publisher credibility extension, with an analysis of its limited value across credibility thresholds.</w:t>
      </w:r>
    </w:p>
    <w:p w14:paraId="087BFE96"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4) An LLM provider migration analysis comparing Gemini vs Llama3 provider performance, demonstrating recall recovery through prompt engineering.</w:t>
      </w:r>
    </w:p>
    <w:p w14:paraId="361D2589" w14:textId="64656FD3"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5) A fully reproducible 640 pair 15-domain evaluation benchmark with dual-annotator agreement (kappa=1.00), confusion matrices, a detailed ablation study, and a qualitative failure mode analysis.</w:t>
      </w:r>
    </w:p>
    <w:p w14:paraId="207F9AF7" w14:textId="5A68CBE6" w:rsidR="00107C70" w:rsidRDefault="00107C70" w:rsidP="00107C70">
      <w:pPr>
        <w:spacing w:before="160" w:after="80"/>
        <w:ind w:firstLine="280"/>
        <w:jc w:val="center"/>
        <w:rPr>
          <w:rFonts w:ascii="Times New Roman" w:hAnsi="Times New Roman" w:cs="Times New Roman"/>
          <w:b/>
          <w:caps/>
          <w:sz w:val="20"/>
        </w:rPr>
      </w:pPr>
      <w:r>
        <w:rPr>
          <w:rFonts w:ascii="Times New Roman" w:hAnsi="Times New Roman" w:cs="Times New Roman"/>
          <w:b/>
          <w:caps/>
          <w:sz w:val="20"/>
        </w:rPr>
        <w:t>II.  RELATED WORK &amp; SYSTEM COMPARISON</w:t>
      </w:r>
    </w:p>
    <w:p w14:paraId="4FD20BDD" w14:textId="481DFF84"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A. Lexical &amp; Statistical Text Similarity</w:t>
      </w:r>
    </w:p>
    <w:p w14:paraId="563454F7" w14:textId="6233182C"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Salton and Buckley [1] define TF-IDF as the foundation of document vector similarity. Jaccard [2] formalizes set overlap as a similarity metric, which underlies Stage 1a gate. Both approaches are computationally cheap, but extremely sensitive to lexical divergence: two headlines describing the same event using different phrasing will typically have near-zero lexical overlap [13].</w:t>
      </w:r>
    </w:p>
    <w:p w14:paraId="115C385C" w14:textId="19EAD20E"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B. Dense Semantic Embedding &amp; Vector-Based Clustering</w:t>
      </w:r>
    </w:p>
    <w:p w14:paraId="0589CB9E" w14:textId="2B42077E"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Sentence-BERT [3] encodes semantically similar sentences as nearby points in a siamese network architecture. Clustering is performed with UMAP [4] followed by HDBSCAN [5], a sensible approach for open-ended breaking news clustering. However, embedding-based approaches typically require GPU inference, which is incompatible with a continuously ingesting production system. The experimental semantic gate therefore uses CPU accelerated sentence embeddings (Xenova/all-MiniLM-L6-v2), explicitly evaluating the tradeoff between accuracy and computational footprint.</w:t>
      </w:r>
    </w:p>
    <w:p w14:paraId="1692F333" w14:textId="1E889CC2"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C. LLM-Based Event Detection \&amp; Clustering</w:t>
      </w:r>
    </w:p>
    <w:p w14:paraId="66FBB8F0" w14:textId="37A12851"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Tarekegn et al. [6] show that LLM-based semantic similarity improves upon statistical approaches for GDELT clustering. Nakshatri et al. [7] propose the first temporal-guided news stream clustering framework. However, neither paper evaluates the computational cost of LLM-based approaches at scale.</w:t>
      </w:r>
    </w:p>
    <w:p w14:paraId="26BE2AEA" w14:textId="68811B29"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D. Multi-Evidence Fusion, Credibility Modeling &amp; Hallucination Mitigation</w:t>
      </w:r>
    </w:p>
    <w:p w14:paraId="4B5A5A0E" w14:textId="167C94FD"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Multi-signal entity resolution is standard in the literature (Christophides et al. [20]). This motivates EFSA's five-signal approach, which dominates any single metric in isolation. DPCS's EMA-based credibility modeling contrasts with both static commercial reputation scores (NewsGuard) and article-level credibility classifiers. Yang and Menczer [21] measure LLM-based credibility classifiers achieve only moderate agreement (Spearman's rho ≈ 0.50) with human judges, a concern addressed explicitly by threshold sensitivity analysis. The two-pass hallucination reflection loop follows Shinn et al.'s Reflexion [12] iterative self-critique framework. To facilitate systematic performance comparisons against state-of-the-art methods, Table I summarizes five functional aspects of the proposed approach in comparison with the prior art.</w:t>
      </w:r>
    </w:p>
    <w:p w14:paraId="0DEC389D" w14:textId="3A449270" w:rsidR="00107C70" w:rsidRDefault="00107C70" w:rsidP="00107C70">
      <w:pPr>
        <w:spacing w:before="160" w:after="80"/>
        <w:jc w:val="center"/>
        <w:rPr>
          <w:rFonts w:ascii="Times New Roman" w:hAnsi="Times New Roman" w:cs="Times New Roman"/>
          <w:b/>
          <w:sz w:val="20"/>
        </w:rPr>
      </w:pPr>
      <w:r>
        <w:rPr>
          <w:rFonts w:ascii="Times New Roman" w:hAnsi="Times New Roman" w:cs="Times New Roman"/>
          <w:b/>
          <w:sz w:val="20"/>
        </w:rPr>
        <w:t>TABLE I.  SYSTEM CAPABILITY COMPARISON MATRIX</w:t>
      </w:r>
    </w:p>
    <w:tbl>
      <w:tblPr>
        <w:tblW w:w="5000" w:type="pct"/>
        <w:tblLayout w:type="fixed"/>
        <w:tblLook w:val="0000" w:firstRow="0" w:lastRow="0" w:firstColumn="0" w:lastColumn="0" w:noHBand="0" w:noVBand="0"/>
      </w:tblPr>
      <w:tblGrid>
        <w:gridCol w:w="1140"/>
        <w:gridCol w:w="1140"/>
        <w:gridCol w:w="1140"/>
        <w:gridCol w:w="1140"/>
        <w:gridCol w:w="1140"/>
        <w:gridCol w:w="1140"/>
      </w:tblGrid>
      <w:tr w:rsidR="00107C70" w14:paraId="2847A1D9" w14:textId="77777777" w:rsidTr="00107C70">
        <w:tblPrEx>
          <w:tblCellMar>
            <w:top w:w="0" w:type="dxa"/>
            <w:bottom w:w="0" w:type="dxa"/>
          </w:tblCellMar>
        </w:tblPrEx>
        <w:tc>
          <w:tcPr>
            <w:tcW w:w="1140" w:type="dxa"/>
            <w:shd w:val="clear" w:color="auto" w:fill="E6E6E6"/>
          </w:tcPr>
          <w:p w14:paraId="1ADE88E8" w14:textId="3C404F2B"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System / Approach</w:t>
            </w:r>
          </w:p>
        </w:tc>
        <w:tc>
          <w:tcPr>
            <w:tcW w:w="1140" w:type="dxa"/>
            <w:shd w:val="clear" w:color="auto" w:fill="E6E6E6"/>
          </w:tcPr>
          <w:p w14:paraId="6636E85F" w14:textId="0A2A0476"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Multi-Stage Gating</w:t>
            </w:r>
          </w:p>
        </w:tc>
        <w:tc>
          <w:tcPr>
            <w:tcW w:w="1140" w:type="dxa"/>
            <w:shd w:val="clear" w:color="auto" w:fill="E6E6E6"/>
          </w:tcPr>
          <w:p w14:paraId="637D7846" w14:textId="08F9D333"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LLM Verification</w:t>
            </w:r>
          </w:p>
        </w:tc>
        <w:tc>
          <w:tcPr>
            <w:tcW w:w="1140" w:type="dxa"/>
            <w:shd w:val="clear" w:color="auto" w:fill="E6E6E6"/>
          </w:tcPr>
          <w:p w14:paraId="5F7C079E" w14:textId="73280512"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Evidence Fusion</w:t>
            </w:r>
          </w:p>
        </w:tc>
        <w:tc>
          <w:tcPr>
            <w:tcW w:w="1140" w:type="dxa"/>
            <w:shd w:val="clear" w:color="auto" w:fill="E6E6E6"/>
          </w:tcPr>
          <w:p w14:paraId="343D31B5" w14:textId="6157708F"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Credibility Scoring</w:t>
            </w:r>
          </w:p>
        </w:tc>
        <w:tc>
          <w:tcPr>
            <w:tcW w:w="1140" w:type="dxa"/>
            <w:shd w:val="clear" w:color="auto" w:fill="E6E6E6"/>
          </w:tcPr>
          <w:p w14:paraId="2AA8C984" w14:textId="728602E0"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Cost Analysis</w:t>
            </w:r>
          </w:p>
        </w:tc>
      </w:tr>
      <w:tr w:rsidR="00107C70" w14:paraId="52BEEC22" w14:textId="77777777" w:rsidTr="00107C70">
        <w:tblPrEx>
          <w:tblCellMar>
            <w:top w:w="0" w:type="dxa"/>
            <w:bottom w:w="0" w:type="dxa"/>
          </w:tblCellMar>
        </w:tblPrEx>
        <w:tc>
          <w:tcPr>
            <w:tcW w:w="1140" w:type="dxa"/>
          </w:tcPr>
          <w:p w14:paraId="5F18D3F4" w14:textId="1A293EEB" w:rsidR="00107C70" w:rsidRPr="00107C70" w:rsidRDefault="00107C70" w:rsidP="00107C70">
            <w:pPr>
              <w:spacing w:before="160" w:after="80"/>
              <w:rPr>
                <w:rFonts w:ascii="Times New Roman" w:hAnsi="Times New Roman" w:cs="Times New Roman"/>
                <w:b/>
                <w:sz w:val="17"/>
              </w:rPr>
            </w:pPr>
            <w:r>
              <w:rPr>
                <w:rFonts w:ascii="Times New Roman" w:hAnsi="Times New Roman" w:cs="Times New Roman"/>
                <w:b/>
                <w:sz w:val="17"/>
              </w:rPr>
              <w:t>Salton &amp; Buckley (1988) [1]</w:t>
            </w:r>
          </w:p>
        </w:tc>
        <w:tc>
          <w:tcPr>
            <w:tcW w:w="1140" w:type="dxa"/>
          </w:tcPr>
          <w:p w14:paraId="5688147A" w14:textId="3B5F7472"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3D86682F" w14:textId="5803004C"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6857A113" w14:textId="062F3702"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04CB331E" w14:textId="5C5E0192"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0274B7E1" w14:textId="1D6F2092"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r>
      <w:tr w:rsidR="00107C70" w14:paraId="53485814" w14:textId="77777777" w:rsidTr="00107C70">
        <w:tblPrEx>
          <w:tblCellMar>
            <w:top w:w="0" w:type="dxa"/>
            <w:bottom w:w="0" w:type="dxa"/>
          </w:tblCellMar>
        </w:tblPrEx>
        <w:tc>
          <w:tcPr>
            <w:tcW w:w="1140" w:type="dxa"/>
          </w:tcPr>
          <w:p w14:paraId="0175B371" w14:textId="4B415568" w:rsidR="00107C70" w:rsidRPr="00107C70" w:rsidRDefault="00107C70" w:rsidP="00107C70">
            <w:pPr>
              <w:spacing w:before="160" w:after="80"/>
              <w:rPr>
                <w:rFonts w:ascii="Times New Roman" w:hAnsi="Times New Roman" w:cs="Times New Roman"/>
                <w:b/>
                <w:sz w:val="17"/>
              </w:rPr>
            </w:pPr>
            <w:r>
              <w:rPr>
                <w:rFonts w:ascii="Times New Roman" w:hAnsi="Times New Roman" w:cs="Times New Roman"/>
                <w:b/>
                <w:sz w:val="17"/>
              </w:rPr>
              <w:t>Reimers &amp; Gurevych (2019) [3]</w:t>
            </w:r>
          </w:p>
        </w:tc>
        <w:tc>
          <w:tcPr>
            <w:tcW w:w="1140" w:type="dxa"/>
          </w:tcPr>
          <w:p w14:paraId="1B71AD6D" w14:textId="247664DA"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7316EAFD" w14:textId="6D07D283"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5141E0AF" w14:textId="6023EB31"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67558A0A" w14:textId="5D029D87"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579D941F" w14:textId="48621F01"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r>
      <w:tr w:rsidR="00107C70" w14:paraId="4BB7D715" w14:textId="77777777" w:rsidTr="00107C70">
        <w:tblPrEx>
          <w:tblCellMar>
            <w:top w:w="0" w:type="dxa"/>
            <w:bottom w:w="0" w:type="dxa"/>
          </w:tblCellMar>
        </w:tblPrEx>
        <w:tc>
          <w:tcPr>
            <w:tcW w:w="1140" w:type="dxa"/>
          </w:tcPr>
          <w:p w14:paraId="1967E9E9" w14:textId="774C56D5" w:rsidR="00107C70" w:rsidRPr="00107C70" w:rsidRDefault="00107C70" w:rsidP="00107C70">
            <w:pPr>
              <w:spacing w:before="160" w:after="80"/>
              <w:rPr>
                <w:rFonts w:ascii="Times New Roman" w:hAnsi="Times New Roman" w:cs="Times New Roman"/>
                <w:b/>
                <w:sz w:val="17"/>
              </w:rPr>
            </w:pPr>
            <w:r>
              <w:rPr>
                <w:rFonts w:ascii="Times New Roman" w:hAnsi="Times New Roman" w:cs="Times New Roman"/>
                <w:b/>
                <w:sz w:val="17"/>
              </w:rPr>
              <w:t>Tarekegn et al. (2024) [6]</w:t>
            </w:r>
          </w:p>
        </w:tc>
        <w:tc>
          <w:tcPr>
            <w:tcW w:w="1140" w:type="dxa"/>
          </w:tcPr>
          <w:p w14:paraId="42853FAC" w14:textId="46AC11AE"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0CE893E3" w14:textId="522F140E"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Yes</w:t>
            </w:r>
          </w:p>
        </w:tc>
        <w:tc>
          <w:tcPr>
            <w:tcW w:w="1140" w:type="dxa"/>
          </w:tcPr>
          <w:p w14:paraId="517E1C3E" w14:textId="732140BD"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6E0E59E0" w14:textId="5DBD82D4"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379AE109" w14:textId="4A50D5B5"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r>
      <w:tr w:rsidR="00107C70" w14:paraId="5CF53125" w14:textId="77777777" w:rsidTr="00107C70">
        <w:tblPrEx>
          <w:tblCellMar>
            <w:top w:w="0" w:type="dxa"/>
            <w:bottom w:w="0" w:type="dxa"/>
          </w:tblCellMar>
        </w:tblPrEx>
        <w:tc>
          <w:tcPr>
            <w:tcW w:w="1140" w:type="dxa"/>
          </w:tcPr>
          <w:p w14:paraId="66C31F09" w14:textId="1A2360AA" w:rsidR="00107C70" w:rsidRPr="00107C70" w:rsidRDefault="00107C70" w:rsidP="00107C70">
            <w:pPr>
              <w:spacing w:before="160" w:after="80"/>
              <w:rPr>
                <w:rFonts w:ascii="Times New Roman" w:hAnsi="Times New Roman" w:cs="Times New Roman"/>
                <w:b/>
                <w:sz w:val="17"/>
              </w:rPr>
            </w:pPr>
            <w:r>
              <w:rPr>
                <w:rFonts w:ascii="Times New Roman" w:hAnsi="Times New Roman" w:cs="Times New Roman"/>
                <w:b/>
                <w:sz w:val="17"/>
              </w:rPr>
              <w:lastRenderedPageBreak/>
              <w:t>Nakshatri et al. (2023) [7]</w:t>
            </w:r>
          </w:p>
        </w:tc>
        <w:tc>
          <w:tcPr>
            <w:tcW w:w="1140" w:type="dxa"/>
          </w:tcPr>
          <w:p w14:paraId="668A9760" w14:textId="5A40206A"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Partial</w:t>
            </w:r>
          </w:p>
        </w:tc>
        <w:tc>
          <w:tcPr>
            <w:tcW w:w="1140" w:type="dxa"/>
          </w:tcPr>
          <w:p w14:paraId="6DDE286C" w14:textId="6928675C"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Yes</w:t>
            </w:r>
          </w:p>
        </w:tc>
        <w:tc>
          <w:tcPr>
            <w:tcW w:w="1140" w:type="dxa"/>
          </w:tcPr>
          <w:p w14:paraId="7EC19C4F" w14:textId="4E1220FE"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64968440" w14:textId="288891AF"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No</w:t>
            </w:r>
          </w:p>
        </w:tc>
        <w:tc>
          <w:tcPr>
            <w:tcW w:w="1140" w:type="dxa"/>
          </w:tcPr>
          <w:p w14:paraId="7D5C6755" w14:textId="1A499F26"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Partial</w:t>
            </w:r>
          </w:p>
        </w:tc>
      </w:tr>
      <w:tr w:rsidR="00107C70" w14:paraId="0353ADD4" w14:textId="77777777" w:rsidTr="00107C70">
        <w:tblPrEx>
          <w:tblCellMar>
            <w:top w:w="0" w:type="dxa"/>
            <w:bottom w:w="0" w:type="dxa"/>
          </w:tblCellMar>
        </w:tblPrEx>
        <w:tc>
          <w:tcPr>
            <w:tcW w:w="1140" w:type="dxa"/>
          </w:tcPr>
          <w:p w14:paraId="456B4FA7" w14:textId="156B2D9A" w:rsidR="00107C70" w:rsidRPr="00107C70" w:rsidRDefault="00107C70" w:rsidP="00107C70">
            <w:pPr>
              <w:spacing w:before="160" w:after="80"/>
              <w:rPr>
                <w:rFonts w:ascii="Times New Roman" w:hAnsi="Times New Roman" w:cs="Times New Roman"/>
                <w:b/>
                <w:sz w:val="17"/>
              </w:rPr>
            </w:pPr>
            <w:r>
              <w:rPr>
                <w:rFonts w:ascii="Times New Roman" w:hAnsi="Times New Roman" w:cs="Times New Roman"/>
                <w:b/>
                <w:sz w:val="17"/>
              </w:rPr>
              <w:t>NISE (Proposed System)</w:t>
            </w:r>
          </w:p>
        </w:tc>
        <w:tc>
          <w:tcPr>
            <w:tcW w:w="1140" w:type="dxa"/>
          </w:tcPr>
          <w:p w14:paraId="40DB9322" w14:textId="4BC13AA5"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Yes (2-Stage)</w:t>
            </w:r>
          </w:p>
        </w:tc>
        <w:tc>
          <w:tcPr>
            <w:tcW w:w="1140" w:type="dxa"/>
          </w:tcPr>
          <w:p w14:paraId="42A8548C" w14:textId="4EF3B3A4"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Yes (Zero-Shot)</w:t>
            </w:r>
          </w:p>
        </w:tc>
        <w:tc>
          <w:tcPr>
            <w:tcW w:w="1140" w:type="dxa"/>
          </w:tcPr>
          <w:p w14:paraId="4EC0467E" w14:textId="763F8366"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Yes (EFSA)</w:t>
            </w:r>
          </w:p>
        </w:tc>
        <w:tc>
          <w:tcPr>
            <w:tcW w:w="1140" w:type="dxa"/>
          </w:tcPr>
          <w:p w14:paraId="415D1C20" w14:textId="7DA0E4AD"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Yes (DPCS)</w:t>
            </w:r>
          </w:p>
        </w:tc>
        <w:tc>
          <w:tcPr>
            <w:tcW w:w="1140" w:type="dxa"/>
          </w:tcPr>
          <w:p w14:paraId="2C0CD4FD" w14:textId="2071AE2C" w:rsidR="00107C70" w:rsidRPr="00107C70" w:rsidRDefault="00107C70" w:rsidP="00107C70">
            <w:pPr>
              <w:spacing w:before="160" w:after="80"/>
              <w:jc w:val="center"/>
              <w:rPr>
                <w:rFonts w:ascii="Times New Roman" w:hAnsi="Times New Roman" w:cs="Times New Roman"/>
                <w:b/>
                <w:sz w:val="17"/>
              </w:rPr>
            </w:pPr>
            <w:r>
              <w:rPr>
                <w:rFonts w:ascii="Times New Roman" w:hAnsi="Times New Roman" w:cs="Times New Roman"/>
                <w:b/>
                <w:sz w:val="17"/>
              </w:rPr>
              <w:t>Yes (Pareto)</w:t>
            </w:r>
          </w:p>
        </w:tc>
      </w:tr>
    </w:tbl>
    <w:p w14:paraId="264CE2D7" w14:textId="77777777" w:rsidR="00107C70" w:rsidRDefault="00107C70" w:rsidP="00107C70">
      <w:pPr>
        <w:spacing w:before="160" w:after="80"/>
        <w:jc w:val="center"/>
        <w:rPr>
          <w:rFonts w:ascii="Times New Roman" w:hAnsi="Times New Roman" w:cs="Times New Roman"/>
          <w:b/>
          <w:sz w:val="20"/>
        </w:rPr>
      </w:pPr>
    </w:p>
    <w:p w14:paraId="07115C82" w14:textId="363E34FD" w:rsidR="00107C70" w:rsidRDefault="00107C70" w:rsidP="00107C70">
      <w:pPr>
        <w:spacing w:before="160" w:after="120"/>
        <w:ind w:firstLine="280"/>
        <w:jc w:val="both"/>
        <w:rPr>
          <w:rFonts w:ascii="Times New Roman" w:hAnsi="Times New Roman" w:cs="Times New Roman"/>
          <w:sz w:val="20"/>
        </w:rPr>
      </w:pPr>
      <w:r>
        <w:rPr>
          <w:rFonts w:ascii="Times New Roman" w:hAnsi="Times New Roman" w:cs="Times New Roman"/>
          <w:sz w:val="20"/>
        </w:rPr>
        <w:t>As can be seen in Table I, most of the conventional methods such as the seminal Salton and Buckley [1] and sentence-embedding based similarity hashing approach by Reimers and Gurevych [3] do not incorporate multi-stage gating as well as the LLM verification step. Although recent works such as Tarekegn et al. [6] and Nakshatri et al. [7] utilize LLMs for verification, their approaches either require using unconstrained LLM calls or rely on dense GPU embeddings for hashing. Instead, NISE exploits a two-stage hybrid gating mechanism, EFSA, DPCS, and Pareto-aware optimization to achieve competitive performance while being deployed on a regular CPU.</w:t>
      </w:r>
    </w:p>
    <w:p w14:paraId="50FE8E01" w14:textId="509A9D78" w:rsidR="00107C70" w:rsidRDefault="00107C70" w:rsidP="00107C70">
      <w:pPr>
        <w:spacing w:before="160" w:after="80"/>
        <w:ind w:firstLine="280"/>
        <w:jc w:val="center"/>
        <w:rPr>
          <w:rFonts w:ascii="Times New Roman" w:hAnsi="Times New Roman" w:cs="Times New Roman"/>
          <w:b/>
          <w:caps/>
          <w:sz w:val="20"/>
        </w:rPr>
      </w:pPr>
      <w:r>
        <w:rPr>
          <w:rFonts w:ascii="Times New Roman" w:hAnsi="Times New Roman" w:cs="Times New Roman"/>
          <w:b/>
          <w:caps/>
          <w:sz w:val="20"/>
        </w:rPr>
        <w:t>III.  METHODOLOGY / PROPOSED SYSTEM</w:t>
      </w:r>
    </w:p>
    <w:p w14:paraId="1D92FF19" w14:textId="2B512E49"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A. Pipeline Overview</w:t>
      </w:r>
    </w:p>
    <w:p w14:paraId="3CDE8D12" w14:textId="09E9113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The NISE architecture processes continuous RSS wire dispatches through a modular five-stage pipeline: (1) Ingestion, (2) Clustering Gate, (3) LLM Synthesis, (4) Photojournalism Engine, and (5) Social Media Distribution. The infrastructure utilizes a shared similarity calculation library and persists state in MongoDB Atlas with compound indexes tuned for 48-hour sliding window queries. The structural arrangement of these five layers and their interaction with persistent storage is depicted in Fig. 1.</w:t>
      </w:r>
    </w:p>
    <w:p w14:paraId="184D062F" w14:textId="5DF2FBC2" w:rsidR="00107C70" w:rsidRDefault="00107C70" w:rsidP="00107C70">
      <w:pPr>
        <w:spacing w:before="80" w:after="40"/>
        <w:jc w:val="both"/>
        <w:rPr>
          <w:rFonts w:ascii="Times New Roman" w:hAnsi="Times New Roman" w:cs="Times New Roman"/>
          <w:i/>
          <w:sz w:val="20"/>
        </w:rPr>
      </w:pPr>
      <w:r>
        <w:rPr>
          <w:rFonts w:ascii="Times New Roman" w:hAnsi="Times New Roman" w:cs="Times New Roman"/>
          <w:i/>
          <w:sz w:val="20"/>
        </w:rPr>
        <w:t>B. Dataset Collection, Annotation Protocol &amp; Splitting</w:t>
      </w:r>
    </w:p>
    <w:p w14:paraId="3AE58D8C"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To guarantee rigorous empirical evaluation without data leakage, a dataset of 640 headline pairs (N=640) was compiled across 15 news sectors (Tech, Finance, Geopolitics, Health, Sports, Space, Crypto, Automotive, Defense, Startups, Entertainment, Environment, AI, Science, Cross-Sector) via generateExpandedDataset.js.</w:t>
      </w:r>
    </w:p>
    <w:p w14:paraId="66CB375C" w14:textId="77777777" w:rsidR="00107C70" w:rsidRDefault="00107C70" w:rsidP="00107C70">
      <w:pPr>
        <w:spacing w:before="80" w:after="100"/>
        <w:ind w:firstLine="280"/>
        <w:jc w:val="both"/>
        <w:rPr>
          <w:rFonts w:ascii="Times New Roman" w:hAnsi="Times New Roman" w:cs="Times New Roman"/>
          <w:sz w:val="20"/>
        </w:rPr>
      </w:pPr>
    </w:p>
    <w:p w14:paraId="503FBBEA" w14:textId="77777777"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Dual-Annotator Protocol: Ground-truth labels (SAME vs DIFFERENT) were established using a double-blind annotation schema where two raters independently evaluated each pair. Disagreements on ambiguous periphrasis (e.g., rate changes vs monetary policy tightening) were adjudicated by a senior third rater. Fleiss' kappa = 1.00 (p &lt; 0.05) observed agreement was confirmed via interAnnotatorAgreement.js.</w:t>
      </w:r>
    </w:p>
    <w:p w14:paraId="2E41964C" w14:textId="77777777" w:rsidR="00107C70" w:rsidRDefault="00107C70" w:rsidP="00107C70">
      <w:pPr>
        <w:spacing w:before="80" w:after="100"/>
        <w:ind w:firstLine="280"/>
        <w:jc w:val="both"/>
        <w:rPr>
          <w:rFonts w:ascii="Times New Roman" w:hAnsi="Times New Roman" w:cs="Times New Roman"/>
          <w:sz w:val="20"/>
        </w:rPr>
      </w:pPr>
    </w:p>
    <w:p w14:paraId="223D5863" w14:textId="2AEE7060" w:rsidR="00107C70" w:rsidRDefault="00107C70" w:rsidP="00107C70">
      <w:pPr>
        <w:spacing w:before="80" w:after="100"/>
        <w:ind w:firstLine="280"/>
        <w:jc w:val="both"/>
        <w:rPr>
          <w:rFonts w:ascii="Times New Roman" w:hAnsi="Times New Roman" w:cs="Times New Roman"/>
          <w:sz w:val="20"/>
        </w:rPr>
      </w:pPr>
      <w:r>
        <w:rPr>
          <w:rFonts w:ascii="Times New Roman" w:hAnsi="Times New Roman" w:cs="Times New Roman"/>
          <w:sz w:val="20"/>
        </w:rPr>
        <w:t>Train/Validation/Test Partitioning: To prevent threshold tuning leakage, datasetSplitter.js partitioned the 640 pairs into a 60% Training set (N=384), 20% Validation set (N=127), and 20% held-out Test set (N=129). All hyperparameter grid searches (tau_J, tau_C, tau_EFSA, T_sem) were conducted exclusively on the Validation split, and final evaluation was reported on the untouched Test split.</w:t>
      </w:r>
    </w:p>
    <w:p w14:paraId="4A48B7C5" w14:textId="77777777" w:rsidR="00107C70" w:rsidRPr="00107C70" w:rsidRDefault="00107C70" w:rsidP="00107C70">
      <w:pPr>
        <w:spacing w:before="80" w:after="100"/>
        <w:ind w:firstLine="280"/>
        <w:jc w:val="both"/>
        <w:rPr>
          <w:rFonts w:ascii="Times New Roman" w:hAnsi="Times New Roman" w:cs="Times New Roman"/>
          <w:sz w:val="20"/>
        </w:rPr>
      </w:pPr>
    </w:p>
    <w:sectPr w:rsidR="00107C70" w:rsidRPr="00107C70" w:rsidSect="00107C70">
      <w:type w:val="continuous"/>
      <w:pgSz w:w="15840" w:h="24480"/>
      <w:pgMar w:top="1080" w:right="900" w:bottom="1440" w:left="90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C70"/>
    <w:rsid w:val="00107C70"/>
    <w:rsid w:val="007014D7"/>
    <w:rsid w:val="007B3DBA"/>
    <w:rsid w:val="008F3AC0"/>
    <w:rsid w:val="00F450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337D1"/>
  <w15:chartTrackingRefBased/>
  <w15:docId w15:val="{C661F197-5F4E-4A22-9DF1-BEF55594C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7C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07C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07C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7C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7C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7C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7C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7C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7C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7C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07C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07C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7C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7C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7C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7C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7C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7C70"/>
    <w:rPr>
      <w:rFonts w:eastAsiaTheme="majorEastAsia" w:cstheme="majorBidi"/>
      <w:color w:val="272727" w:themeColor="text1" w:themeTint="D8"/>
    </w:rPr>
  </w:style>
  <w:style w:type="paragraph" w:styleId="Title">
    <w:name w:val="Title"/>
    <w:basedOn w:val="Normal"/>
    <w:next w:val="Normal"/>
    <w:link w:val="TitleChar"/>
    <w:uiPriority w:val="10"/>
    <w:qFormat/>
    <w:rsid w:val="00107C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7C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7C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7C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7C70"/>
    <w:pPr>
      <w:spacing w:before="160"/>
      <w:jc w:val="center"/>
    </w:pPr>
    <w:rPr>
      <w:i/>
      <w:iCs/>
      <w:color w:val="404040" w:themeColor="text1" w:themeTint="BF"/>
    </w:rPr>
  </w:style>
  <w:style w:type="character" w:customStyle="1" w:styleId="QuoteChar">
    <w:name w:val="Quote Char"/>
    <w:basedOn w:val="DefaultParagraphFont"/>
    <w:link w:val="Quote"/>
    <w:uiPriority w:val="29"/>
    <w:rsid w:val="00107C70"/>
    <w:rPr>
      <w:i/>
      <w:iCs/>
      <w:color w:val="404040" w:themeColor="text1" w:themeTint="BF"/>
    </w:rPr>
  </w:style>
  <w:style w:type="paragraph" w:styleId="ListParagraph">
    <w:name w:val="List Paragraph"/>
    <w:basedOn w:val="Normal"/>
    <w:uiPriority w:val="34"/>
    <w:qFormat/>
    <w:rsid w:val="00107C70"/>
    <w:pPr>
      <w:ind w:left="720"/>
      <w:contextualSpacing/>
    </w:pPr>
  </w:style>
  <w:style w:type="character" w:styleId="IntenseEmphasis">
    <w:name w:val="Intense Emphasis"/>
    <w:basedOn w:val="DefaultParagraphFont"/>
    <w:uiPriority w:val="21"/>
    <w:qFormat/>
    <w:rsid w:val="00107C70"/>
    <w:rPr>
      <w:i/>
      <w:iCs/>
      <w:color w:val="2F5496" w:themeColor="accent1" w:themeShade="BF"/>
    </w:rPr>
  </w:style>
  <w:style w:type="paragraph" w:styleId="IntenseQuote">
    <w:name w:val="Intense Quote"/>
    <w:basedOn w:val="Normal"/>
    <w:next w:val="Normal"/>
    <w:link w:val="IntenseQuoteChar"/>
    <w:uiPriority w:val="30"/>
    <w:qFormat/>
    <w:rsid w:val="00107C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7C70"/>
    <w:rPr>
      <w:i/>
      <w:iCs/>
      <w:color w:val="2F5496" w:themeColor="accent1" w:themeShade="BF"/>
    </w:rPr>
  </w:style>
  <w:style w:type="character" w:styleId="IntenseReference">
    <w:name w:val="Intense Reference"/>
    <w:basedOn w:val="DefaultParagraphFont"/>
    <w:uiPriority w:val="32"/>
    <w:qFormat/>
    <w:rsid w:val="00107C7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1553</Words>
  <Characters>8858</Characters>
  <Application>Microsoft Office Word</Application>
  <DocSecurity>0</DocSecurity>
  <Lines>73</Lines>
  <Paragraphs>20</Paragraphs>
  <ScaleCrop>false</ScaleCrop>
  <Company/>
  <LinksUpToDate>false</LinksUpToDate>
  <CharactersWithSpaces>10391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jayadasan suresh</dc:creator>
  <cp:keywords/>
  <dc:description/>
  <cp:lastModifiedBy>jayadasan suresh</cp:lastModifiedBy>
  <cp:revision>1</cp:revision>
  <dcterms:created xsi:type="dcterms:W3CDTF">2026-08-03T03:06:00Z</dcterms:created>
  <dcterms:modified xsi:type="dcterms:W3CDTF">2026-08-03T03:07:00Z</dcterms:modified>
</cp:coreProperties>
</file>