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color w:val="969696"/>
        </w:rPr>
        <w:t>─────── ❖ ───────</w:t>
      </w:r>
    </w:p>
    <w:p>
      <w:pPr>
        <w:pStyle w:val="Heading1"/>
        <w:jc w:val="center"/>
      </w:pPr>
      <w:r>
        <w:t>A Cost-Aware Multi-Stage Event Clustering Pipeline for Automated News Aggregation and Social Media Distribution: Design, Deployment, and Empirical Trade-off Analysis</w:t>
      </w:r>
    </w:p>
    <w:p>
      <w:r>
        <w:rPr>
          <w:b/>
        </w:rPr>
        <w:t>Jayadasan S¹, Jason Peniel Raj S¹, Dr. D. Menaga¹</w:t>
      </w:r>
      <w:r>
        <w:t xml:space="preserve">  </w:t>
      </w:r>
    </w:p>
    <w:p>
      <w:r>
        <w:t xml:space="preserve">¹Department of Computer Science and Engineering, St. Joseph's Institute of Technology, Chennai, Tamil Nadu, India  </w:t>
      </w:r>
    </w:p>
    <w:p>
      <w:r>
        <w:t xml:space="preserve">{jayadasanjai, jasonpenielraj}@gmail.com, menaga@stjosephstechnology.ac.in  </w:t>
      </w:r>
    </w:p>
    <w:p>
      <w:pPr>
        <w:pStyle w:val="Heading2"/>
      </w:pPr>
      <w:r>
        <w:t>ABSTRACT</w:t>
      </w:r>
    </w:p>
    <w:p>
      <w:r>
        <w:t>The exponential growth of digital journalism has produced a fundamental information-processing challenge: international wire agencies routinely publish three to eight independent dispatches describing the same real-world event within narrow temporal windows, causing redundant coverage while raw content scraping introduces copyright exposure. Existing approaches present distinct trade-offs: purely lexical deduplication fails on synonym-rich or periphrastic headlines sharing zero token overlap; dense embedding clustering requires GPU infrastructure infeasible for lightweight deployment; and direct pairwise LLM verification scales poorly. This paper presents NISE, a deployed hybrid multi-stage event-clustering pipeline combining a lexical pre-filter (Jaccard and character n-gram similarity), a multi-evidence fusion score (EFSA), and LLM verification reserved only for candidates surviving these filters, augmented by a publisher credibility mechanism (DPCS) and an experimental lightweight local semantic embedding gate. On a curated 45-pair, 12-domain benchmark, the deployed two-stage baseline achieves 73.33% accuracy and 50.00% F1-score while reducing LLM inference calls by 75.56%; EFSA+DPCS matches this accuracy at a further efficiency gain (77.78% call reduction), while an experimental semantic gate achieves the strongest overall performance (88.89% accuracy, 76.47% recall, 83.87% F1-score). We report a full cost/accuracy Pareto comparison across five strategies, an empirical LLM-provider migration case study demonstrating recall recovery through iterative prompt refinement, and an honest characterization of DPCS's non-uniform benefit across operating points. The complete pipeline, including autonomous multi-channel social media distribution, was verified operating end-to-end in a live deployment.</w:t>
      </w:r>
    </w:p>
    <w:p>
      <w:r>
        <w:rPr>
          <w:b/>
        </w:rPr>
        <w:t>Index Terms —</w:t>
      </w:r>
      <w:r>
        <w:t xml:space="preserve"> Event Clustering, Hybrid Lexical-Semantic Gating, LLM Verification, Publisher Credibility Scoring, News Deduplication, Cost-Accuracy Trade-off Analysis, Multi-Source Evidence Fusion, Automated News Aggregation</w:t>
      </w:r>
    </w:p>
    <w:p>
      <w:pPr>
        <w:jc w:val="center"/>
      </w:pPr>
      <w:r>
        <w:rPr>
          <w:color w:val="969696"/>
        </w:rPr>
        <w:t>─────── ❖ ───────</w:t>
      </w:r>
    </w:p>
    <w:p>
      <w:pPr>
        <w:pStyle w:val="Heading2"/>
      </w:pPr>
      <w:r>
        <w:t>I. INTRODUCTION</w:t>
      </w:r>
    </w:p>
    <w:p>
      <w:pPr>
        <w:pStyle w:val="Heading3"/>
      </w:pPr>
      <w:r>
        <w:t>1.1 Problem Motivation &amp; Industry Challenge</w:t>
      </w:r>
    </w:p>
    <w:p>
      <w:r>
        <w:t xml:space="preserve">Modern digital news consumption suffers from </w:t>
      </w:r>
      <w:r>
        <w:rPr>
          <w:b/>
        </w:rPr>
        <w:t>Informational Hyper-Fragmentation</w:t>
      </w:r>
      <w:r>
        <w:t xml:space="preserve">. When breaking news occurs—such as a central bank interest rate shift, a geopolitical crisis update, or an artificial intelligence model release—dozens of global newsrooms simultaneously publish articles covering the exact same event. </w:t>
      </w:r>
    </w:p>
    <w:p>
      <w:pPr>
        <w:spacing w:before="80" w:after="120"/>
        <w:ind w:left="360"/>
      </w:pPr>
      <w:r>
        <w:rPr>
          <w:rFonts w:ascii="Consolas" w:hAnsi="Consolas"/>
          <w:color w:val="1E1E1E"/>
          <w:sz w:val="17"/>
        </w:rPr>
        <w:t xml:space="preserve">                                ┌──► Reuters ("Fed Cuts Interest Rates by 50bps")</w:t>
        <w:br/>
        <w:t xml:space="preserve">                                │</w:t>
        <w:br/>
        <w:t>[Real-World Incident] ─────────┼──► Bloomberg ("Jerome Powell Announces Rate Cut")</w:t>
        <w:br/>
        <w:t>(Fed Rate Decision)            │</w:t>
        <w:br/>
        <w:t xml:space="preserve">                                └──► BBC News ("US Central Bank Lowers Borrowing Costs")</w:t>
      </w:r>
    </w:p>
    <w:p>
      <w:r>
        <w:t>For digital news platforms and consumers, this creates three critical vulnerabilities:</w:t>
      </w:r>
    </w:p>
    <w:p>
      <w:pPr>
        <w:pStyle w:val="ListNumber"/>
      </w:pPr>
      <w:r>
        <w:rPr>
          <w:b/>
        </w:rPr>
        <w:t>Redundancy &amp; Cognitive Fatigue:</w:t>
      </w:r>
      <w:r>
        <w:t xml:space="preserve"> Readers are forced to scan multiple articles describing the exact same event without knowing whether new information is present.</w:t>
      </w:r>
    </w:p>
    <w:p>
      <w:pPr>
        <w:pStyle w:val="ListNumber"/>
      </w:pPr>
      <w:r>
        <w:rPr>
          <w:b/>
        </w:rPr>
        <w:t>Copyright Infringement Exposure:</w:t>
      </w:r>
      <w:r>
        <w:t xml:space="preserve"> Scraping raw text from original publishers and presenting verbatim excerpts violates intellectual property laws. News engines require an autonomous, transformative synthesis layer designed to reduce copyright exposure (a legally unsettled area, not a guaranteed exemption).</w:t>
      </w:r>
    </w:p>
    <w:p>
      <w:pPr>
        <w:pStyle w:val="ListNumber"/>
      </w:pPr>
      <w:r>
        <w:rPr>
          <w:b/>
        </w:rPr>
        <w:t>Distribution Overhead &amp; Rate Limits:</w:t>
      </w:r>
      <w:r>
        <w:t xml:space="preserve"> Publishing updates across multi-channel social networks manually requires immense labor. Naive automated scripts frequently trigger API rate-limits or spam flags when batch dispatches occur simultaneously.</w:t>
      </w:r>
    </w:p>
    <w:p>
      <w:pPr>
        <w:pStyle w:val="Heading3"/>
      </w:pPr>
      <w:r>
        <w:t>1.2 Limitations of Existing Approaches</w:t>
      </w:r>
    </w:p>
    <w:p>
      <w:r>
        <w:t>Prior news processing systems attempt to solve parts of this pipeline, but fall short in operational feasibility:</w:t>
      </w:r>
    </w:p>
    <w:p>
      <w:pPr>
        <w:pStyle w:val="ListBullet"/>
      </w:pPr>
      <w:r>
        <w:rPr>
          <w:b/>
        </w:rPr>
        <w:t>Lexical TF-IDF / Pure Jaccard Matching:</w:t>
      </w:r>
      <w:r>
        <w:t xml:space="preserve"> Keyword-matching systems calculate token overlaps. However, when outlets use completely different vocabulary (e.g., </w:t>
      </w:r>
      <w:r>
        <w:rPr>
          <w:i/>
        </w:rPr>
        <w:t>"Congress clears legislation"</w:t>
      </w:r>
      <w:r>
        <w:t xml:space="preserve"> vs. </w:t>
      </w:r>
      <w:r>
        <w:rPr>
          <w:i/>
        </w:rPr>
        <w:t>"House passes bill"</w:t>
      </w:r>
      <w:r>
        <w:t>), lexical models yield zero overlap, generating high false-negative rates.</w:t>
      </w:r>
    </w:p>
    <w:p>
      <w:pPr>
        <w:pStyle w:val="ListBullet"/>
      </w:pPr>
      <w:r>
        <w:rPr>
          <w:b/>
        </w:rPr>
        <w:t>GPU-Dense Vector Embeddings (UMAP / HDBSCAN):</w:t>
      </w:r>
      <w:r>
        <w:t xml:space="preserve"> Systems using dense sentence transformers require dedicated GPU hardware for vector calculations and complex vector databases (e.g., Pinecone, Milvus), imposing high infrastructure costs.</w:t>
      </w:r>
    </w:p>
    <w:p>
      <w:pPr>
        <w:pStyle w:val="ListBullet"/>
      </w:pPr>
      <w:r>
        <w:rPr>
          <w:b/>
        </w:rPr>
        <w:t>Proprietary LLM Direct Verification:</w:t>
      </w:r>
      <w:r>
        <w:t xml:space="preserve"> Submitting every candidate headline pair directly to proprietary LLM endpoints (such as GPT-4) scales at </w:t>
      </w:r>
      <w:r>
        <w:rPr>
          <w:rFonts w:ascii="Cambria Math" w:hAnsi="Cambria Math"/>
          <w:i/>
        </w:rPr>
        <w:t>\mathcal{O}(N \times M)</w:t>
      </w:r>
      <w:r>
        <w:t xml:space="preserve"> cost and latency, causing rate-limit bottlenecks during major breaking news cycles.</w:t>
      </w:r>
    </w:p>
    <w:p>
      <w:pPr>
        <w:pStyle w:val="ListBullet"/>
      </w:pPr>
      <w:r>
        <w:rPr>
          <w:b/>
        </w:rPr>
        <w:t>Lack of Factuality Guardrails:</w:t>
      </w:r>
      <w:r>
        <w:t xml:space="preserve"> Standard LLM text summarization frequently suffers from hallucinations—generating unsupported numbers, false named entities, or inaccurate causal claims.</w:t>
      </w:r>
    </w:p>
    <w:p>
      <w:pPr>
        <w:pStyle w:val="Heading3"/>
      </w:pPr>
      <w:r>
        <w:t>1.3 System Contributions &amp; Novel Algorithmic Innovations</w:t>
      </w:r>
    </w:p>
    <w:p>
      <w:r>
        <w:t xml:space="preserve">This paper presents the formal mathematical design, implementation, and empirical evaluation of </w:t>
      </w:r>
      <w:r>
        <w:rPr>
          <w:b/>
        </w:rPr>
        <w:t>NISE</w:t>
      </w:r>
      <w:r>
        <w:t xml:space="preserve"> (News Intelligence and Synthesis Engine), introducing </w:t>
      </w:r>
      <w:r>
        <w:rPr>
          <w:b/>
        </w:rPr>
        <w:t>two original algorithms</w:t>
      </w:r>
      <w:r>
        <w:t xml:space="preserve"> that bridge existing research gaps in multi-outlet news processing:</w:t>
      </w:r>
    </w:p>
    <w:p>
      <w:pPr>
        <w:pStyle w:val="ListNumber"/>
      </w:pPr>
      <w:r>
        <w:rPr>
          <w:b/>
        </w:rPr>
        <w:t>Algorithm 1 — Enhanced Fusion Scoring Algorithm (EFSA):</w:t>
      </w:r>
      <w:r>
        <w:t xml:space="preserve"> A multi-dimensional evidence fusion model calculating a unified event fusion score </w:t>
      </w:r>
      <w:r>
        <w:rPr>
          <w:rFonts w:ascii="Cambria Math" w:hAnsi="Cambria Math"/>
          <w:i/>
        </w:rPr>
        <w:t>S_{\text{EFSA}} \in [0, 1]</w:t>
      </w:r>
      <w:r>
        <w:t xml:space="preserve"> across unigram lexical IoU (</w:t>
      </w:r>
      <w:r>
        <w:rPr>
          <w:rFonts w:ascii="Cambria Math" w:hAnsi="Cambria Math"/>
          <w:i/>
        </w:rPr>
        <w:t>S_{\text{key}}</w:t>
      </w:r>
      <w:r>
        <w:t>), character 3-gram cosine (</w:t>
      </w:r>
      <w:r>
        <w:rPr>
          <w:rFonts w:ascii="Cambria Math" w:hAnsi="Cambria Math"/>
          <w:i/>
        </w:rPr>
        <w:t>S_{\text{head}}</w:t>
      </w:r>
      <w:r>
        <w:t>), named entity overlap (</w:t>
      </w:r>
      <w:r>
        <w:rPr>
          <w:rFonts w:ascii="Cambria Math" w:hAnsi="Cambria Math"/>
          <w:i/>
        </w:rPr>
        <w:t>S_{\text{ent}}</w:t>
      </w:r>
      <w:r>
        <w:t>), exponential temporal decay (</w:t>
      </w:r>
      <w:r>
        <w:rPr>
          <w:rFonts w:ascii="Cambria Math" w:hAnsi="Cambria Math"/>
          <w:i/>
        </w:rPr>
        <w:t>S_{\text{temp}}</w:t>
      </w:r>
      <w:r>
        <w:t>), and sector taxonomy match (</w:t>
      </w:r>
      <w:r>
        <w:rPr>
          <w:rFonts w:ascii="Cambria Math" w:hAnsi="Cambria Math"/>
          <w:i/>
        </w:rPr>
        <w:t>S_{\text{sec}}</w:t>
      </w:r>
      <w:r>
        <w:t>).</w:t>
      </w:r>
    </w:p>
    <w:p>
      <w:pPr>
        <w:pStyle w:val="ListNumber"/>
      </w:pPr>
      <w:r>
        <w:rPr>
          <w:b/>
        </w:rPr>
        <w:t>Algorithm 2 — Dynamic Publisher Credibility Scoring (DPCS):</w:t>
      </w:r>
      <w:r>
        <w:t xml:space="preserve"> A self-learning online credibility model evaluating four operational indicators (stance agreement rate </w:t>
      </w:r>
      <w:r>
        <w:rPr>
          <w:rFonts w:ascii="Cambria Math" w:hAnsi="Cambria Math"/>
          <w:i/>
        </w:rPr>
        <w:t>R_{\text{agree}}</w:t>
      </w:r>
      <w:r>
        <w:t xml:space="preserve">, reporting timeliness index </w:t>
      </w:r>
      <w:r>
        <w:rPr>
          <w:rFonts w:ascii="Cambria Math" w:hAnsi="Cambria Math"/>
          <w:i/>
        </w:rPr>
        <w:t>I_{\text{time}}</w:t>
      </w:r>
      <w:r>
        <w:t xml:space="preserve">, coverage frequency </w:t>
      </w:r>
      <w:r>
        <w:rPr>
          <w:rFonts w:ascii="Cambria Math" w:hAnsi="Cambria Math"/>
          <w:i/>
        </w:rPr>
        <w:t>F_{\text{cov}}</w:t>
      </w:r>
      <w:r>
        <w:t xml:space="preserve">, and contradiction penalty </w:t>
      </w:r>
      <w:r>
        <w:rPr>
          <w:rFonts w:ascii="Cambria Math" w:hAnsi="Cambria Math"/>
          <w:i/>
        </w:rPr>
        <w:t>P_{\text{contra}}</w:t>
      </w:r>
      <w:r>
        <w:t xml:space="preserve">) to construct a raw score </w:t>
      </w:r>
      <w:r>
        <w:rPr>
          <w:rFonts w:ascii="Cambria Math" w:hAnsi="Cambria Math"/>
          <w:i/>
        </w:rPr>
        <w:t>C_{\text{raw}}</w:t>
      </w:r>
      <w:r>
        <w:t>, updated online via Exponential Moving Average (EMA) smoothing (</w:t>
      </w:r>
      <w:r>
        <w:rPr>
          <w:rFonts w:ascii="Cambria Math" w:hAnsi="Cambria Math"/>
          <w:i/>
        </w:rPr>
        <w:t>C_{\text{pub}}^{(t)} = 0.20 C_{\text{raw}} + 0.80 C_{\text{pub}}^{(t-1)}</w:t>
      </w:r>
      <w:r>
        <w:t xml:space="preserve">, baseline </w:t>
      </w:r>
      <w:r>
        <w:rPr>
          <w:rFonts w:ascii="Cambria Math" w:hAnsi="Cambria Math"/>
          <w:i/>
        </w:rPr>
        <w:t>C_{\text{pub}}^{(0)} = 85.0</w:t>
      </w:r>
      <w:r>
        <w:t>).</w:t>
      </w:r>
    </w:p>
    <w:p>
      <w:pPr>
        <w:pStyle w:val="ListNumber"/>
      </w:pPr>
      <w:r>
        <w:rPr>
          <w:b/>
        </w:rPr>
        <w:t>Lightweight Hybrid Two-Stage Pipeline:</w:t>
      </w:r>
      <w:r>
        <w:t xml:space="preserve"> Integrates EFSA as an intelligent multi-evidence gate preceding Stage 2 zero-shot neural verification (Llama 3 via Groq LPUs), reducing LLM API calls by </w:t>
      </w:r>
      <w:r>
        <w:rPr>
          <w:b/>
        </w:rPr>
        <w:t>75.56%</w:t>
      </w:r>
      <w:r>
        <w:t xml:space="preserve"> in production while eliminating false positives.</w:t>
      </w:r>
    </w:p>
    <w:p>
      <w:pPr>
        <w:pStyle w:val="ListNumber"/>
      </w:pPr>
      <w:r>
        <w:rPr>
          <w:b/>
        </w:rPr>
        <w:t>Multi-Source Evidence Fusion &amp; Stance Analysis:</w:t>
      </w:r>
      <w:r>
        <w:t xml:space="preserve"> Automatically synthesizes consolidated executive dispatches, calculates quantitative publisher stance divergence (</w:t>
      </w:r>
      <w:r>
        <w:rPr>
          <w:rFonts w:ascii="Cambria Math" w:hAnsi="Cambria Math"/>
          <w:i/>
        </w:rPr>
        <w:t>0\text{--}100\%</w:t>
      </w:r>
      <w:r>
        <w:t>), and applies a two-pass factuality reflection guardrail loop (</w:t>
      </w:r>
      <w:r>
        <w:rPr>
          <w:rFonts w:ascii="Consolas" w:hAnsi="Consolas"/>
          <w:color w:val="B42828"/>
          <w:sz w:val="19"/>
        </w:rPr>
        <w:t>verifyFactualityAndReflect</w:t>
      </w:r>
      <w:r>
        <w:t>).</w:t>
      </w:r>
    </w:p>
    <w:p>
      <w:pPr>
        <w:pStyle w:val="ListNumber"/>
      </w:pPr>
      <w:r>
        <w:rPr>
          <w:b/>
        </w:rPr>
        <w:t>Production Hardening &amp; Autonomous Syndication Engine:</w:t>
      </w:r>
      <w:r>
        <w:t xml:space="preserve"> Fully hardened architecture featuring graceful server shutdown, 30s TTL query caching, sliding-window rate limiting, health telemetry APIs, and automated Facebook Page wall webhooks.</w:t>
      </w:r>
    </w:p>
    <w:p>
      <w:pPr>
        <w:pStyle w:val="ListNumber"/>
      </w:pPr>
      <w:r>
        <w:rPr>
          <w:b/>
        </w:rPr>
        <w:t>Empirical Gate Failure Diagnosis &amp; Local Semantic Extension:</w:t>
      </w:r>
      <w:r>
        <w:t xml:space="preserve"> We conduct a comprehensive error breakdown on the </w:t>
      </w:r>
      <w:r>
        <w:rPr>
          <w:rFonts w:ascii="Cambria Math" w:hAnsi="Cambria Math"/>
          <w:i/>
        </w:rPr>
        <w:t>N=45</w:t>
      </w:r>
      <w:r>
        <w:t xml:space="preserve"> benchmark dataset, identifying that journalist periphrasis, brand metonymy, acronyms, and agency aliases account for 8 out of 11 gate misses (72.73%, Rows 4–11 of Table III), while the remaining 3 rows (1–3) involve high vocabulary divergence or numerical phrasing variation rather than naming/aliasing patterns. We evaluate an experimental local CPU sentence transformer gate (</w:t>
      </w:r>
      <w:r>
        <w:rPr>
          <w:rFonts w:ascii="Consolas" w:hAnsi="Consolas"/>
          <w:color w:val="B42828"/>
          <w:sz w:val="19"/>
        </w:rPr>
        <w:t>Xenova/all-MiniLM-L6-v2</w:t>
      </w:r>
      <w:r>
        <w:t xml:space="preserve">) that recovers recall from </w:t>
      </w:r>
      <w:r>
        <w:rPr>
          <w:rFonts w:ascii="Cambria Math" w:hAnsi="Cambria Math"/>
          <w:i/>
        </w:rPr>
        <w:t>35.29\%</w:t>
      </w:r>
      <w:r>
        <w:t xml:space="preserve"> to </w:t>
      </w:r>
      <w:r>
        <w:rPr>
          <w:rFonts w:ascii="Cambria Math" w:hAnsi="Cambria Math"/>
          <w:i/>
        </w:rPr>
        <w:t>76.47\%</w:t>
      </w:r>
      <w:r>
        <w:t xml:space="preserve"> (</w:t>
      </w:r>
      <w:r>
        <w:rPr>
          <w:rFonts w:ascii="Cambria Math" w:hAnsi="Cambria Math"/>
          <w:i/>
        </w:rPr>
        <w:t>88.89\%</w:t>
      </w:r>
      <w:r>
        <w:t xml:space="preserve"> accuracy) at </w:t>
      </w:r>
      <w:r>
        <w:rPr>
          <w:rFonts w:ascii="Cambria Math" w:hAnsi="Cambria Math"/>
          <w:i/>
        </w:rPr>
        <w:t>53.33\%</w:t>
      </w:r>
      <w:r>
        <w:t xml:space="preserve"> LLM call savings.</w:t>
      </w:r>
    </w:p>
    <w:p>
      <w:pPr>
        <w:pStyle w:val="ListNumber"/>
      </w:pPr>
      <w:r>
        <w:rPr>
          <w:b/>
        </w:rPr>
        <w:t>Dynamic Source Stance Detection &amp; Divergence Quantification:</w:t>
      </w:r>
      <w:r>
        <w:t xml:space="preserve"> Evaluates multi-source article clusters, classifying each publisher's stance as </w:t>
      </w:r>
      <w:r>
        <w:rPr>
          <w:rFonts w:ascii="Consolas" w:hAnsi="Consolas"/>
          <w:color w:val="B42828"/>
          <w:sz w:val="19"/>
        </w:rPr>
        <w:t>Supporting</w:t>
      </w:r>
      <w:r>
        <w:t xml:space="preserve">, </w:t>
      </w:r>
      <w:r>
        <w:rPr>
          <w:rFonts w:ascii="Consolas" w:hAnsi="Consolas"/>
          <w:color w:val="B42828"/>
          <w:sz w:val="19"/>
        </w:rPr>
        <w:t>Contradicting</w:t>
      </w:r>
      <w:r>
        <w:t xml:space="preserve">, or </w:t>
      </w:r>
      <w:r>
        <w:rPr>
          <w:rFonts w:ascii="Consolas" w:hAnsi="Consolas"/>
          <w:color w:val="B42828"/>
          <w:sz w:val="19"/>
        </w:rPr>
        <w:t>Neutral</w:t>
      </w:r>
      <w:r>
        <w:t xml:space="preserve">, and computes a quantitative </w:t>
      </w:r>
      <w:r>
        <w:rPr>
          <w:b/>
        </w:rPr>
        <w:t>Publisher Divergence Score</w:t>
      </w:r>
      <w:r>
        <w:t xml:space="preserve"> (</w:t>
      </w:r>
      <w:r>
        <w:rPr>
          <w:rFonts w:ascii="Cambria Math" w:hAnsi="Cambria Math"/>
          <w:i/>
        </w:rPr>
        <w:t>0\text{--}100\%</w:t>
      </w:r>
      <w:r>
        <w:t>).</w:t>
      </w:r>
    </w:p>
    <w:p>
      <w:pPr>
        <w:pStyle w:val="ListNumber"/>
      </w:pPr>
      <w:r>
        <w:rPr>
          <w:b/>
        </w:rPr>
        <w:t>Iterative Hallucination Guardrail Reflection Loop (`verifyFactualityAndReflect`):</w:t>
      </w:r>
      <w:r>
        <w:t xml:space="preserve"> Cross-checks LLM fused summaries against raw wire snippets for fabricated statistics, unsupported entities, or ungrounded claims, executing automatic self-correcting passes prior to database storage.</w:t>
      </w:r>
    </w:p>
    <w:p>
      <w:pPr>
        <w:pStyle w:val="ListNumber"/>
      </w:pPr>
      <w:r>
        <w:rPr>
          <w:b/>
        </w:rPr>
        <w:t>Autonomous Smart-Queue &amp; Self-Healing Webhook Syndication (`socialBroadcast.js`):</w:t>
      </w:r>
      <w:r>
        <w:t xml:space="preserve"> Formats universal dual-structure JSON payloads, enforces 1-hour staggered drip-feeding, and implements self-healing retry logic (up to 3 retries at 15-minute intervals) for zero-duplicate automated social broadcasting to configurable webhooks (e.g., Make.com), which can relay posts to social platforms such as Facebook or Instagram.</w:t>
      </w:r>
    </w:p>
    <w:p>
      <w:pPr>
        <w:jc w:val="center"/>
      </w:pPr>
      <w:r>
        <w:rPr>
          <w:color w:val="969696"/>
        </w:rPr>
        <w:t>─────── ❖ ───────</w:t>
      </w:r>
    </w:p>
    <w:p>
      <w:pPr>
        <w:pStyle w:val="Heading2"/>
      </w:pPr>
      <w:r>
        <w:t>II. RELATED WORK &amp; SYSTEM COMPARISON</w:t>
      </w:r>
    </w:p>
    <w:p>
      <w:pPr>
        <w:pStyle w:val="Heading3"/>
      </w:pPr>
      <w:r>
        <w:t>2.1 Lexical and Statistical Text Similarity Methods</w:t>
      </w:r>
    </w:p>
    <w:p>
      <w:r>
        <w:t>Automated text deduplication has its roots in classical information retrieval. Salton and Buckley [1] established term-weighting schemes (TF-IDF) as the foundation for representing documents as sparse vectors over a vocabulary space, enabling similarity computation via cosine distance. Jaccard [2] independently formalized set-overlap similarity, later adapted to text via token-set intersection over union — the technique underlying our own Stage 1a lexical gate. These methods share a common strength: they are computationally trivial, requiring no training data and executing in microseconds per comparison, which makes them attractive as a first-pass filter in any latency- or cost-constrained pipeline. Their well-documented weakness, however, is brittleness to vocabulary divergence: two headlines describing an identical event using different word choices — synonyms, paraphrases, or entity aliases — can register near-zero lexical overlap despite perfect semantic equivalence. Atefeh and Khreich's survey of Twitter event detection techniques [13] catalogs this same limitation across a decade of social-media event-detection literature, noting that bursty-word and document-pivot approaches (both fundamentally lexical) consistently underperform on paraphrased or terse social content, motivating hybrid and semantic extensions — a trajectory this paper follows in the news domain rather than the microblog domain that dominates that survey.</w:t>
      </w:r>
    </w:p>
    <w:p>
      <w:pPr>
        <w:pStyle w:val="Heading3"/>
      </w:pPr>
      <w:r>
        <w:t>2.2 Dense Semantic Embedding and Vector-Based Clustering</w:t>
      </w:r>
    </w:p>
    <w:p>
      <w:r>
        <w:t>To address the vocabulary-divergence limitation, subsequent work moved toward dense vector representations. Reimers and Gurevych's Sentence-BERT [3] fine-tunes BERT using a siamese/triplet network architecture to produce semantically meaningful sentence embeddings that can be compared via cosine similarity in linear time, a substantial improvement over BERT's original cross-encoder architecture, which scales quadratically with corpus size for pairwise comparison tasks. Clustering these embeddings typically employs dimensionality reduction — McInnes et al.'s UMAP [4] — followed by density-based clustering such as HDBSCAN [5], which does not require a pre-specified cluster count and handles clusters of varying density, both attractive properties for an open-ended stream of breaking news events. The strength of this approach is clear: it directly resolves the synonym-blindness of lexical methods. Its documented weakness, however, is infrastructural — embedding inference and the associated dimensionality-reduction/clustering pipeline typically assume batch or GPU-accelerated execution, an assumption incompatible with a lightweight, continuously-ingesting production system of the kind this paper targets. Our own experimental semantic gate (Section 5.5) partially bridges this gap by using a CPU-only, locally-executed compact embedding model rather than a full Sentence-BERT deployment, and we explicitly measure the resulting latency and accuracy trade-off rather than assuming GPU availability.</w:t>
      </w:r>
    </w:p>
    <w:p>
      <w:pPr>
        <w:pStyle w:val="Heading3"/>
      </w:pPr>
      <w:r>
        <w:t>2.3 LLM-Enhanced Event Detection and Clustering</w:t>
      </w:r>
    </w:p>
    <w:p>
      <w:r>
        <w:t>The most direct antecedents to this work apply large language models to event-level clustering rather than sentence-level similarity alone. Tarekegn, Rabbi, and Tessem [6] presented an LLM-enhanced clustering pipeline evaluated over the GDELT news corpus, demonstrating that LLM-based semantic judgment improves cluster coherence over purely statistical baselines. However, GDELT is a pre-built, static, offline database of structured event codes — their evaluation does not address the challenges of a continuously-ingesting live RSS pipeline, nor does it characterize the computational cost of invoking an LLM at scale. Nakshatri et al. (EMNLP Findings 2023) [7] is the closest work to our own: they propose a temporal-guided news stream clustering framework that pairs candidate-window filtering with LLM-generated event summaries, a structure nearly identical to our own Stage 1 temporal windowing plus Stage 2 LLM verification. Critically, however, their work does not report or optimize for the number of LLM inference calls required — a central concern of this paper, which we address by measuring an explicit call-reduction percentage (Table VI) and characterizing the full cost/accuracy Pareto frontier across five distinct pre-filtering strategies (Table VII). A 2025 ACL study on event-centric cluster summarization [8] extends this line of work to multilingual settings using larger, typically proprietary LLMs; our work instead demonstrates feasibility using a smaller, open-weight 8-billion-parameter model (</w:t>
      </w:r>
      <w:r>
        <w:rPr>
          <w:rFonts w:ascii="Consolas" w:hAnsi="Consolas"/>
          <w:color w:val="B42828"/>
          <w:sz w:val="19"/>
        </w:rPr>
        <w:t>llama-3.1-8b-instant</w:t>
      </w:r>
      <w:r>
        <w:t>) served on dedicated LPU hardware, trading some accuracy ceiling for deployment cost and openness — a trade-off we characterize explicitly rather than assume.</w:t>
      </w:r>
    </w:p>
    <w:p>
      <w:pPr>
        <w:pStyle w:val="Heading3"/>
      </w:pPr>
      <w:r>
        <w:t>2.4 Multi-Evidence Fusion for Entity Resolution</w:t>
      </w:r>
    </w:p>
    <w:p>
      <w:r>
        <w:t>Our Enhanced Fusion Scoring Algorithm (EFSA), which combines five independent similarity signals into a single weighted score, draws on a longer tradition in the entity resolution and record linkage literature, where combining multiple similarity features to determine whether two records describe the same real-world entity is a well-studied problem (Christophides et al. [20]). That survey documents that weighted or learned fusion of multiple similarity signals routinely outperforms any single similarity metric in isolation — precisely the motivation for EFSA's five-signal design (lexical overlap, character n-gram similarity, named-entity overlap, temporal decay, and sector match) rather than relying on Jaccard or cosine similarity alone. Unlike the learned fusion weights common in that literature (typically fit via logistic regression or a trained classifier over labeled record pairs), EFSA uses fixed, empirically-tuned weights — a deliberate choice favoring interpretability and zero training-data dependency, at the cost of not adapting to distributional shift the way a learned model might. We characterize this trade-off directly through our threshold sensitivity sweep (Section 5.x), which shows performance varies substantially across operating points, consistent with the general finding in the entity-resolution literature that fusion weight selection materially affects outcome quality.</w:t>
      </w:r>
    </w:p>
    <w:p>
      <w:pPr>
        <w:pStyle w:val="Heading3"/>
      </w:pPr>
      <w:r>
        <w:t>2.5 Publisher and Source Credibility Modeling</w:t>
      </w:r>
    </w:p>
    <w:p>
      <w:r>
        <w:t xml:space="preserve">Assessing the trustworthiness of a news source independent of any single article's content is an active area outside pure NLP. Commercial systems such as NewsGuard assign static, human-reviewed reliability scores to tens of thousands of domains, and recent work has explored training article-level classifiers against such ratings to infer source trustworthiness automatically from content alone. Distinct from both approaches, our Dynamic Publisher Credibility Scoring (DPCS) mechanism updates a per-publisher trust score online by combining four operational indicators (stance agreement rate </w:t>
      </w:r>
      <w:r>
        <w:rPr>
          <w:rFonts w:ascii="Cambria Math" w:hAnsi="Cambria Math"/>
          <w:i/>
        </w:rPr>
        <w:t>R_{\text{agree}}</w:t>
      </w:r>
      <w:r>
        <w:t xml:space="preserve">, reporting timeliness index </w:t>
      </w:r>
      <w:r>
        <w:rPr>
          <w:rFonts w:ascii="Cambria Math" w:hAnsi="Cambria Math"/>
          <w:i/>
        </w:rPr>
        <w:t>I_{\text{time}}</w:t>
      </w:r>
      <w:r>
        <w:t xml:space="preserve">, coverage frequency </w:t>
      </w:r>
      <w:r>
        <w:rPr>
          <w:rFonts w:ascii="Cambria Math" w:hAnsi="Cambria Math"/>
          <w:i/>
        </w:rPr>
        <w:t>F_{\text{cov}}</w:t>
      </w:r>
      <w:r>
        <w:t xml:space="preserve">, and contradiction penalty </w:t>
      </w:r>
      <w:r>
        <w:rPr>
          <w:rFonts w:ascii="Cambria Math" w:hAnsi="Cambria Math"/>
          <w:i/>
        </w:rPr>
        <w:t>P_{\text{contra}}</w:t>
      </w:r>
      <w:r>
        <w:t xml:space="preserve">) into a composite raw score </w:t>
      </w:r>
      <w:r>
        <w:rPr>
          <w:rFonts w:ascii="Cambria Math" w:hAnsi="Cambria Math"/>
          <w:i/>
        </w:rPr>
        <w:t>C_{\text{raw}}</w:t>
      </w:r>
      <w:r>
        <w:t>, which is then smoothed via Exponential Moving Average (</w:t>
      </w:r>
      <w:r>
        <w:rPr>
          <w:rFonts w:ascii="Cambria Math" w:hAnsi="Cambria Math"/>
          <w:i/>
        </w:rPr>
        <w:t>C_{\text{pub}}^{(t)} = 0.20 C_{\text{raw}} + 0.80 C_{\text{pub}}^{(t-1)}</w:t>
      </w:r>
      <w:r>
        <w:t xml:space="preserve">, baseline </w:t>
      </w:r>
      <w:r>
        <w:rPr>
          <w:rFonts w:ascii="Cambria Math" w:hAnsi="Cambria Math"/>
          <w:i/>
        </w:rPr>
        <w:t>C_{\text{pub}}^{(0)} = 85.0</w:t>
      </w:r>
      <w:r>
        <w:t xml:space="preserve">), requiring no external rating service or labeled training corpus. This design choice is not without risk: Yang and Menczer [21] audited the ability of large language models themselves to assess news source credibility and found only moderate agreement with human expert ratings (Spearman's </w:t>
      </w:r>
      <w:r>
        <w:rPr>
          <w:rFonts w:ascii="Cambria Math" w:hAnsi="Cambria Math"/>
          <w:i/>
        </w:rPr>
        <w:t>\rho \approx 0.50</w:t>
      </w:r>
      <w:r>
        <w:t>) alongside a measurable susceptibility to political bias under certain prompting conditions. This finding is directly relevant to any credibility-scoring mechanism, including our own, and informed our decision to empirically characterize — rather than assume — DPCS's behavior; our threshold sweep (Section 5.4) reveals that DPCS's dynamic suppression is not uniformly beneficial and, at certain operating thresholds, measurably reduces recall by filtering out genuine same-event candidates from lower-scoring sources. We report this as an explicit, acknowledged limitation rather than omitting it.</w:t>
      </w:r>
    </w:p>
    <w:p>
      <w:pPr>
        <w:pStyle w:val="Heading3"/>
      </w:pPr>
      <w:r>
        <w:t>2.6 Media Stance and Bias Detection</w:t>
      </w:r>
    </w:p>
    <w:p>
      <w:r>
        <w:t>Fan et al.'s BASIL corpus [9] provides sentence-level bias annotations across matched triples of articles from three US outlets covering the same 100 events, establishing a rigorous, human-annotated benchmark for measuring informational and lexical bias in news coverage of identical events. Our own stance-detection component, which classifies each contributing source's framing as Supporting, Contradicting, or Neutral relative to a fused event summary, uses zero-shot LLM classification rather than a classifier trained or validated against a benchmark such as BASIL. We state this plainly as a limitation: our stance labels have not been validated against human-annotated ground truth, and future work should benchmark this component against BASIL or a comparable corpus before treating its output as more than an exploratory signal.</w:t>
      </w:r>
    </w:p>
    <w:p>
      <w:pPr>
        <w:pStyle w:val="Heading3"/>
      </w:pPr>
      <w:r>
        <w:t>2.7 Hallucination Detection and Mitigation in Large Language Models</w:t>
      </w:r>
    </w:p>
    <w:p>
      <w:r>
        <w:t>LLM-generated summaries are well documented to occasionally fabricate facts, entities, or causal claims not present in their source material. Ji et al. [10] and Zhang et al. [11] both survey this problem extensively across generation tasks, cataloging detection strategies ranging from self-consistency sampling to external fact-verification. Shinn et al.'s Reflexion framework [12] proposes an iterative self-critique-and-revise loop, in which a model's own output is evaluated and used as feedback for regeneration — a pattern structurally similar to our own two-pass factuality reflection loop, in which a fused summary is audited against raw source snippets for fabricated statistics, unsupported entities, and unverified causal claims, with a corrective regeneration pass triggered on failure. Our implementation is a simplified, task-specific instance of this broader verified-generation pattern rather than a novel contribution to the hallucination-mitigation literature itself.</w:t>
      </w:r>
    </w:p>
    <w:p>
      <w:pPr>
        <w:pStyle w:val="Heading3"/>
      </w:pPr>
      <w:r>
        <w:t>2.8 Conversational and Chatbot-Based News Delivery</w:t>
      </w:r>
    </w:p>
    <w:p>
      <w:r>
        <w:t>Sufi (2025) [18] presented an AI-powered chatbot for personalized, real-time news delivery, combining conversational AI, robotic process automation, and a large-scale news database to answer user queries dynamically. While methodologically adjacent — both systems ingest and process large volumes of live news using LLMs — the two systems address different problems: Sufi's work optimizes for responsive, personalized query answering over a static-window news corpus, while NISE addresses upstream event clustering, multi-source evidence fusion, and cost-aware LLM verification prior to any user-facing delivery mechanism.</w:t>
      </w:r>
    </w:p>
    <w:p>
      <w:pPr>
        <w:pStyle w:val="Heading3"/>
      </w:pPr>
      <w:r>
        <w:t>2.9 Comprehensive System Capability Comparison</w:t>
      </w:r>
    </w:p>
    <w:p>
      <w:r>
        <w:t>Table I summarizes NISE against the paradigms reviewed above.</w:t>
      </w:r>
    </w:p>
    <w:p>
      <w:r>
        <w:rPr>
          <w:b/>
        </w:rPr>
        <w:t>TABLE I: COMPREHENSIVE SYSTEM CAPABILITY COMPARISON</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F0F4F8"/>
          </w:tcPr>
          <w:p>
            <w:pPr>
              <w:spacing w:before="60" w:after="60"/>
            </w:pPr>
            <w:r>
              <w:rPr>
                <w:b/>
              </w:rPr>
            </w:r>
            <w:r>
              <w:rPr>
                <w:b/>
              </w:rPr>
              <w:t>Capability</w:t>
            </w:r>
          </w:p>
        </w:tc>
        <w:tc>
          <w:tcPr>
            <w:tcW w:type="dxa" w:w="1560"/>
            <w:shd w:fill="F0F4F8"/>
          </w:tcPr>
          <w:p>
            <w:pPr>
              <w:spacing w:before="60" w:after="60"/>
            </w:pPr>
            <w:r>
              <w:rPr>
                <w:b/>
              </w:rPr>
            </w:r>
            <w:r>
              <w:rPr>
                <w:b/>
              </w:rPr>
              <w:t>GDELT</w:t>
            </w:r>
          </w:p>
        </w:tc>
        <w:tc>
          <w:tcPr>
            <w:tcW w:type="dxa" w:w="1560"/>
            <w:shd w:fill="F0F4F8"/>
          </w:tcPr>
          <w:p>
            <w:pPr>
              <w:spacing w:before="60" w:after="60"/>
            </w:pPr>
            <w:r>
              <w:rPr>
                <w:b/>
              </w:rPr>
            </w:r>
            <w:r>
              <w:rPr>
                <w:b/>
              </w:rPr>
              <w:t>Event Registry</w:t>
            </w:r>
          </w:p>
        </w:tc>
        <w:tc>
          <w:tcPr>
            <w:tcW w:type="dxa" w:w="1560"/>
            <w:shd w:fill="F0F4F8"/>
          </w:tcPr>
          <w:p>
            <w:pPr>
              <w:spacing w:before="60" w:after="60"/>
            </w:pPr>
            <w:r>
              <w:rPr>
                <w:b/>
              </w:rPr>
            </w:r>
            <w:r>
              <w:rPr>
                <w:b/>
              </w:rPr>
              <w:t>Tarekegn et al. [6]</w:t>
            </w:r>
          </w:p>
        </w:tc>
        <w:tc>
          <w:tcPr>
            <w:tcW w:type="dxa" w:w="1560"/>
            <w:shd w:fill="F0F4F8"/>
          </w:tcPr>
          <w:p>
            <w:pPr>
              <w:spacing w:before="60" w:after="60"/>
            </w:pPr>
            <w:r>
              <w:rPr>
                <w:b/>
              </w:rPr>
            </w:r>
            <w:r>
              <w:rPr>
                <w:b/>
              </w:rPr>
              <w:t>Nakshatri et al. [7]</w:t>
            </w:r>
          </w:p>
        </w:tc>
        <w:tc>
          <w:tcPr>
            <w:tcW w:type="dxa" w:w="1560"/>
            <w:shd w:fill="F0F4F8"/>
          </w:tcPr>
          <w:p>
            <w:pPr>
              <w:spacing w:before="60" w:after="60"/>
            </w:pPr>
            <w:r>
              <w:rPr>
                <w:b/>
              </w:rPr>
            </w:r>
            <w:r>
              <w:rPr>
                <w:b/>
              </w:rPr>
              <w:t>NISE (This Work)</w:t>
            </w:r>
          </w:p>
        </w:tc>
      </w:tr>
      <w:tr>
        <w:tc>
          <w:tcPr>
            <w:tcW w:type="dxa" w:w="1560"/>
          </w:tcPr>
          <w:p>
            <w:pPr>
              <w:spacing w:before="60" w:after="60"/>
            </w:pPr>
            <w:r/>
            <w:r>
              <w:t>Live continuous RSS ingestion</w:t>
            </w:r>
          </w:p>
        </w:tc>
        <w:tc>
          <w:tcPr>
            <w:tcW w:type="dxa" w:w="1560"/>
          </w:tcPr>
          <w:p>
            <w:pPr>
              <w:spacing w:before="60" w:after="60"/>
            </w:pPr>
            <w:r/>
            <w:r>
              <w:t>No (static offline DB)</w:t>
            </w:r>
          </w:p>
        </w:tc>
        <w:tc>
          <w:tcPr>
            <w:tcW w:type="dxa" w:w="1560"/>
          </w:tcPr>
          <w:p>
            <w:pPr>
              <w:spacing w:before="60" w:after="60"/>
            </w:pPr>
            <w:r/>
            <w:r>
              <w:t>Yes (commercial, 300K+ sources)</w:t>
            </w:r>
          </w:p>
        </w:tc>
        <w:tc>
          <w:tcPr>
            <w:tcW w:type="dxa" w:w="1560"/>
          </w:tcPr>
          <w:p>
            <w:pPr>
              <w:spacing w:before="60" w:after="60"/>
            </w:pPr>
            <w:r/>
            <w:r>
              <w:t>No (evaluated on static GDELT)</w:t>
            </w:r>
          </w:p>
        </w:tc>
        <w:tc>
          <w:tcPr>
            <w:tcW w:type="dxa" w:w="1560"/>
          </w:tcPr>
          <w:p>
            <w:pPr>
              <w:spacing w:before="60" w:after="60"/>
            </w:pPr>
            <w:r/>
            <w:r>
              <w:t>Stream-based, live status unspecified</w:t>
            </w:r>
          </w:p>
        </w:tc>
        <w:tc>
          <w:tcPr>
            <w:tcW w:type="dxa" w:w="1560"/>
          </w:tcPr>
          <w:p>
            <w:pPr>
              <w:spacing w:before="60" w:after="60"/>
            </w:pPr>
            <w:r/>
            <w:r>
              <w:t>Yes</w:t>
            </w:r>
          </w:p>
        </w:tc>
      </w:tr>
      <w:tr>
        <w:tc>
          <w:tcPr>
            <w:tcW w:type="dxa" w:w="1560"/>
          </w:tcPr>
          <w:p>
            <w:pPr>
              <w:spacing w:before="60" w:after="60"/>
            </w:pPr>
            <w:r/>
            <w:r>
              <w:t>LLM-based event verification</w:t>
            </w:r>
          </w:p>
        </w:tc>
        <w:tc>
          <w:tcPr>
            <w:tcW w:type="dxa" w:w="1560"/>
          </w:tcPr>
          <w:p>
            <w:pPr>
              <w:spacing w:before="60" w:after="60"/>
            </w:pPr>
            <w:r/>
            <w:r>
              <w:t>No</w:t>
            </w:r>
          </w:p>
        </w:tc>
        <w:tc>
          <w:tcPr>
            <w:tcW w:type="dxa" w:w="1560"/>
          </w:tcPr>
          <w:p>
            <w:pPr>
              <w:spacing w:before="60" w:after="60"/>
            </w:pPr>
            <w:r/>
            <w:r>
              <w:t>Unspecified/proprietary</w:t>
            </w:r>
          </w:p>
        </w:tc>
        <w:tc>
          <w:tcPr>
            <w:tcW w:type="dxa" w:w="1560"/>
          </w:tcPr>
          <w:p>
            <w:pPr>
              <w:spacing w:before="60" w:after="60"/>
            </w:pPr>
            <w:r/>
            <w:r>
              <w:t>Yes</w:t>
            </w:r>
          </w:p>
        </w:tc>
        <w:tc>
          <w:tcPr>
            <w:tcW w:type="dxa" w:w="1560"/>
          </w:tcPr>
          <w:p>
            <w:pPr>
              <w:spacing w:before="60" w:after="60"/>
            </w:pPr>
            <w:r/>
            <w:r>
              <w:t>Yes</w:t>
            </w:r>
          </w:p>
        </w:tc>
        <w:tc>
          <w:tcPr>
            <w:tcW w:type="dxa" w:w="1560"/>
          </w:tcPr>
          <w:p>
            <w:pPr>
              <w:spacing w:before="60" w:after="60"/>
            </w:pPr>
            <w:r/>
            <w:r>
              <w:t>Yes</w:t>
            </w:r>
          </w:p>
        </w:tc>
      </w:tr>
      <w:tr>
        <w:tc>
          <w:tcPr>
            <w:tcW w:type="dxa" w:w="1560"/>
          </w:tcPr>
          <w:p>
            <w:pPr>
              <w:spacing w:before="60" w:after="60"/>
            </w:pPr>
            <w:r/>
            <w:r>
              <w:t>Cost-aware pre-filter with characterized call reduction</w:t>
            </w:r>
          </w:p>
        </w:tc>
        <w:tc>
          <w:tcPr>
            <w:tcW w:type="dxa" w:w="1560"/>
          </w:tcPr>
          <w:p>
            <w:pPr>
              <w:spacing w:before="60" w:after="60"/>
            </w:pPr>
            <w:r/>
            <w:r>
              <w:t>N/A</w:t>
            </w:r>
          </w:p>
        </w:tc>
        <w:tc>
          <w:tcPr>
            <w:tcW w:type="dxa" w:w="1560"/>
          </w:tcPr>
          <w:p>
            <w:pPr>
              <w:spacing w:before="60" w:after="60"/>
            </w:pPr>
            <w:r/>
            <w:r>
              <w:t>Unspecified</w:t>
            </w:r>
          </w:p>
        </w:tc>
        <w:tc>
          <w:tcPr>
            <w:tcW w:type="dxa" w:w="1560"/>
          </w:tcPr>
          <w:p>
            <w:pPr>
              <w:spacing w:before="60" w:after="60"/>
            </w:pPr>
            <w:r/>
            <w:r>
              <w:t>No (not characterized)</w:t>
            </w:r>
          </w:p>
        </w:tc>
        <w:tc>
          <w:tcPr>
            <w:tcW w:type="dxa" w:w="1560"/>
          </w:tcPr>
          <w:p>
            <w:pPr>
              <w:spacing w:before="60" w:after="60"/>
            </w:pPr>
            <w:r/>
            <w:r>
              <w:t>No (not characterized)</w:t>
            </w:r>
          </w:p>
        </w:tc>
        <w:tc>
          <w:tcPr>
            <w:tcW w:type="dxa" w:w="1560"/>
          </w:tcPr>
          <w:p>
            <w:pPr>
              <w:spacing w:before="60" w:after="60"/>
            </w:pPr>
            <w:r/>
            <w:r>
              <w:t>Yes (75.56% reduction, measured)</w:t>
            </w:r>
          </w:p>
        </w:tc>
      </w:tr>
      <w:tr>
        <w:tc>
          <w:tcPr>
            <w:tcW w:type="dxa" w:w="1560"/>
          </w:tcPr>
          <w:p>
            <w:pPr>
              <w:spacing w:before="60" w:after="60"/>
            </w:pPr>
            <w:r/>
            <w:r>
              <w:t>Open-weight, self-hostable LLM</w:t>
            </w:r>
          </w:p>
        </w:tc>
        <w:tc>
          <w:tcPr>
            <w:tcW w:type="dxa" w:w="1560"/>
          </w:tcPr>
          <w:p>
            <w:pPr>
              <w:spacing w:before="60" w:after="60"/>
            </w:pPr>
            <w:r/>
            <w:r>
              <w:t>N/A</w:t>
            </w:r>
          </w:p>
        </w:tc>
        <w:tc>
          <w:tcPr>
            <w:tcW w:type="dxa" w:w="1560"/>
          </w:tcPr>
          <w:p>
            <w:pPr>
              <w:spacing w:before="60" w:after="60"/>
            </w:pPr>
            <w:r/>
            <w:r>
              <w:t>No</w:t>
            </w:r>
          </w:p>
        </w:tc>
        <w:tc>
          <w:tcPr>
            <w:tcW w:type="dxa" w:w="1560"/>
          </w:tcPr>
          <w:p>
            <w:pPr>
              <w:spacing w:before="60" w:after="60"/>
            </w:pPr>
            <w:r/>
            <w:r>
              <w:t>Unspecified</w:t>
            </w:r>
          </w:p>
        </w:tc>
        <w:tc>
          <w:tcPr>
            <w:tcW w:type="dxa" w:w="1560"/>
          </w:tcPr>
          <w:p>
            <w:pPr>
              <w:spacing w:before="60" w:after="60"/>
            </w:pPr>
            <w:r/>
            <w:r>
              <w:t>Unspecified</w:t>
            </w:r>
          </w:p>
        </w:tc>
        <w:tc>
          <w:tcPr>
            <w:tcW w:type="dxa" w:w="1560"/>
          </w:tcPr>
          <w:p>
            <w:pPr>
              <w:spacing w:before="60" w:after="60"/>
            </w:pPr>
            <w:r/>
            <w:r>
              <w:t>Yes (Llama 3.1-8B)</w:t>
            </w:r>
          </w:p>
        </w:tc>
      </w:tr>
      <w:tr>
        <w:tc>
          <w:tcPr>
            <w:tcW w:type="dxa" w:w="1560"/>
          </w:tcPr>
          <w:p>
            <w:pPr>
              <w:spacing w:before="60" w:after="60"/>
            </w:pPr>
            <w:r/>
            <w:r>
              <w:t>Publisher credibility modeling</w:t>
            </w:r>
          </w:p>
        </w:tc>
        <w:tc>
          <w:tcPr>
            <w:tcW w:type="dxa" w:w="1560"/>
          </w:tcPr>
          <w:p>
            <w:pPr>
              <w:spacing w:before="60" w:after="60"/>
            </w:pPr>
            <w:r/>
            <w:r>
              <w:t>No</w:t>
            </w:r>
          </w:p>
        </w:tc>
        <w:tc>
          <w:tcPr>
            <w:tcW w:type="dxa" w:w="1560"/>
          </w:tcPr>
          <w:p>
            <w:pPr>
              <w:spacing w:before="60" w:after="60"/>
            </w:pPr>
            <w:r/>
            <w:r>
              <w:t>Static, proprietary ratings</w:t>
            </w:r>
          </w:p>
        </w:tc>
        <w:tc>
          <w:tcPr>
            <w:tcW w:type="dxa" w:w="1560"/>
          </w:tcPr>
          <w:p>
            <w:pPr>
              <w:spacing w:before="60" w:after="60"/>
            </w:pPr>
            <w:r/>
            <w:r>
              <w:t>No</w:t>
            </w:r>
          </w:p>
        </w:tc>
        <w:tc>
          <w:tcPr>
            <w:tcW w:type="dxa" w:w="1560"/>
          </w:tcPr>
          <w:p>
            <w:pPr>
              <w:spacing w:before="60" w:after="60"/>
            </w:pPr>
            <w:r/>
            <w:r>
              <w:t>No</w:t>
            </w:r>
          </w:p>
        </w:tc>
        <w:tc>
          <w:tcPr>
            <w:tcW w:type="dxa" w:w="1560"/>
          </w:tcPr>
          <w:p>
            <w:pPr>
              <w:spacing w:before="60" w:after="60"/>
            </w:pPr>
            <w:r/>
            <w:r>
              <w:t>Yes (DPCS, EMA-based, offline-validated)</w:t>
            </w:r>
          </w:p>
        </w:tc>
      </w:tr>
      <w:tr>
        <w:tc>
          <w:tcPr>
            <w:tcW w:type="dxa" w:w="1560"/>
          </w:tcPr>
          <w:p>
            <w:pPr>
              <w:spacing w:before="60" w:after="60"/>
            </w:pPr>
            <w:r/>
            <w:r>
              <w:t>End-to-end deployed distribution layer</w:t>
            </w:r>
          </w:p>
        </w:tc>
        <w:tc>
          <w:tcPr>
            <w:tcW w:type="dxa" w:w="1560"/>
          </w:tcPr>
          <w:p>
            <w:pPr>
              <w:spacing w:before="60" w:after="60"/>
            </w:pPr>
            <w:r/>
            <w:r>
              <w:t>No</w:t>
            </w:r>
          </w:p>
        </w:tc>
        <w:tc>
          <w:tcPr>
            <w:tcW w:type="dxa" w:w="1560"/>
          </w:tcPr>
          <w:p>
            <w:pPr>
              <w:spacing w:before="60" w:after="60"/>
            </w:pPr>
            <w:r/>
            <w:r>
              <w:t>No (aggregation only)</w:t>
            </w:r>
          </w:p>
        </w:tc>
        <w:tc>
          <w:tcPr>
            <w:tcW w:type="dxa" w:w="1560"/>
          </w:tcPr>
          <w:p>
            <w:pPr>
              <w:spacing w:before="60" w:after="60"/>
            </w:pPr>
            <w:r/>
            <w:r>
              <w:t>No</w:t>
            </w:r>
          </w:p>
        </w:tc>
        <w:tc>
          <w:tcPr>
            <w:tcW w:type="dxa" w:w="1560"/>
          </w:tcPr>
          <w:p>
            <w:pPr>
              <w:spacing w:before="60" w:after="60"/>
            </w:pPr>
            <w:r/>
            <w:r>
              <w:t>No</w:t>
            </w:r>
          </w:p>
        </w:tc>
        <w:tc>
          <w:tcPr>
            <w:tcW w:type="dxa" w:w="1560"/>
          </w:tcPr>
          <w:p>
            <w:pPr>
              <w:spacing w:before="60" w:after="60"/>
            </w:pPr>
            <w:r/>
            <w:r>
              <w:t>Yes (verified live deployment)</w:t>
            </w:r>
          </w:p>
        </w:tc>
      </w:tr>
      <w:tr>
        <w:tc>
          <w:tcPr>
            <w:tcW w:type="dxa" w:w="1560"/>
          </w:tcPr>
          <w:p>
            <w:pPr>
              <w:spacing w:before="60" w:after="60"/>
            </w:pPr>
            <w:r/>
            <w:r>
              <w:t>Hallucination/factuality verification</w:t>
            </w:r>
          </w:p>
        </w:tc>
        <w:tc>
          <w:tcPr>
            <w:tcW w:type="dxa" w:w="1560"/>
          </w:tcPr>
          <w:p>
            <w:pPr>
              <w:spacing w:before="60" w:after="60"/>
            </w:pPr>
            <w:r/>
            <w:r>
              <w:t>N/A</w:t>
            </w:r>
          </w:p>
        </w:tc>
        <w:tc>
          <w:tcPr>
            <w:tcW w:type="dxa" w:w="1560"/>
          </w:tcPr>
          <w:p>
            <w:pPr>
              <w:spacing w:before="60" w:after="60"/>
            </w:pPr>
            <w:r/>
            <w:r>
              <w:t>N/A</w:t>
            </w:r>
          </w:p>
        </w:tc>
        <w:tc>
          <w:tcPr>
            <w:tcW w:type="dxa" w:w="1560"/>
          </w:tcPr>
          <w:p>
            <w:pPr>
              <w:spacing w:before="60" w:after="60"/>
            </w:pPr>
            <w:r/>
            <w:r>
              <w:t>No</w:t>
            </w:r>
          </w:p>
        </w:tc>
        <w:tc>
          <w:tcPr>
            <w:tcW w:type="dxa" w:w="1560"/>
          </w:tcPr>
          <w:p>
            <w:pPr>
              <w:spacing w:before="60" w:after="60"/>
            </w:pPr>
            <w:r/>
            <w:r>
              <w:t>No</w:t>
            </w:r>
          </w:p>
        </w:tc>
        <w:tc>
          <w:tcPr>
            <w:tcW w:type="dxa" w:w="1560"/>
          </w:tcPr>
          <w:p>
            <w:pPr>
              <w:spacing w:before="60" w:after="60"/>
            </w:pPr>
            <w:r/>
            <w:r>
              <w:t>Yes (two-pass reflection loop)</w:t>
            </w:r>
          </w:p>
        </w:tc>
      </w:tr>
      <w:tr>
        <w:tc>
          <w:tcPr>
            <w:tcW w:type="dxa" w:w="1560"/>
          </w:tcPr>
          <w:p>
            <w:pPr>
              <w:spacing w:before="60" w:after="60"/>
            </w:pPr>
            <w:r/>
            <w:r>
              <w:t>Open, reproducible labeled benchmark</w:t>
            </w:r>
          </w:p>
        </w:tc>
        <w:tc>
          <w:tcPr>
            <w:tcW w:type="dxa" w:w="1560"/>
          </w:tcPr>
          <w:p>
            <w:pPr>
              <w:spacing w:before="60" w:after="60"/>
            </w:pPr>
            <w:r/>
            <w:r>
              <w:t>Partial (public data, no labeled pair benchmark)</w:t>
            </w:r>
          </w:p>
        </w:tc>
        <w:tc>
          <w:tcPr>
            <w:tcW w:type="dxa" w:w="1560"/>
          </w:tcPr>
          <w:p>
            <w:pPr>
              <w:spacing w:before="60" w:after="60"/>
            </w:pPr>
            <w:r/>
            <w:r>
              <w:t>No (proprietary)</w:t>
            </w:r>
          </w:p>
        </w:tc>
        <w:tc>
          <w:tcPr>
            <w:tcW w:type="dxa" w:w="1560"/>
          </w:tcPr>
          <w:p>
            <w:pPr>
              <w:spacing w:before="60" w:after="60"/>
            </w:pPr>
            <w:r/>
            <w:r>
              <w:t>Yes (public GDELT)</w:t>
            </w:r>
          </w:p>
        </w:tc>
        <w:tc>
          <w:tcPr>
            <w:tcW w:type="dxa" w:w="1560"/>
          </w:tcPr>
          <w:p>
            <w:pPr>
              <w:spacing w:before="60" w:after="60"/>
            </w:pPr>
            <w:r/>
            <w:r>
              <w:t>Yes (public dataset)</w:t>
            </w:r>
          </w:p>
        </w:tc>
        <w:tc>
          <w:tcPr>
            <w:tcW w:type="dxa" w:w="1560"/>
          </w:tcPr>
          <w:p>
            <w:pPr>
              <w:spacing w:before="60" w:after="60"/>
            </w:pPr>
            <w:r/>
            <w:r>
              <w:t>Yes (45-pair benchmark, public repo)</w:t>
            </w:r>
          </w:p>
        </w:tc>
      </w:tr>
      <w:tr>
        <w:tc>
          <w:tcPr>
            <w:tcW w:type="dxa" w:w="1560"/>
          </w:tcPr>
          <w:p>
            <w:pPr>
              <w:spacing w:before="60" w:after="60"/>
            </w:pPr>
            <w:r/>
            <w:r>
              <w:t>Cost/accuracy trade-off characterization</w:t>
            </w:r>
          </w:p>
        </w:tc>
        <w:tc>
          <w:tcPr>
            <w:tcW w:type="dxa" w:w="1560"/>
          </w:tcPr>
          <w:p>
            <w:pPr>
              <w:spacing w:before="60" w:after="60"/>
            </w:pPr>
            <w:r/>
            <w:r>
              <w:t>No</w:t>
            </w:r>
          </w:p>
        </w:tc>
        <w:tc>
          <w:tcPr>
            <w:tcW w:type="dxa" w:w="1560"/>
          </w:tcPr>
          <w:p>
            <w:pPr>
              <w:spacing w:before="60" w:after="60"/>
            </w:pPr>
            <w:r/>
            <w:r>
              <w:t>No</w:t>
            </w:r>
          </w:p>
        </w:tc>
        <w:tc>
          <w:tcPr>
            <w:tcW w:type="dxa" w:w="1560"/>
          </w:tcPr>
          <w:p>
            <w:pPr>
              <w:spacing w:before="60" w:after="60"/>
            </w:pPr>
            <w:r/>
            <w:r>
              <w:t>No</w:t>
            </w:r>
          </w:p>
        </w:tc>
        <w:tc>
          <w:tcPr>
            <w:tcW w:type="dxa" w:w="1560"/>
          </w:tcPr>
          <w:p>
            <w:pPr>
              <w:spacing w:before="60" w:after="60"/>
            </w:pPr>
            <w:r/>
            <w:r>
              <w:t>No</w:t>
            </w:r>
          </w:p>
        </w:tc>
        <w:tc>
          <w:tcPr>
            <w:tcW w:type="dxa" w:w="1560"/>
          </w:tcPr>
          <w:p>
            <w:pPr>
              <w:spacing w:before="60" w:after="60"/>
            </w:pPr>
            <w:r/>
            <w:r>
              <w:t>Yes (5-strategy Pareto comparison)</w:t>
            </w:r>
          </w:p>
        </w:tc>
      </w:tr>
    </w:tbl>
    <w:p/>
    <w:p>
      <w:pPr>
        <w:pStyle w:val="Heading3"/>
      </w:pPr>
      <w:r>
        <w:t>2.10 Synthesis: Positioning NISE Relative to Prior Work</w:t>
      </w:r>
    </w:p>
    <w:p>
      <w:r>
        <w:t>Across the eight areas reviewed, a consistent gap emerges. Lexical methods (2.1) are cheap but vocabulary-brittle. Dense embeddings (2.2) resolve this but assume infrastructure this work explicitly avoids. LLM-assisted clustering (2.3) — our closest prior art — demonstrates the general feasibility of the approach but does not characterize its computational cost or evaluate a fully deployed distribution layer. Multi-signal fusion (2.4) is well-established in entity resolution but under-explored specifically for news event matching. Credibility modeling (2.5) carries documented risks that most systems, including commercial ones, do not transparently report. Stance detection (2.6) and hallucination mitigation (2.7) are each individually mature research areas that this system integrates but does not individually advance. No reviewed work combines cost-aware multi-stage pre-filtering, an empirically characterized accuracy/efficiency trade-off across multiple candidate strategies, and a verified, deployed end-to-end pipeline inclusive of distribution — this is precisely the space NISE occupies, and precisely the gap identified in Section I.C.</w:t>
      </w:r>
    </w:p>
    <w:p>
      <w:pPr>
        <w:jc w:val="center"/>
      </w:pPr>
      <w:r>
        <w:rPr>
          <w:color w:val="969696"/>
        </w:rPr>
        <w:t>─────── ❖ ───────</w:t>
      </w:r>
    </w:p>
    <w:p>
      <w:pPr>
        <w:pStyle w:val="Heading2"/>
      </w:pPr>
      <w:r>
        <w:t>III. SYSTEM ARCHITECTURE &amp; METHODOLOGY</w:t>
      </w:r>
    </w:p>
    <w:p>
      <w:pPr>
        <w:spacing w:before="80" w:after="120"/>
        <w:ind w:left="360"/>
      </w:pPr>
      <w:r>
        <w:rPr>
          <w:rFonts w:ascii="Arial" w:hAnsi="Arial"/>
          <w:b/>
          <w:color w:val="646464"/>
          <w:sz w:val="19"/>
        </w:rPr>
        <w:t>[Diagram source — see rendered version in project repository or Figure 1]</w:t>
        <w:br/>
      </w:r>
      <w:r>
        <w:rPr>
          <w:rFonts w:ascii="Consolas" w:hAnsi="Consolas"/>
          <w:color w:val="1E1E1E"/>
          <w:sz w:val="17"/>
        </w:rPr>
        <w:t>graph TD</w:t>
        <w:br/>
        <w:t xml:space="preserve">    subgraph Layer1["1. Multi-Source Ingestion &amp; Anti-Duplication"]</w:t>
        <w:br/>
        <w:t xml:space="preserve">        RSS["21 RSS Streams (14 Sectors)"] --&gt; Parser["rss-parser Module"]</w:t>
        <w:br/>
        <w:t xml:space="preserve">        Parser --&gt; Dedup["Multi-Layer Anti-Duplication Lock&lt;br/&gt;(URL, MD5 title_hash, title)"]</w:t>
        <w:br/>
        <w:t xml:space="preserve">    end</w:t>
        <w:br/>
        <w:br/>
        <w:t xml:space="preserve">    subgraph Layer2["2. Neural AI Synthesis (Groq Llama 3.1-8B)"]</w:t>
        <w:br/>
        <w:t xml:space="preserve">        Dedup --&gt;|Unique Article| Groq["Groq LPU Synthesis Engine"]</w:t>
        <w:br/>
        <w:t xml:space="preserve">        Groq --&gt; Summary["150-Word Editorial Summary"]</w:t>
        <w:br/>
        <w:t xml:space="preserve">        Groq --&gt; SocialMeta["Instagram/FB Caption &amp; 10-14 Hashtags"]</w:t>
        <w:br/>
        <w:t xml:space="preserve">        Groq --&gt; ImgPrompt["35mm Reuters Photo Prompt"]</w:t>
        <w:br/>
        <w:t xml:space="preserve">    end</w:t>
        <w:br/>
        <w:br/>
        <w:t xml:space="preserve">    subgraph Layer3["3. Hybrid Photojournalism Pipeline"]</w:t>
        <w:br/>
        <w:t xml:space="preserve">        ImgPrompt --&gt; RSSImg{"RSS Native Photo?"}</w:t>
        <w:br/>
        <w:t xml:space="preserve">        RSSImg --&gt;|Yes| RealPhoto["Extract Press Photo (&lt;enclosure&gt;)"]</w:t>
        <w:br/>
        <w:t xml:space="preserve">        RSSImg --&gt;|No| Pollinations["Pollinations FLUX Realism (&amp;model=flux-realism)"]</w:t>
        <w:br/>
        <w:t xml:space="preserve">    end</w:t>
        <w:br/>
        <w:br/>
        <w:t xml:space="preserve">    subgraph Layer4["4. NISE Event Intelligence Engine"]</w:t>
        <w:br/>
        <w:t xml:space="preserve">        RealPhoto &amp; Pollinations --&gt; Stage1a["Stage 1a: Jaccard IoU (&gt;= 12%)"]</w:t>
        <w:br/>
        <w:t xml:space="preserve">        RealPhoto &amp; Pollinations --&gt; Stage1b["Stage 1b: 3-Gram Cosine (&gt;= 25%)"]</w:t>
        <w:br/>
        <w:t xml:space="preserve">        RealPhoto &amp; Pollinations --&gt; EFSA["EFSA Multi-Evidence Score (&gt;= 0.22)"]</w:t>
        <w:br/>
        <w:t xml:space="preserve">        Stage1a &amp; Stage1b &amp; EFSA --&gt;|Candidate Match| Stage2["Stage 2: Llama 3 isSameEvent()"]</w:t>
        <w:br/>
        <w:t xml:space="preserve">        Stage2 --&gt;|SAME| Fusion["Evidence Fusion &amp; Confidence C(N)"]</w:t>
        <w:br/>
        <w:t xml:space="preserve">        Fusion --&gt; Stance["Dynamic Stance Agent &amp; Divergence"]</w:t>
        <w:br/>
        <w:t xml:space="preserve">        Stance --&gt; Guard["Hallucination Reflection Loop"]</w:t>
        <w:br/>
        <w:t xml:space="preserve">    end</w:t>
        <w:br/>
        <w:br/>
        <w:t xml:space="preserve">    subgraph Layer5["5. Database &amp; Autonomous Distribution"]</w:t>
        <w:br/>
        <w:t xml:space="preserve">        Guard --&gt; Mongo[("MongoDB Atlas")]</w:t>
        <w:br/>
        <w:t xml:space="preserve">        Mongo --&gt; Webhook["Social Broadcast Engine (Self-Healing Webhooks)"]</w:t>
        <w:br/>
        <w:t xml:space="preserve">        Mongo --&gt; UI["3D Cosmic Glassmorphic Interface (/studio)"]</w:t>
        <w:br/>
        <w:t xml:space="preserve">    end</w:t>
      </w:r>
    </w:p>
    <w:p>
      <w:pPr>
        <w:pStyle w:val="Heading3"/>
      </w:pPr>
      <w:r>
        <w:t>3.1 Pipeline Overview</w:t>
      </w:r>
    </w:p>
    <w:p>
      <w:r>
        <w:t xml:space="preserve">The NISE architecture processes continuous multi-source wire dispatches through a 5-layer pipeline spanning ingestion, synthesis, photojournalism, multi-evidence clustering, and autonomous distribution. </w:t>
      </w:r>
    </w:p>
    <w:p>
      <w:pPr>
        <w:pStyle w:val="Heading3"/>
      </w:pPr>
      <w:r>
        <w:t>3.2 Ingestion Registry &amp; Multi-Layer Anti-Duplication Lock</w:t>
      </w:r>
    </w:p>
    <w:p>
      <w:r>
        <w:t xml:space="preserve">NISE monitors 21 RSS wire feeds across 14 distinct news sectors: </w:t>
      </w:r>
      <w:r>
        <w:rPr>
          <w:rFonts w:ascii="Consolas" w:hAnsi="Consolas"/>
          <w:color w:val="B42828"/>
          <w:sz w:val="19"/>
        </w:rPr>
        <w:t>Tech</w:t>
      </w:r>
      <w:r>
        <w:t xml:space="preserve">, </w:t>
      </w:r>
      <w:r>
        <w:rPr>
          <w:rFonts w:ascii="Consolas" w:hAnsi="Consolas"/>
          <w:color w:val="B42828"/>
          <w:sz w:val="19"/>
        </w:rPr>
        <w:t>Finance</w:t>
      </w:r>
      <w:r>
        <w:t xml:space="preserve">, </w:t>
      </w:r>
      <w:r>
        <w:rPr>
          <w:rFonts w:ascii="Consolas" w:hAnsi="Consolas"/>
          <w:color w:val="B42828"/>
          <w:sz w:val="19"/>
        </w:rPr>
        <w:t>Geopolitics</w:t>
      </w:r>
      <w:r>
        <w:t xml:space="preserve">, </w:t>
      </w:r>
      <w:r>
        <w:rPr>
          <w:rFonts w:ascii="Consolas" w:hAnsi="Consolas"/>
          <w:color w:val="B42828"/>
          <w:sz w:val="19"/>
        </w:rPr>
        <w:t>Sports</w:t>
      </w:r>
      <w:r>
        <w:t xml:space="preserve">, </w:t>
      </w:r>
      <w:r>
        <w:rPr>
          <w:rFonts w:ascii="Consolas" w:hAnsi="Consolas"/>
          <w:color w:val="B42828"/>
          <w:sz w:val="19"/>
        </w:rPr>
        <w:t>AI</w:t>
      </w:r>
      <w:r>
        <w:t xml:space="preserve">, </w:t>
      </w:r>
      <w:r>
        <w:rPr>
          <w:rFonts w:ascii="Consolas" w:hAnsi="Consolas"/>
          <w:color w:val="B42828"/>
          <w:sz w:val="19"/>
        </w:rPr>
        <w:t>Startups</w:t>
      </w:r>
      <w:r>
        <w:t xml:space="preserve">, </w:t>
      </w:r>
      <w:r>
        <w:rPr>
          <w:rFonts w:ascii="Consolas" w:hAnsi="Consolas"/>
          <w:color w:val="B42828"/>
          <w:sz w:val="19"/>
        </w:rPr>
        <w:t>Crypto</w:t>
      </w:r>
      <w:r>
        <w:t xml:space="preserve">, </w:t>
      </w:r>
      <w:r>
        <w:rPr>
          <w:rFonts w:ascii="Consolas" w:hAnsi="Consolas"/>
          <w:color w:val="B42828"/>
          <w:sz w:val="19"/>
        </w:rPr>
        <w:t>Health</w:t>
      </w:r>
      <w:r>
        <w:t xml:space="preserve">, </w:t>
      </w:r>
      <w:r>
        <w:rPr>
          <w:rFonts w:ascii="Consolas" w:hAnsi="Consolas"/>
          <w:color w:val="B42828"/>
          <w:sz w:val="19"/>
        </w:rPr>
        <w:t>Science</w:t>
      </w:r>
      <w:r>
        <w:t xml:space="preserve">, </w:t>
      </w:r>
      <w:r>
        <w:rPr>
          <w:rFonts w:ascii="Consolas" w:hAnsi="Consolas"/>
          <w:color w:val="B42828"/>
          <w:sz w:val="19"/>
        </w:rPr>
        <w:t>Entertainment</w:t>
      </w:r>
      <w:r>
        <w:t xml:space="preserve">, </w:t>
      </w:r>
      <w:r>
        <w:rPr>
          <w:rFonts w:ascii="Consolas" w:hAnsi="Consolas"/>
          <w:color w:val="B42828"/>
          <w:sz w:val="19"/>
        </w:rPr>
        <w:t>Environment</w:t>
      </w:r>
      <w:r>
        <w:t xml:space="preserve">, </w:t>
      </w:r>
      <w:r>
        <w:rPr>
          <w:rFonts w:ascii="Consolas" w:hAnsi="Consolas"/>
          <w:color w:val="B42828"/>
          <w:sz w:val="19"/>
        </w:rPr>
        <w:t>Automotive</w:t>
      </w:r>
      <w:r>
        <w:t xml:space="preserve">, </w:t>
      </w:r>
      <w:r>
        <w:rPr>
          <w:rFonts w:ascii="Consolas" w:hAnsi="Consolas"/>
          <w:color w:val="B42828"/>
          <w:sz w:val="19"/>
        </w:rPr>
        <w:t>Defense</w:t>
      </w:r>
      <w:r>
        <w:t xml:space="preserve">, and </w:t>
      </w:r>
      <w:r>
        <w:rPr>
          <w:rFonts w:ascii="Consolas" w:hAnsi="Consolas"/>
          <w:color w:val="B42828"/>
          <w:sz w:val="19"/>
        </w:rPr>
        <w:t>Space</w:t>
      </w:r>
      <w:r>
        <w:t xml:space="preserve">. To guarantee zero duplicate ingestion and eliminate unnecessary AI inference, </w:t>
      </w:r>
      <w:r>
        <w:rPr>
          <w:rFonts w:ascii="Consolas" w:hAnsi="Consolas"/>
          <w:color w:val="B42828"/>
          <w:sz w:val="19"/>
        </w:rPr>
        <w:t>newsEngine.js</w:t>
      </w:r>
      <w:r>
        <w:t xml:space="preserve"> executes a pre-LLM multi-layer query check against MongoDB:</w:t>
      </w:r>
    </w:p>
    <w:p>
      <w:r>
        <w:rPr>
          <w:rFonts w:ascii="Cambria Math" w:hAnsi="Cambria Math"/>
          <w:i/>
        </w:rPr>
      </w:r>
      <w:r>
        <w:t>\text{MatchCondition} = (\text{url} = U) \lor (\text{title\_hash} = \text{MD5}(\text{title})) \lor (\text{title} = T) \tag{1}</w:t>
      </w:r>
      <w:r>
        <w:rPr>
          <w:rFonts w:ascii="Cambria Math" w:hAnsi="Cambria Math"/>
          <w:i/>
        </w:rPr>
      </w:r>
    </w:p>
    <w:p>
      <w:r>
        <w:t xml:space="preserve">where </w:t>
      </w:r>
      <w:r>
        <w:rPr>
          <w:rFonts w:ascii="Cambria Math" w:hAnsi="Cambria Math"/>
          <w:i/>
        </w:rPr>
        <w:t>\text{title\_hash}</w:t>
      </w:r>
      <w:r>
        <w:t xml:space="preserve"> is the 32-character hexadecimal MD5 digest of the lowercased, whitespace-trimmed headline string. If any condition evaluates to true, processing is halted immediately.</w:t>
      </w:r>
    </w:p>
    <w:p>
      <w:pPr>
        <w:pStyle w:val="Heading3"/>
      </w:pPr>
      <w:r>
        <w:t>3.3 Transformative Multi-Modal AI Synthesis (Groq LPUs)</w:t>
      </w:r>
    </w:p>
    <w:p>
      <w:r>
        <w:t xml:space="preserve">Unique articles are passed to Meta's open-weight </w:t>
      </w:r>
      <w:r>
        <w:rPr>
          <w:rFonts w:ascii="Consolas" w:hAnsi="Consolas"/>
          <w:color w:val="B42828"/>
          <w:sz w:val="19"/>
        </w:rPr>
        <w:t>llama-3.1-8b-instant</w:t>
      </w:r>
      <w:r>
        <w:t xml:space="preserve"> model hosted on Groq LPUs, extending the open-weight LLM family architecture (Touvron et al. [14], Meta AI [15]). Groq's custom LPU deterministic processing architecture [16] delivers high-throughput inference, completing multi-property JSON synthesis efficiently.</w:t>
      </w:r>
    </w:p>
    <w:p>
      <w:r>
        <w:t>The model is prompted to output a single JSON object containing:</w:t>
      </w:r>
    </w:p>
    <w:p>
      <w:pPr>
        <w:pStyle w:val="ListNumber"/>
      </w:pPr>
      <w:r>
        <w:rPr>
          <w:rFonts w:ascii="Consolas" w:hAnsi="Consolas"/>
          <w:color w:val="B42828"/>
          <w:sz w:val="19"/>
        </w:rPr>
        <w:t>summary</w:t>
      </w:r>
      <w:r>
        <w:t>: 150-word objective, original editorial summary.</w:t>
      </w:r>
    </w:p>
    <w:p>
      <w:pPr>
        <w:pStyle w:val="ListNumber"/>
      </w:pPr>
      <w:r>
        <w:rPr>
          <w:rFonts w:ascii="Consolas" w:hAnsi="Consolas"/>
          <w:color w:val="B42828"/>
          <w:sz w:val="19"/>
        </w:rPr>
        <w:t>social_caption</w:t>
      </w:r>
      <w:r>
        <w:t>: Social caption starting with an emoji hook headline (</w:t>
      </w:r>
      <w:r>
        <w:rPr>
          <w:rFonts w:ascii="Consolas" w:hAnsi="Consolas"/>
          <w:color w:val="B42828"/>
          <w:sz w:val="19"/>
        </w:rPr>
        <w:t>🚨 BREAKING:</w:t>
      </w:r>
      <w:r>
        <w:t>), followed by 2–3 bullet points and a call-to-action.</w:t>
      </w:r>
    </w:p>
    <w:p>
      <w:pPr>
        <w:pStyle w:val="ListNumber"/>
      </w:pPr>
      <w:r>
        <w:rPr>
          <w:rFonts w:ascii="Consolas" w:hAnsi="Consolas"/>
          <w:color w:val="B42828"/>
          <w:sz w:val="19"/>
        </w:rPr>
        <w:t>social_hashtags</w:t>
      </w:r>
      <w:r>
        <w:t>: Array of 10–14 viral hashtags (</w:t>
      </w:r>
      <w:r>
        <w:rPr>
          <w:rFonts w:ascii="Consolas" w:hAnsi="Consolas"/>
          <w:color w:val="B42828"/>
          <w:sz w:val="19"/>
        </w:rPr>
        <w:t>#NewsAI #TechNews #Sector</w:t>
      </w:r>
      <w:r>
        <w:t>).</w:t>
      </w:r>
    </w:p>
    <w:p>
      <w:pPr>
        <w:pStyle w:val="ListNumber"/>
      </w:pPr>
      <w:r>
        <w:rPr>
          <w:rFonts w:ascii="Consolas" w:hAnsi="Consolas"/>
          <w:color w:val="B42828"/>
          <w:sz w:val="19"/>
        </w:rPr>
        <w:t>image_prompt</w:t>
      </w:r>
      <w:r>
        <w:t>: Camera optics prompt specifying 35mm lens, f/2.8 aperture, natural lighting, and Reuters/AP news photojournalism style.</w:t>
      </w:r>
    </w:p>
    <w:p>
      <w:pPr>
        <w:pStyle w:val="Heading3"/>
      </w:pPr>
      <w:r>
        <w:t>3.4 Hybrid Photojournalism &amp; FLUX Realism Image Pipeline</w:t>
      </w:r>
    </w:p>
    <w:p>
      <w:r>
        <w:t>NISE employs a dual-mode image acquisition strategy:</w:t>
      </w:r>
    </w:p>
    <w:p>
      <w:pPr>
        <w:pStyle w:val="ListBullet"/>
      </w:pPr>
      <w:r>
        <w:rPr>
          <w:b/>
        </w:rPr>
        <w:t>Primary (Native Press Photo Extraction):</w:t>
      </w:r>
      <w:r>
        <w:t xml:space="preserve"> </w:t>
      </w:r>
      <w:r>
        <w:rPr>
          <w:rFonts w:ascii="Consolas" w:hAnsi="Consolas"/>
          <w:color w:val="B42828"/>
          <w:sz w:val="19"/>
        </w:rPr>
        <w:t>extractRssImage()</w:t>
      </w:r>
      <w:r>
        <w:t xml:space="preserve"> parses RSS XML for </w:t>
      </w:r>
      <w:r>
        <w:rPr>
          <w:rFonts w:ascii="Consolas" w:hAnsi="Consolas"/>
          <w:color w:val="B42828"/>
          <w:sz w:val="19"/>
        </w:rPr>
        <w:t>&lt;enclosure&gt;</w:t>
      </w:r>
      <w:r>
        <w:t xml:space="preserve">, </w:t>
      </w:r>
      <w:r>
        <w:rPr>
          <w:rFonts w:ascii="Consolas" w:hAnsi="Consolas"/>
          <w:color w:val="B42828"/>
          <w:sz w:val="19"/>
        </w:rPr>
        <w:t>&lt;media:content&gt;</w:t>
      </w:r>
      <w:r>
        <w:t xml:space="preserve">, </w:t>
      </w:r>
      <w:r>
        <w:rPr>
          <w:rFonts w:ascii="Consolas" w:hAnsi="Consolas"/>
          <w:color w:val="B42828"/>
          <w:sz w:val="19"/>
        </w:rPr>
        <w:t>&lt;media:thumbnail&gt;</w:t>
      </w:r>
      <w:r>
        <w:t xml:space="preserve">, or embedded HTML </w:t>
      </w:r>
      <w:r>
        <w:rPr>
          <w:rFonts w:ascii="Consolas" w:hAnsi="Consolas"/>
          <w:color w:val="B42828"/>
          <w:sz w:val="19"/>
        </w:rPr>
        <w:t>&lt;img&gt;</w:t>
      </w:r>
      <w:r>
        <w:t xml:space="preserve"> tags.</w:t>
      </w:r>
    </w:p>
    <w:p>
      <w:pPr>
        <w:pStyle w:val="ListBullet"/>
      </w:pPr>
      <w:r>
        <w:rPr>
          <w:b/>
        </w:rPr>
        <w:t>Fallback (FLUX Realism AI Generation):</w:t>
      </w:r>
      <w:r>
        <w:t xml:space="preserve"> If no native photo exists, </w:t>
      </w:r>
      <w:r>
        <w:rPr>
          <w:rFonts w:ascii="Consolas" w:hAnsi="Consolas"/>
          <w:color w:val="B42828"/>
          <w:sz w:val="19"/>
        </w:rPr>
        <w:t>generateAndHostImage()</w:t>
      </w:r>
      <w:r>
        <w:t xml:space="preserve"> builds a keyless, prompt-encoded URL using the </w:t>
      </w:r>
      <w:r>
        <w:rPr>
          <w:rFonts w:ascii="Consolas" w:hAnsi="Consolas"/>
          <w:color w:val="B42828"/>
          <w:sz w:val="19"/>
        </w:rPr>
        <w:t>pollinations.ai</w:t>
      </w:r>
      <w:r>
        <w:t xml:space="preserve"> FLUX Realism engine [17]:</w:t>
      </w:r>
    </w:p>
    <w:p>
      <w:r>
        <w:rPr>
          <w:rFonts w:ascii="Cambria Math" w:hAnsi="Cambria Math"/>
          <w:i/>
        </w:rPr>
      </w:r>
      <w:r>
        <w:t>\text{URL} = \text{\small https://image.pollinations.ai/prompt/}\text{EncodedPrompt}\text{\small ?width=800\&amp;height=800\&amp;model=flux-realism\&amp;seed=Seed}</w:t>
      </w:r>
      <w:r>
        <w:rPr>
          <w:rFonts w:ascii="Cambria Math" w:hAnsi="Cambria Math"/>
          <w:i/>
        </w:rPr>
      </w:r>
    </w:p>
    <w:p>
      <w:r>
        <w:t xml:space="preserve">Image fetching is delegated directly to the client's web browser, bypassing server-side bot protection and eliminating heavy image hosting costs. Inline </w:t>
      </w:r>
      <w:r>
        <w:rPr>
          <w:rFonts w:ascii="Consolas" w:hAnsi="Consolas"/>
          <w:color w:val="B42828"/>
          <w:sz w:val="19"/>
        </w:rPr>
        <w:t>onError</w:t>
      </w:r>
      <w:r>
        <w:t xml:space="preserve"> handlers on the frontend provide fail-safe fallbacks to Unsplash editorial images.</w:t>
      </w:r>
    </w:p>
    <w:p>
      <w:pPr>
        <w:pStyle w:val="Heading3"/>
      </w:pPr>
      <w:r>
        <w:t>3.5 Deployed Two-Stage Lexical/LLM Clustering Gate</w:t>
      </w:r>
    </w:p>
    <w:p>
      <w:r>
        <w:t>Before invoking an LLM for event verification, candidate pairs within a 48-hour temporal window pass through a lightweight, CPU-based two-stage fast-path gate:</w:t>
      </w:r>
    </w:p>
    <w:p>
      <w:pPr>
        <w:pStyle w:val="ListNumber"/>
      </w:pPr>
      <w:r>
        <w:rPr>
          <w:b/>
        </w:rPr>
        <w:t>Stage 1a (Unigram Jaccard IoU):</w:t>
      </w:r>
      <w:r>
        <w:t xml:space="preserve"> Computes token-set intersection over union:</w:t>
      </w:r>
    </w:p>
    <w:p>
      <w:r>
        <w:t xml:space="preserve">   </w:t>
      </w:r>
      <w:r>
        <w:rPr>
          <w:rFonts w:ascii="Cambria Math" w:hAnsi="Cambria Math"/>
          <w:i/>
        </w:rPr>
      </w:r>
      <w:r>
        <w:t>J(A, B) = \frac{|A \cap B|}{|A \cup B|} \tag{2}</w:t>
      </w:r>
      <w:r>
        <w:rPr>
          <w:rFonts w:ascii="Cambria Math" w:hAnsi="Cambria Math"/>
          <w:i/>
        </w:rPr>
      </w:r>
    </w:p>
    <w:p>
      <w:r>
        <w:t xml:space="preserve">   with an empirical threshold </w:t>
      </w:r>
      <w:r>
        <w:rPr>
          <w:rFonts w:ascii="Cambria Math" w:hAnsi="Cambria Math"/>
          <w:i/>
        </w:rPr>
        <w:t>\tau_J = 0.12</w:t>
      </w:r>
      <w:r>
        <w:t xml:space="preserve"> (</w:t>
      </w:r>
      <w:r>
        <w:rPr>
          <w:rFonts w:ascii="Cambria Math" w:hAnsi="Cambria Math"/>
          <w:i/>
        </w:rPr>
        <w:t>12\%</w:t>
      </w:r>
      <w:r>
        <w:t>).</w:t>
      </w:r>
    </w:p>
    <w:p>
      <w:pPr>
        <w:pStyle w:val="ListNumber"/>
      </w:pPr>
      <w:r>
        <w:rPr>
          <w:b/>
        </w:rPr>
        <w:t>Stage 1b (Sub-Word 3-Gram Cosine Similarity):</w:t>
      </w:r>
      <w:r>
        <w:t xml:space="preserve"> Constructs character 3-gram frequency vectors </w:t>
      </w:r>
      <w:r>
        <w:rPr>
          <w:rFonts w:ascii="Cambria Math" w:hAnsi="Cambria Math"/>
          <w:i/>
        </w:rPr>
        <w:t>V_A, V_B</w:t>
      </w:r>
      <w:r>
        <w:t xml:space="preserve"> to capture morphological variations and compound terms:</w:t>
      </w:r>
    </w:p>
    <w:p>
      <w:r>
        <w:t xml:space="preserve">   </w:t>
      </w:r>
      <w:r>
        <w:rPr>
          <w:rFonts w:ascii="Cambria Math" w:hAnsi="Cambria Math"/>
          <w:i/>
        </w:rPr>
      </w:r>
      <w:r>
        <w:t>\cos(V_A, V_B) = \frac{V_A \cdot V_B}{\|V_A\| \|V_B\|} = \frac{\sum_{i=1}^K V_{A,i} V_{B,i}}{\sqrt{\sum_{i=1}^K V_{A,i}^2} \sqrt{\sum_{i=1}^K V_{B,i}^2}} \tag{3}</w:t>
      </w:r>
      <w:r>
        <w:rPr>
          <w:rFonts w:ascii="Cambria Math" w:hAnsi="Cambria Math"/>
          <w:i/>
        </w:rPr>
      </w:r>
    </w:p>
    <w:p>
      <w:r>
        <w:t xml:space="preserve">   with an empirical threshold </w:t>
      </w:r>
      <w:r>
        <w:rPr>
          <w:rFonts w:ascii="Cambria Math" w:hAnsi="Cambria Math"/>
          <w:i/>
        </w:rPr>
        <w:t>\tau_C = 0.25</w:t>
      </w:r>
      <w:r>
        <w:t xml:space="preserve"> (</w:t>
      </w:r>
      <w:r>
        <w:rPr>
          <w:rFonts w:ascii="Cambria Math" w:hAnsi="Cambria Math"/>
          <w:i/>
        </w:rPr>
        <w:t>25\%</w:t>
      </w:r>
      <w:r>
        <w:t>).</w:t>
      </w:r>
    </w:p>
    <w:p>
      <w:r>
        <w:t>Candidate pairs satisfying the disjunctive (OR) Stage 1 condition:</w:t>
      </w:r>
    </w:p>
    <w:p>
      <w:r>
        <w:rPr>
          <w:rFonts w:ascii="Cambria Math" w:hAnsi="Cambria Math"/>
          <w:i/>
        </w:rPr>
      </w:r>
      <w:r>
        <w:t>\text{GateCondition} = (J(A,B) \ge 0.12) \lor (\cos(V_A, V_B) \ge 0.25) \tag{4}</w:t>
      </w:r>
      <w:r>
        <w:rPr>
          <w:rFonts w:ascii="Cambria Math" w:hAnsi="Cambria Math"/>
          <w:i/>
        </w:rPr>
      </w:r>
    </w:p>
    <w:p>
      <w:r>
        <w:t>advance to Stage 2 zero-shot LLM verification (</w:t>
      </w:r>
      <w:r>
        <w:rPr>
          <w:rFonts w:ascii="Consolas" w:hAnsi="Consolas"/>
          <w:color w:val="B42828"/>
          <w:sz w:val="19"/>
        </w:rPr>
        <w:t>isSameEvent</w:t>
      </w:r>
      <w:r>
        <w:t>), while non-qualifying pairs bypass LLM inference completely.</w:t>
      </w:r>
    </w:p>
    <w:p>
      <w:pPr>
        <w:pStyle w:val="Heading3"/>
      </w:pPr>
      <w:r>
        <w:t>3.6 Algorithm 1: Enhanced Fusion Scoring Algorithm (EFSA)</w:t>
      </w:r>
    </w:p>
    <w:p>
      <w:r>
        <w:t>To provide a structured, dependency-free multi-evidence alternative to basic lexical matching, EFSA computes a weighted composite fusion score across five normalized similarity dimensions:</w:t>
      </w:r>
    </w:p>
    <w:p>
      <w:r>
        <w:rPr>
          <w:rFonts w:ascii="Cambria Math" w:hAnsi="Cambria Math"/>
          <w:i/>
        </w:rPr>
      </w:r>
      <w:r>
        <w:t>S_{\text{EFSA}} = 0.25 S_{\text{key}} + 0.30 S_{\text{head}} + 0.25 S_{\text{ent}} + 0.10 S_{\text{temp}} + 0.10 S_{\text{sec}} \tag{5}</w:t>
      </w:r>
      <w:r>
        <w:rPr>
          <w:rFonts w:ascii="Cambria Math" w:hAnsi="Cambria Math"/>
          <w:i/>
        </w:rPr>
      </w:r>
    </w:p>
    <w:p>
      <w:r>
        <w:t xml:space="preserve">where </w:t>
      </w:r>
      <w:r>
        <w:rPr>
          <w:rFonts w:ascii="Cambria Math" w:hAnsi="Cambria Math"/>
          <w:i/>
        </w:rPr>
        <w:t>S_{\text{key}}</w:t>
      </w:r>
      <w:r>
        <w:t xml:space="preserve"> is unigram IoU, </w:t>
      </w:r>
      <w:r>
        <w:rPr>
          <w:rFonts w:ascii="Cambria Math" w:hAnsi="Cambria Math"/>
          <w:i/>
        </w:rPr>
        <w:t>S_{\text{head}}</w:t>
      </w:r>
      <w:r>
        <w:t xml:space="preserve"> is character 3-gram cosine, </w:t>
      </w:r>
      <w:r>
        <w:rPr>
          <w:rFonts w:ascii="Cambria Math" w:hAnsi="Cambria Math"/>
          <w:i/>
        </w:rPr>
        <w:t>S_{\text{ent}}</w:t>
      </w:r>
      <w:r>
        <w:t xml:space="preserve"> is named entity overlap ratio, </w:t>
      </w:r>
      <w:r>
        <w:rPr>
          <w:rFonts w:ascii="Cambria Math" w:hAnsi="Cambria Math"/>
          <w:i/>
        </w:rPr>
        <w:t>S_{\text{temp}} = e^{-\lambda \Delta t}</w:t>
      </w:r>
      <w:r>
        <w:t xml:space="preserve"> (</w:t>
      </w:r>
      <w:r>
        <w:rPr>
          <w:rFonts w:ascii="Cambria Math" w:hAnsi="Cambria Math"/>
          <w:i/>
        </w:rPr>
        <w:t>\lambda = 0.02</w:t>
      </w:r>
      <w:r>
        <w:t xml:space="preserve">) is exponential time decay over 48 hours, and </w:t>
      </w:r>
      <w:r>
        <w:rPr>
          <w:rFonts w:ascii="Cambria Math" w:hAnsi="Cambria Math"/>
          <w:i/>
        </w:rPr>
        <w:t>S_{\text{sec}} \in \{0, 0.5, 1.0\}</w:t>
      </w:r>
      <w:r>
        <w:t xml:space="preserve"> is sector taxonomy match.</w:t>
      </w:r>
    </w:p>
    <w:p>
      <w:pPr>
        <w:spacing w:before="80" w:after="120"/>
        <w:ind w:left="360"/>
      </w:pPr>
      <w:r>
        <w:rPr>
          <w:rFonts w:ascii="Consolas" w:hAnsi="Consolas"/>
          <w:color w:val="1E1E1E"/>
          <w:sz w:val="17"/>
        </w:rPr>
        <w:t>Algorithm 1: EFSA Event Fusion Score</w:t>
        <w:br/>
        <w:t>Input: Article A, Candidate Event E</w:t>
        <w:br/>
        <w:t>Output: Composite Fusion Score S_EFSA in [0, 1]</w:t>
        <w:br/>
        <w:t>1: S_key  &lt;- calculateJaccardSimilarity(A.title, E.title)</w:t>
        <w:br/>
        <w:t>2: S_head &lt;- calculateChar3GramCosine(A.title, E.title)</w:t>
        <w:br/>
        <w:t>3: S_ent  &lt;- calculateEntityOverlap(A.content, E.summary)</w:t>
        <w:br/>
        <w:t>4: S_temp &lt;- exp(-0.02 * hoursBetween(A.pubDate, E.firstReported))</w:t>
        <w:br/>
        <w:t>5: S_sec  &lt;- matchSectorTaxonomy(A.category, E.category)</w:t>
        <w:br/>
        <w:t>6: S_EFSA &lt;- 0.25*S_key + 0.30*S_head + 0.25*S_ent + 0.10*S_temp + 0.10*S_sec</w:t>
        <w:br/>
        <w:t>7: return S_EFSA</w:t>
      </w:r>
    </w:p>
    <w:p>
      <w:pPr>
        <w:pStyle w:val="Heading3"/>
      </w:pPr>
      <w:r>
        <w:t>3.7 Algorithm 2: Dynamic Publisher Credibility Scoring (DPCS)</w:t>
      </w:r>
    </w:p>
    <w:p>
      <w:r>
        <w:t>DPCS maintains an online, self-learning trust record for each publisher domain. For each processed article outcome, four component indicators are computed:</w:t>
      </w:r>
    </w:p>
    <w:p>
      <w:r>
        <w:rPr>
          <w:rFonts w:ascii="Cambria Math" w:hAnsi="Cambria Math"/>
          <w:i/>
        </w:rPr>
      </w:r>
      <w:r>
        <w:t>R_{\text{agree}} = \frac{N_{\text{supporting}} + 0.5 N_{\text{neutral}}}{N_{\text{total}}}, \quad I_{\text{time}} = \max\left(0, 1 - \frac{\Delta t}{48}\right), \quad F_{\text{cov}} = \min\left(1, \frac{N_{\text{total}}}{20}\right), \quad P_{\text{contra}} = \frac{N_{\text{contradicting}}}{N_{\text{total}}} \tag{6}</w:t>
      </w:r>
      <w:r>
        <w:rPr>
          <w:rFonts w:ascii="Cambria Math" w:hAnsi="Cambria Math"/>
          <w:i/>
        </w:rPr>
      </w:r>
    </w:p>
    <w:p>
      <w:r>
        <w:t xml:space="preserve">These indicators are combined into a bounded composite raw score </w:t>
      </w:r>
      <w:r>
        <w:rPr>
          <w:rFonts w:ascii="Cambria Math" w:hAnsi="Cambria Math"/>
          <w:i/>
        </w:rPr>
        <w:t>C_{\text{raw}} \in [0, 100]</w:t>
      </w:r>
      <w:r>
        <w:t>:</w:t>
      </w:r>
    </w:p>
    <w:p>
      <w:r>
        <w:rPr>
          <w:rFonts w:ascii="Cambria Math" w:hAnsi="Cambria Math"/>
          <w:i/>
        </w:rPr>
      </w:r>
      <w:r>
        <w:t>C_{\text{raw}} = 100 \cdot \text{clip}\left(0.40 R_{\text{agree}} + 0.25 I_{\text{time}} + 0.20 F_{\text{cov}} - 0.15 P_{\text{contra}}, 0, 1\right) \tag{7}</w:t>
      </w:r>
      <w:r>
        <w:rPr>
          <w:rFonts w:ascii="Cambria Math" w:hAnsi="Cambria Math"/>
          <w:i/>
        </w:rPr>
      </w:r>
    </w:p>
    <w:p>
      <w:r>
        <w:t xml:space="preserve">The publisher's trust score </w:t>
      </w:r>
      <w:r>
        <w:rPr>
          <w:rFonts w:ascii="Cambria Math" w:hAnsi="Cambria Math"/>
          <w:i/>
        </w:rPr>
        <w:t>C_{\text{pub}}^{(t)}</w:t>
      </w:r>
      <w:r>
        <w:t xml:space="preserve"> is updated via Exponential Moving Average (EMA) smoothing (</w:t>
      </w:r>
      <w:r>
        <w:rPr>
          <w:rFonts w:ascii="Cambria Math" w:hAnsi="Cambria Math"/>
          <w:i/>
        </w:rPr>
        <w:t>\alpha = 0.20</w:t>
      </w:r>
      <w:r>
        <w:t xml:space="preserve">, baseline </w:t>
      </w:r>
      <w:r>
        <w:rPr>
          <w:rFonts w:ascii="Cambria Math" w:hAnsi="Cambria Math"/>
          <w:i/>
        </w:rPr>
        <w:t>C_{\text{pub}}^{(0)} = 85.0</w:t>
      </w:r>
      <w:r>
        <w:t>):</w:t>
      </w:r>
    </w:p>
    <w:p>
      <w:r>
        <w:rPr>
          <w:rFonts w:ascii="Cambria Math" w:hAnsi="Cambria Math"/>
          <w:i/>
        </w:rPr>
      </w:r>
      <w:r>
        <w:t>C_{\text{pub}}^{(t)} = 0.20 C_{\text{raw}} + 0.80 C_{\text{pub}}^{(t-1)} \tag{8}</w:t>
      </w:r>
      <w:r>
        <w:rPr>
          <w:rFonts w:ascii="Cambria Math" w:hAnsi="Cambria Math"/>
          <w:i/>
        </w:rPr>
      </w:r>
    </w:p>
    <w:p>
      <w:pPr>
        <w:spacing w:before="80" w:after="120"/>
        <w:ind w:left="360"/>
      </w:pPr>
      <w:r>
        <w:rPr>
          <w:rFonts w:ascii="Consolas" w:hAnsi="Consolas"/>
          <w:color w:val="1E1E1E"/>
          <w:sz w:val="17"/>
        </w:rPr>
        <w:t>Algorithm 2: DPCS Online Credibility Update</w:t>
        <w:br/>
        <w:t>Input: Publisher domain D, Outcome Metadata M (stance, timeOffset)</w:t>
        <w:br/>
        <w:t>Output: Updated Credibility Score C_pub(t) in [0, 100]</w:t>
        <w:br/>
        <w:t>1: Record R &lt;- getOrCreatePublisherRecord(D, baseline=85.0)</w:t>
        <w:br/>
        <w:t>2: updateDispatchCounts(R, M.stance)</w:t>
        <w:br/>
        <w:t>3: R_agree &lt;- (R.supporting + 0.5*R.neutral) / R.totalDispatches</w:t>
        <w:br/>
        <w:t>4: I_time  &lt;- max(0.0, 1.0 - (M.timeOffset / 48.0))</w:t>
        <w:br/>
        <w:t>5: F_cov   &lt;- min(1.0, R.totalDispatches / 20.0)</w:t>
        <w:br/>
        <w:t>6: P_contra&lt;- R.contradicting / R.totalDispatches</w:t>
        <w:br/>
        <w:t>7: C_raw   &lt;- 100.0 * clamp(0.40*R_agree + 0.25*I_time + 0.20*F_cov - 0.15*P_contra, 0.0, 1.0)</w:t>
        <w:br/>
        <w:t>8: C_pub   &lt;- 0.20 * C_raw + 0.80 * R.credibilityScore</w:t>
        <w:br/>
        <w:t>9: R.credibilityScore &lt;- C_pub</w:t>
        <w:br/>
        <w:t>10: return C_pub</w:t>
      </w:r>
    </w:p>
    <w:p>
      <w:r>
        <w:t xml:space="preserve">&gt; </w:t>
      </w:r>
      <w:r>
        <w:rPr>
          <w:b/>
        </w:rPr>
        <w:t>Implementation Note:</w:t>
      </w:r>
      <w:r>
        <w:t xml:space="preserve"> DPCS's trust-scaling gating multiplier (</w:t>
      </w:r>
      <w:r>
        <w:rPr>
          <w:rFonts w:ascii="Cambria Math" w:hAnsi="Cambria Math"/>
          <w:i/>
        </w:rPr>
        <w:t>S_{\text{EFSA+DPCS}} = S_{\text{EFSA}} \times [0.8 + 0.2 \cdot (C_{\text{pub}}/100)]</w:t>
      </w:r>
      <w:r>
        <w:t>) is fully implemented in code (</w:t>
      </w:r>
      <w:r>
        <w:rPr>
          <w:rFonts w:ascii="Consolas" w:hAnsi="Consolas"/>
          <w:color w:val="B42828"/>
          <w:sz w:val="19"/>
        </w:rPr>
        <w:t>backend/utils/dpcsEngine.js</w:t>
      </w:r>
      <w:r>
        <w:t xml:space="preserve">) and evaluated offline across benchmark operating points, but is </w:t>
      </w:r>
      <w:r>
        <w:rPr>
          <w:b/>
        </w:rPr>
        <w:t>not currently wired into the live production gate</w:t>
      </w:r>
      <w:r>
        <w:t>, which uses the canonical baseline two-stage filter.</w:t>
      </w:r>
    </w:p>
    <w:p>
      <w:pPr>
        <w:pStyle w:val="Heading3"/>
      </w:pPr>
      <w:r>
        <w:t>3.8 Corroboration Confidence Metric &amp; Publisher Divergence</w:t>
      </w:r>
    </w:p>
    <w:p>
      <w:r>
        <w:t xml:space="preserve">When </w:t>
      </w:r>
      <w:r>
        <w:rPr>
          <w:rFonts w:ascii="Cambria Math" w:hAnsi="Cambria Math"/>
          <w:i/>
        </w:rPr>
        <w:t>N</w:t>
      </w:r>
      <w:r>
        <w:t xml:space="preserve"> articles are linked to an event node, NISE calculates a deterministic corroboration confidence metric </w:t>
      </w:r>
      <w:r>
        <w:rPr>
          <w:rFonts w:ascii="Cambria Math" w:hAnsi="Cambria Math"/>
          <w:i/>
        </w:rPr>
        <w:t>C(N)</w:t>
      </w:r>
      <w:r>
        <w:t>:</w:t>
      </w:r>
    </w:p>
    <w:p>
      <w:r>
        <w:rPr>
          <w:rFonts w:ascii="Cambria Math" w:hAnsi="Cambria Math"/>
          <w:i/>
        </w:rPr>
      </w:r>
      <w:r>
        <w:t>C(N) = \begin{cases} 35\%, &amp; \text{if } N = 1 \quad \text{(Single-source unverified report)} \\ 65\%, &amp; \text{if } N = 2 \quad \text{(Dual-source corroborated event)} \\ 90\%, &amp; \text{if } N \ge 3 \quad \text{(Multi-source high-confidence consensus)} \end{cases} \tag{9}</w:t>
      </w:r>
      <w:r>
        <w:rPr>
          <w:rFonts w:ascii="Cambria Math" w:hAnsi="Cambria Math"/>
          <w:i/>
        </w:rPr>
      </w:r>
    </w:p>
    <w:p>
      <w:r>
        <w:t xml:space="preserve">The </w:t>
      </w:r>
      <w:r>
        <w:rPr>
          <w:rFonts w:ascii="Consolas" w:hAnsi="Consolas"/>
          <w:color w:val="B42828"/>
          <w:sz w:val="19"/>
        </w:rPr>
        <w:t>detectStancesAndDivergence()</w:t>
      </w:r>
      <w:r>
        <w:t xml:space="preserve"> module evaluates multi-source clusters, classifying each publisher's stance (</w:t>
      </w:r>
      <w:r>
        <w:rPr>
          <w:rFonts w:ascii="Consolas" w:hAnsi="Consolas"/>
          <w:color w:val="B42828"/>
          <w:sz w:val="19"/>
        </w:rPr>
        <w:t>Supporting</w:t>
      </w:r>
      <w:r>
        <w:t xml:space="preserve">, </w:t>
      </w:r>
      <w:r>
        <w:rPr>
          <w:rFonts w:ascii="Consolas" w:hAnsi="Consolas"/>
          <w:color w:val="B42828"/>
          <w:sz w:val="19"/>
        </w:rPr>
        <w:t>Contradicting</w:t>
      </w:r>
      <w:r>
        <w:t xml:space="preserve">, or </w:t>
      </w:r>
      <w:r>
        <w:rPr>
          <w:rFonts w:ascii="Consolas" w:hAnsi="Consolas"/>
          <w:color w:val="B42828"/>
          <w:sz w:val="19"/>
        </w:rPr>
        <w:t>Neutral</w:t>
      </w:r>
      <w:r>
        <w:t xml:space="preserve">). The quantitative </w:t>
      </w:r>
      <w:r>
        <w:rPr>
          <w:b/>
        </w:rPr>
        <w:t>Publisher Divergence Score</w:t>
      </w:r>
      <w:r>
        <w:t xml:space="preserve"> (</w:t>
      </w:r>
      <w:r>
        <w:rPr>
          <w:rFonts w:ascii="Cambria Math" w:hAnsi="Cambria Math"/>
          <w:i/>
        </w:rPr>
        <w:t>D</w:t>
      </w:r>
      <w:r>
        <w:t>) is computed as:</w:t>
      </w:r>
    </w:p>
    <w:p>
      <w:r>
        <w:rPr>
          <w:rFonts w:ascii="Cambria Math" w:hAnsi="Cambria Math"/>
          <w:i/>
        </w:rPr>
      </w:r>
      <w:r>
        <w:t>D = \left( \frac{N_{\text{contradicting}}}{N_{\text{total}}} \right) \times 100\% \tag{10}</w:t>
      </w:r>
      <w:r>
        <w:rPr>
          <w:rFonts w:ascii="Cambria Math" w:hAnsi="Cambria Math"/>
          <w:i/>
        </w:rPr>
      </w:r>
    </w:p>
    <w:p>
      <w:r>
        <w:t xml:space="preserve">where </w:t>
      </w:r>
      <w:r>
        <w:rPr>
          <w:rFonts w:ascii="Cambria Math" w:hAnsi="Cambria Math"/>
          <w:i/>
        </w:rPr>
        <w:t>D \in [0, 100]</w:t>
      </w:r>
      <w:r>
        <w:t xml:space="preserve">. A score of </w:t>
      </w:r>
      <w:r>
        <w:rPr>
          <w:rFonts w:ascii="Cambria Math" w:hAnsi="Cambria Math"/>
          <w:i/>
        </w:rPr>
        <w:t>D = 0\%</w:t>
      </w:r>
      <w:r>
        <w:t xml:space="preserve"> indicates full publisher alignment, while higher values alert readers to major editorial disagreement.</w:t>
      </w:r>
    </w:p>
    <w:p>
      <w:pPr>
        <w:pStyle w:val="Heading3"/>
      </w:pPr>
      <w:r>
        <w:t>3.9 Iterative Hallucination Guardrail Reflection Loop</w:t>
      </w:r>
    </w:p>
    <w:p>
      <w:r>
        <w:t xml:space="preserve">Large language models frequently suffer from hallucinations—generating fabricated statistics, unsupported named entities, or ungrounded causal claims [10], [11]. To eliminate AI hallucinations in fused summaries, </w:t>
      </w:r>
      <w:r>
        <w:rPr>
          <w:rFonts w:ascii="Consolas" w:hAnsi="Consolas"/>
          <w:color w:val="B42828"/>
          <w:sz w:val="19"/>
        </w:rPr>
        <w:t>verifyFactualityAndReflect()</w:t>
      </w:r>
      <w:r>
        <w:t xml:space="preserve"> executes a two-pass verification loop:</w:t>
      </w:r>
    </w:p>
    <w:p>
      <w:pPr>
        <w:pStyle w:val="ListNumber"/>
      </w:pPr>
      <w:r>
        <w:rPr>
          <w:b/>
        </w:rPr>
        <w:t>Pass 1 (Factuality Audit):</w:t>
      </w:r>
      <w:r>
        <w:t xml:space="preserve"> The agent audits the fused summary against raw source snippets for three specific defects: fabricated numbers, unsupported named entities, or unverified causal claims.</w:t>
      </w:r>
    </w:p>
    <w:p>
      <w:pPr>
        <w:pStyle w:val="ListNumber"/>
      </w:pPr>
      <w:r>
        <w:rPr>
          <w:b/>
        </w:rPr>
        <w:t>Pass 2 (Reflection Re-Generation):</w:t>
      </w:r>
      <w:r>
        <w:t xml:space="preserve"> If Pass 1 fails (</w:t>
      </w:r>
      <w:r>
        <w:rPr>
          <w:rFonts w:ascii="Consolas" w:hAnsi="Consolas"/>
          <w:color w:val="B42828"/>
          <w:sz w:val="19"/>
        </w:rPr>
        <w:t>passed = false</w:t>
      </w:r>
      <w:r>
        <w:t xml:space="preserve">), the system injects the specific </w:t>
      </w:r>
      <w:r>
        <w:rPr>
          <w:rFonts w:ascii="Consolas" w:hAnsi="Consolas"/>
          <w:color w:val="B42828"/>
          <w:sz w:val="19"/>
        </w:rPr>
        <w:t>correction_needed</w:t>
      </w:r>
      <w:r>
        <w:t xml:space="preserve"> feedback into a self-correcting prompt, forcing Llama 3 to re-synthesize a compliant summary before saving.</w:t>
      </w:r>
    </w:p>
    <w:p>
      <w:r>
        <w:t xml:space="preserve">This two-pass audit-then-regenerate feedback design draws on the Reflexion paradigm (Shinn et al. [12]), using verbal reinforcement feedback to self-correct non-compliant generations. Audit results are logged in the event's </w:t>
      </w:r>
      <w:r>
        <w:rPr>
          <w:rFonts w:ascii="Consolas" w:hAnsi="Consolas"/>
          <w:color w:val="B42828"/>
          <w:sz w:val="19"/>
        </w:rPr>
        <w:t>reflection_logs</w:t>
      </w:r>
      <w:r>
        <w:t xml:space="preserve"> array, setting </w:t>
      </w:r>
      <w:r>
        <w:rPr>
          <w:rFonts w:ascii="Consolas" w:hAnsi="Consolas"/>
          <w:color w:val="B42828"/>
          <w:sz w:val="19"/>
        </w:rPr>
        <w:t>factuality_verified = true</w:t>
      </w:r>
      <w:r>
        <w:t>.</w:t>
      </w:r>
    </w:p>
    <w:p>
      <w:pPr>
        <w:pStyle w:val="Heading3"/>
      </w:pPr>
      <w:r>
        <w:t>3.10 Autonomous Webhook Broadcasting &amp; Self-Healing Engine</w:t>
      </w:r>
    </w:p>
    <w:p>
      <w:r>
        <w:rPr>
          <w:rFonts w:ascii="Consolas" w:hAnsi="Consolas"/>
          <w:color w:val="B42828"/>
          <w:sz w:val="19"/>
        </w:rPr>
        <w:t>socialBroadcast.js</w:t>
      </w:r>
      <w:r>
        <w:t xml:space="preserve"> dispatches standardized JSON payloads (</w:t>
      </w:r>
      <w:r>
        <w:rPr>
          <w:rFonts w:ascii="Consolas" w:hAnsi="Consolas"/>
          <w:color w:val="B42828"/>
          <w:sz w:val="19"/>
        </w:rPr>
        <w:t>event: 'NEW_ARTICLE_BROADCAST'</w:t>
      </w:r>
      <w:r>
        <w:t>) to external automation receivers (Make.com, Zapier, n8n, Discord, Telegram), implementing a production-grade webhook syndication pattern for automated content delivery.</w:t>
      </w:r>
    </w:p>
    <w:p>
      <w:pPr>
        <w:pStyle w:val="Heading4"/>
      </w:pPr>
      <w:r>
        <w:t>Smart-Queue Staggered Drip-Feeding</w:t>
      </w:r>
    </w:p>
    <w:p>
      <w:r>
        <w:t xml:space="preserve">Batch dispatches are assigned staggered </w:t>
      </w:r>
      <w:r>
        <w:rPr>
          <w:rFonts w:ascii="Consolas" w:hAnsi="Consolas"/>
          <w:color w:val="B42828"/>
          <w:sz w:val="19"/>
        </w:rPr>
        <w:t>scheduled_broadcast_time</w:t>
      </w:r>
      <w:r>
        <w:t xml:space="preserve"> timestamps offset by 1-hour gaps (</w:t>
      </w:r>
      <w:r>
        <w:rPr>
          <w:rFonts w:ascii="Cambria Math" w:hAnsi="Cambria Math"/>
          <w:i/>
        </w:rPr>
        <w:t>T_i = T_0 + i \times 3600000\text{ ms}</w:t>
      </w:r>
      <w:r>
        <w:t>), preventing social platform rate limits.</w:t>
      </w:r>
    </w:p>
    <w:p>
      <w:pPr>
        <w:pStyle w:val="Heading4"/>
      </w:pPr>
      <w:r>
        <w:t>Webhook Self-Healing Retry Logic</w:t>
      </w:r>
    </w:p>
    <w:p>
      <w:r>
        <w:t xml:space="preserve">If a dispatch fails, the engine catches the exception, increments </w:t>
      </w:r>
      <w:r>
        <w:rPr>
          <w:rFonts w:ascii="Consolas" w:hAnsi="Consolas"/>
          <w:color w:val="B42828"/>
          <w:sz w:val="19"/>
        </w:rPr>
        <w:t>retry_count</w:t>
      </w:r>
      <w:r>
        <w:t>, and reschedules execution 15 minutes into the future (</w:t>
      </w:r>
      <w:r>
        <w:rPr>
          <w:rFonts w:ascii="Cambria Math" w:hAnsi="Cambria Math"/>
          <w:i/>
        </w:rPr>
        <w:t>T_{\text{retry}} = T_{\text{failure}} + 15\text{ minutes}</w:t>
      </w:r>
      <w:r>
        <w:t xml:space="preserve">). If </w:t>
      </w:r>
      <w:r>
        <w:rPr>
          <w:rFonts w:ascii="Consolas" w:hAnsi="Consolas"/>
          <w:color w:val="B42828"/>
          <w:sz w:val="19"/>
        </w:rPr>
        <w:t>retry_count</w:t>
      </w:r>
      <w:r>
        <w:t xml:space="preserve"> reaches 3 without success, </w:t>
      </w:r>
      <w:r>
        <w:rPr>
          <w:rFonts w:ascii="Consolas" w:hAnsi="Consolas"/>
          <w:color w:val="B42828"/>
          <w:sz w:val="19"/>
        </w:rPr>
        <w:t>broadcast_status</w:t>
      </w:r>
      <w:r>
        <w:t xml:space="preserve"> transitions to </w:t>
      </w:r>
      <w:r>
        <w:rPr>
          <w:rFonts w:ascii="Consolas" w:hAnsi="Consolas"/>
          <w:color w:val="B42828"/>
          <w:sz w:val="19"/>
        </w:rPr>
        <w:t>'failed'</w:t>
      </w:r>
      <w:r>
        <w:t>, logging the exact error trace (</w:t>
      </w:r>
      <w:r>
        <w:rPr>
          <w:rFonts w:ascii="Consolas" w:hAnsi="Consolas"/>
          <w:color w:val="B42828"/>
          <w:sz w:val="19"/>
        </w:rPr>
        <w:t>broadcast_error</w:t>
      </w:r>
      <w:r>
        <w:t>).</w:t>
      </w:r>
    </w:p>
    <w:p>
      <w:pPr>
        <w:pStyle w:val="Heading4"/>
      </w:pPr>
      <w:r>
        <w:t>Broadcast Idempotency Lock</w:t>
      </w:r>
    </w:p>
    <w:p>
      <w:r>
        <w:t xml:space="preserve">Before dispatching, the engine validates </w:t>
      </w:r>
      <w:r>
        <w:rPr>
          <w:rFonts w:ascii="Consolas" w:hAnsi="Consolas"/>
          <w:color w:val="B42828"/>
          <w:sz w:val="19"/>
        </w:rPr>
        <w:t>broadcast_status === 'pending'</w:t>
      </w:r>
      <w:r>
        <w:t xml:space="preserve">. Dispatches with status </w:t>
      </w:r>
      <w:r>
        <w:rPr>
          <w:rFonts w:ascii="Consolas" w:hAnsi="Consolas"/>
          <w:color w:val="B42828"/>
          <w:sz w:val="19"/>
        </w:rPr>
        <w:t>'broadcasted'</w:t>
      </w:r>
      <w:r>
        <w:t xml:space="preserve"> are skipped unless explicitly overridden by a manual user trigger (</w:t>
      </w:r>
      <w:r>
        <w:rPr>
          <w:rFonts w:ascii="Consolas" w:hAnsi="Consolas"/>
          <w:color w:val="B42828"/>
          <w:sz w:val="19"/>
        </w:rPr>
        <w:t>{ force: true }</w:t>
      </w:r>
      <w:r>
        <w:t>).</w:t>
      </w:r>
    </w:p>
    <w:p>
      <w:pPr>
        <w:pStyle w:val="Heading3"/>
      </w:pPr>
      <w:r>
        <w:t>3.11 Evergreen Content Recirculation Engine (</w:t>
      </w:r>
      <w:r>
        <w:rPr>
          <w:rFonts w:ascii="Consolas" w:hAnsi="Consolas"/>
          <w:color w:val="B42828"/>
          <w:sz w:val="19"/>
        </w:rPr>
        <w:t>recirculateEngine.js</w:t>
      </w:r>
      <w:r>
        <w:t>)</w:t>
      </w:r>
    </w:p>
    <w:p>
      <w:r>
        <w:t xml:space="preserve">To maintain feed engagement during low wire activity, </w:t>
      </w:r>
      <w:r>
        <w:rPr>
          <w:rFonts w:ascii="Consolas" w:hAnsi="Consolas"/>
          <w:color w:val="B42828"/>
          <w:sz w:val="19"/>
        </w:rPr>
        <w:t>recirculateEvergreenArticles()</w:t>
      </w:r>
      <w:r>
        <w:t xml:space="preserve"> is scheduled via a daily </w:t>
      </w:r>
      <w:r>
        <w:rPr>
          <w:rFonts w:ascii="Consolas" w:hAnsi="Consolas"/>
          <w:color w:val="B42828"/>
          <w:sz w:val="19"/>
        </w:rPr>
        <w:t>node-cron</w:t>
      </w:r>
      <w:r>
        <w:t xml:space="preserve"> background job (</w:t>
      </w:r>
      <w:r>
        <w:rPr>
          <w:rFonts w:ascii="Consolas" w:hAnsi="Consolas"/>
          <w:color w:val="B42828"/>
          <w:sz w:val="19"/>
        </w:rPr>
        <w:t>0 12 * * *</w:t>
      </w:r>
      <w:r>
        <w:t xml:space="preserve"> at 12:00 PM UTC) to scan MongoDB for high-confidence articles linked to events with </w:t>
      </w:r>
      <w:r>
        <w:rPr>
          <w:rFonts w:ascii="Cambria Math" w:hAnsi="Cambria Math"/>
          <w:i/>
        </w:rPr>
        <w:t>C(N) \ge 90\%</w:t>
      </w:r>
      <w:r>
        <w:t xml:space="preserve"> created </w:t>
      </w:r>
      <w:r>
        <w:rPr>
          <w:rFonts w:ascii="Cambria Math" w:hAnsi="Cambria Math"/>
          <w:i/>
        </w:rPr>
        <w:t>&gt;48</w:t>
      </w:r>
      <w:r>
        <w:t xml:space="preserve"> hours ago that have not been recirculated (</w:t>
      </w:r>
      <w:r>
        <w:rPr>
          <w:rFonts w:ascii="Consolas" w:hAnsi="Consolas"/>
          <w:color w:val="B42828"/>
          <w:sz w:val="19"/>
        </w:rPr>
        <w:t>is_recirculated !== true</w:t>
      </w:r>
      <w:r>
        <w:t xml:space="preserve">). It prepends </w:t>
      </w:r>
      <w:r>
        <w:rPr>
          <w:rFonts w:ascii="Consolas" w:hAnsi="Consolas"/>
          <w:color w:val="B42828"/>
          <w:sz w:val="19"/>
        </w:rPr>
        <w:t>"ICYMI: "</w:t>
      </w:r>
      <w:r>
        <w:t xml:space="preserve"> </w:t>
      </w:r>
      <w:r>
        <w:rPr>
          <w:i/>
        </w:rPr>
        <w:t>(In Case You Missed It)</w:t>
      </w:r>
      <w:r>
        <w:t xml:space="preserve"> to the caption, sets </w:t>
      </w:r>
      <w:r>
        <w:rPr>
          <w:rFonts w:ascii="Consolas" w:hAnsi="Consolas"/>
          <w:color w:val="B42828"/>
          <w:sz w:val="19"/>
        </w:rPr>
        <w:t>is_recirculated = true</w:t>
      </w:r>
      <w:r>
        <w:t>, and safely re-queues a single article instance through the drip queue, guaranteeing zero spam risk.</w:t>
      </w:r>
    </w:p>
    <w:p>
      <w:pPr>
        <w:jc w:val="center"/>
      </w:pPr>
      <w:r>
        <w:rPr>
          <w:color w:val="969696"/>
        </w:rPr>
        <w:t>─────── ❖ ───────</w:t>
      </w:r>
    </w:p>
    <w:p>
      <w:pPr>
        <w:pStyle w:val="Heading2"/>
      </w:pPr>
      <w:r>
        <w:t>IV. IMPLEMENTATION</w:t>
      </w:r>
    </w:p>
    <w:p>
      <w:pPr>
        <w:pStyle w:val="Heading3"/>
      </w:pPr>
      <w:r>
        <w:t>4.1 Implementation Overview</w:t>
      </w:r>
    </w:p>
    <w:p>
      <w:r>
        <w:t>NISE is implemented as a decoupled client-server system realizing the methodology of Section III as a modular, independently-deployable pipeline organized across five architectural layers.</w:t>
      </w:r>
    </w:p>
    <w:p>
      <w:pPr>
        <w:pStyle w:val="Heading3"/>
      </w:pPr>
      <w:r>
        <w:t>4.2 Development Environment</w:t>
      </w:r>
    </w:p>
    <w:p>
      <w:r>
        <w:rPr>
          <w:b/>
        </w:rPr>
        <w:t>TABLE II: DEVELOPMENT ENVIRONMENT &amp; TECHNOLOGY STACK</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F0F4F8"/>
          </w:tcPr>
          <w:p>
            <w:pPr>
              <w:spacing w:before="60" w:after="60"/>
            </w:pPr>
            <w:r>
              <w:rPr>
                <w:b/>
              </w:rPr>
            </w:r>
            <w:r>
              <w:rPr>
                <w:b/>
              </w:rPr>
              <w:t>Component</w:t>
            </w:r>
          </w:p>
        </w:tc>
        <w:tc>
          <w:tcPr>
            <w:tcW w:type="dxa" w:w="3120"/>
            <w:shd w:fill="F0F4F8"/>
          </w:tcPr>
          <w:p>
            <w:pPr>
              <w:spacing w:before="60" w:after="60"/>
            </w:pPr>
            <w:r>
              <w:rPr>
                <w:b/>
              </w:rPr>
            </w:r>
            <w:r>
              <w:rPr>
                <w:b/>
              </w:rPr>
              <w:t>Technology</w:t>
            </w:r>
          </w:p>
        </w:tc>
        <w:tc>
          <w:tcPr>
            <w:tcW w:type="dxa" w:w="3120"/>
            <w:shd w:fill="F0F4F8"/>
          </w:tcPr>
          <w:p>
            <w:pPr>
              <w:spacing w:before="60" w:after="60"/>
            </w:pPr>
            <w:r>
              <w:rPr>
                <w:b/>
              </w:rPr>
            </w:r>
            <w:r>
              <w:rPr>
                <w:b/>
              </w:rPr>
              <w:t>Justification</w:t>
            </w:r>
          </w:p>
        </w:tc>
      </w:tr>
      <w:tr>
        <w:tc>
          <w:tcPr>
            <w:tcW w:type="dxa" w:w="3120"/>
          </w:tcPr>
          <w:p>
            <w:pPr>
              <w:spacing w:before="60" w:after="60"/>
            </w:pPr>
            <w:r/>
            <w:r>
              <w:t>Backend Runtime</w:t>
            </w:r>
          </w:p>
        </w:tc>
        <w:tc>
          <w:tcPr>
            <w:tcW w:type="dxa" w:w="3120"/>
          </w:tcPr>
          <w:p>
            <w:pPr>
              <w:spacing w:before="60" w:after="60"/>
            </w:pPr>
            <w:r/>
            <w:r>
              <w:t>Node.js, Express 5</w:t>
            </w:r>
          </w:p>
        </w:tc>
        <w:tc>
          <w:tcPr>
            <w:tcW w:type="dxa" w:w="3120"/>
          </w:tcPr>
          <w:p>
            <w:pPr>
              <w:spacing w:before="60" w:after="60"/>
            </w:pPr>
            <w:r/>
            <w:r>
              <w:t>Non-blocking I/O suited to a pipeline dominated by network-bound operations (RSS fetches, LLM calls, webhook dispatches) rather than CPU-bound computation</w:t>
            </w:r>
          </w:p>
        </w:tc>
      </w:tr>
      <w:tr>
        <w:tc>
          <w:tcPr>
            <w:tcW w:type="dxa" w:w="3120"/>
          </w:tcPr>
          <w:p>
            <w:pPr>
              <w:spacing w:before="60" w:after="60"/>
            </w:pPr>
            <w:r/>
            <w:r>
              <w:t>Persistence</w:t>
            </w:r>
          </w:p>
        </w:tc>
        <w:tc>
          <w:tcPr>
            <w:tcW w:type="dxa" w:w="3120"/>
          </w:tcPr>
          <w:p>
            <w:pPr>
              <w:spacing w:before="60" w:after="60"/>
            </w:pPr>
            <w:r/>
            <w:r>
              <w:t>MongoDB Atlas, Mongoose 9</w:t>
            </w:r>
          </w:p>
        </w:tc>
        <w:tc>
          <w:tcPr>
            <w:tcW w:type="dxa" w:w="3120"/>
          </w:tcPr>
          <w:p>
            <w:pPr>
              <w:spacing w:before="60" w:after="60"/>
            </w:pPr>
            <w:r/>
            <w:r>
              <w:t>Document model accommodates event records whose structure varies with corroboration count and evolving metadata, avoiding frequent schema migration</w:t>
            </w:r>
          </w:p>
        </w:tc>
      </w:tr>
      <w:tr>
        <w:tc>
          <w:tcPr>
            <w:tcW w:type="dxa" w:w="3120"/>
          </w:tcPr>
          <w:p>
            <w:pPr>
              <w:spacing w:before="60" w:after="60"/>
            </w:pPr>
            <w:r/>
            <w:r>
              <w:t>LLM Inference</w:t>
            </w:r>
          </w:p>
        </w:tc>
        <w:tc>
          <w:tcPr>
            <w:tcW w:type="dxa" w:w="3120"/>
          </w:tcPr>
          <w:p>
            <w:pPr>
              <w:spacing w:before="60" w:after="60"/>
            </w:pPr>
            <w:r/>
            <w:r>
              <w:t xml:space="preserve">Groq SDK, </w:t>
            </w:r>
            <w:r>
              <w:rPr>
                <w:rFonts w:ascii="Consolas" w:hAnsi="Consolas"/>
                <w:color w:val="B42828"/>
                <w:sz w:val="19"/>
              </w:rPr>
              <w:t>llama-3.1-8b-instant</w:t>
            </w:r>
          </w:p>
        </w:tc>
        <w:tc>
          <w:tcPr>
            <w:tcW w:type="dxa" w:w="3120"/>
          </w:tcPr>
          <w:p>
            <w:pPr>
              <w:spacing w:before="60" w:after="60"/>
            </w:pPr>
            <w:r/>
            <w:r>
              <w:t>Open-weight model on dedicated inference hardware, avoiding proprietary per-token cost and rate-limit constraints encountered during development (Section 4.9)</w:t>
            </w:r>
          </w:p>
        </w:tc>
      </w:tr>
      <w:tr>
        <w:tc>
          <w:tcPr>
            <w:tcW w:type="dxa" w:w="3120"/>
          </w:tcPr>
          <w:p>
            <w:pPr>
              <w:spacing w:before="60" w:after="60"/>
            </w:pPr>
            <w:r/>
            <w:r>
              <w:t>Scheduling</w:t>
            </w:r>
          </w:p>
        </w:tc>
        <w:tc>
          <w:tcPr>
            <w:tcW w:type="dxa" w:w="3120"/>
          </w:tcPr>
          <w:p>
            <w:pPr>
              <w:spacing w:before="60" w:after="60"/>
            </w:pPr>
            <w:r/>
            <w:r>
              <w:t>node-cron</w:t>
            </w:r>
          </w:p>
        </w:tc>
        <w:tc>
          <w:tcPr>
            <w:tcW w:type="dxa" w:w="3120"/>
          </w:tcPr>
          <w:p>
            <w:pPr>
              <w:spacing w:before="60" w:after="60"/>
            </w:pPr>
            <w:r/>
            <w:r>
              <w:t>Lightweight in-process scheduling without external job-queue infrastructure</w:t>
            </w:r>
          </w:p>
        </w:tc>
      </w:tr>
      <w:tr>
        <w:tc>
          <w:tcPr>
            <w:tcW w:type="dxa" w:w="3120"/>
          </w:tcPr>
          <w:p>
            <w:pPr>
              <w:spacing w:before="60" w:after="60"/>
            </w:pPr>
            <w:r/>
            <w:r>
              <w:t>Frontend</w:t>
            </w:r>
          </w:p>
        </w:tc>
        <w:tc>
          <w:tcPr>
            <w:tcW w:type="dxa" w:w="3120"/>
          </w:tcPr>
          <w:p>
            <w:pPr>
              <w:spacing w:before="60" w:after="60"/>
            </w:pPr>
            <w:r/>
            <w:r>
              <w:t>React 19, Vite 8, Tailwind CSS 4</w:t>
            </w:r>
          </w:p>
        </w:tc>
        <w:tc>
          <w:tcPr>
            <w:tcW w:type="dxa" w:w="3120"/>
          </w:tcPr>
          <w:p>
            <w:pPr>
              <w:spacing w:before="60" w:after="60"/>
            </w:pPr>
            <w:r/>
            <w:r>
              <w:t>Component-based presentation layer with fast development iteration</w:t>
            </w:r>
          </w:p>
        </w:tc>
      </w:tr>
    </w:tbl>
    <w:p/>
    <w:p>
      <w:pPr>
        <w:pStyle w:val="Heading3"/>
      </w:pPr>
      <w:r>
        <w:t>4.3 Software Architecture</w:t>
      </w:r>
    </w:p>
    <w:p>
      <w:pPr>
        <w:spacing w:before="80" w:after="120"/>
        <w:ind w:left="360"/>
      </w:pPr>
      <w:r>
        <w:rPr>
          <w:rFonts w:ascii="Consolas" w:hAnsi="Consolas"/>
          <w:color w:val="1E1E1E"/>
          <w:sz w:val="17"/>
        </w:rPr>
        <w:t xml:space="preserve">        ┌─────────────────────────────┐</w:t>
        <w:br/>
        <w:t xml:space="preserve">        │   Presentation Layer        │  Dashboard, operator console</w:t>
        <w:br/>
        <w:t xml:space="preserve">        └──────────────┬──────────────┘</w:t>
        <w:br/>
        <w:t xml:space="preserve">                        │ REST (JSON)</w:t>
        <w:br/>
        <w:t xml:space="preserve">        ┌──────────────▼──────────────┐</w:t>
        <w:br/>
        <w:t xml:space="preserve">        │   API Layer                 │  Article API, Event API, Distribution API, Health API</w:t>
        <w:br/>
        <w:t xml:space="preserve">        └──────────────┬──────────────┘</w:t>
        <w:br/>
        <w:t xml:space="preserve">                        │</w:t>
        <w:br/>
        <w:t xml:space="preserve">        ┌──────────────▼──────────────┐</w:t>
        <w:br/>
        <w:t xml:space="preserve">        │   Job Orchestration Layer   │  Ingestion, clustering, recirculation jobs</w:t>
        <w:br/>
        <w:t xml:space="preserve">        └──────────────┬──────────────┘</w:t>
        <w:br/>
        <w:t xml:space="preserve">                        │</w:t>
        <w:br/>
        <w:t xml:space="preserve">        ┌──────────────▼──────────────┐</w:t>
        <w:br/>
        <w:t xml:space="preserve">        │   Algorithmic Utility Layer │  Similarity, EFSA, DPCS, JSON repair</w:t>
        <w:br/>
        <w:t xml:space="preserve">        └──────────────┬──────────────┘</w:t>
        <w:br/>
        <w:t xml:space="preserve">                        │</w:t>
        <w:br/>
        <w:t xml:space="preserve">        ┌──────────────▼──────────────┐</w:t>
        <w:br/>
        <w:t xml:space="preserve">        │   Data Layer                │  Schemas, MongoDB Atlas</w:t>
        <w:br/>
        <w:t xml:space="preserve">        └─────────────────────────────┘</w:t>
      </w:r>
    </w:p>
    <w:p>
      <w:r>
        <w:rPr>
          <w:i/>
        </w:rPr>
        <w:t>Figure 2: Five-Layer Backend Software Subsystem Architecture.</w:t>
      </w:r>
    </w:p>
    <w:p>
      <w:r>
        <w:t>This layered separation isolates similarity computation as a shared, independently-testable utility layer consumed identically by both the production gate and the offline evaluation harness, ensuring architectural consistency between deployed and evaluated behavior.</w:t>
      </w:r>
    </w:p>
    <w:p>
      <w:pPr>
        <w:pStyle w:val="Heading3"/>
      </w:pPr>
      <w:r>
        <w:t>4.4 Module Implementation</w:t>
      </w:r>
    </w:p>
    <w:p>
      <w:r>
        <w:rPr>
          <w:b/>
        </w:rPr>
        <w:t>Event Clustering Engine</w:t>
      </w:r>
    </w:p>
    <w:p>
      <w:pPr>
        <w:pStyle w:val="ListBullet"/>
      </w:pPr>
      <w:r>
        <w:rPr>
          <w:i/>
        </w:rPr>
        <w:t>Purpose:</w:t>
      </w:r>
      <w:r>
        <w:t xml:space="preserve"> Determines whether an incoming article corresponds to an existing event cluster or should seed a new one.</w:t>
      </w:r>
    </w:p>
    <w:p>
      <w:pPr>
        <w:pStyle w:val="ListBullet"/>
      </w:pPr>
      <w:r>
        <w:rPr>
          <w:i/>
        </w:rPr>
        <w:t>Input:</w:t>
      </w:r>
      <w:r>
        <w:t xml:space="preserve"> A newly ingested article and the set of candidate events within a 48-hour temporal window.</w:t>
      </w:r>
    </w:p>
    <w:p>
      <w:pPr>
        <w:pStyle w:val="ListBullet"/>
      </w:pPr>
      <w:r>
        <w:rPr>
          <w:i/>
        </w:rPr>
        <w:t>Processing:</w:t>
      </w:r>
      <w:r>
        <w:t xml:space="preserve"> Executes the Stage 1 lexical/fusion gate (Section 3.5–3.6), escalates qualifying candidates to LLM verification (Section 3.5), and on a positive match, invokes evidence fusion, stance detection, and the hallucination reflection loop.</w:t>
      </w:r>
    </w:p>
    <w:p>
      <w:pPr>
        <w:pStyle w:val="ListBullet"/>
      </w:pPr>
      <w:r>
        <w:rPr>
          <w:i/>
        </w:rPr>
        <w:t>Output:</w:t>
      </w:r>
      <w:r>
        <w:t xml:space="preserve"> Either an updated event cluster with an appended source article, or a newly created event record.</w:t>
      </w:r>
    </w:p>
    <w:p>
      <w:r>
        <w:rPr>
          <w:b/>
        </w:rPr>
        <w:t>Publisher Credibility Engine</w:t>
      </w:r>
    </w:p>
    <w:p>
      <w:pPr>
        <w:pStyle w:val="ListBullet"/>
      </w:pPr>
      <w:r>
        <w:rPr>
          <w:i/>
        </w:rPr>
        <w:t>Purpose:</w:t>
      </w:r>
      <w:r>
        <w:t xml:space="preserve"> Maintains an evolving trust record per publisher domain.</w:t>
      </w:r>
    </w:p>
    <w:p>
      <w:pPr>
        <w:pStyle w:val="ListBullet"/>
      </w:pPr>
      <w:r>
        <w:rPr>
          <w:i/>
        </w:rPr>
        <w:t>Input:</w:t>
      </w:r>
      <w:r>
        <w:t xml:space="preserve"> A verification outcome (stance classification, time offset from first report) for a given publisher.</w:t>
      </w:r>
    </w:p>
    <w:p>
      <w:pPr>
        <w:pStyle w:val="ListBullet"/>
      </w:pPr>
      <w:r>
        <w:rPr>
          <w:i/>
        </w:rPr>
        <w:t>Processing:</w:t>
      </w:r>
      <w:r>
        <w:t xml:space="preserve"> Computes the four-component composite score and applies EMA smoothing (Eqs. 6–8).</w:t>
      </w:r>
    </w:p>
    <w:p>
      <w:pPr>
        <w:pStyle w:val="ListBullet"/>
      </w:pPr>
      <w:r>
        <w:rPr>
          <w:i/>
        </w:rPr>
        <w:t>Output:</w:t>
      </w:r>
      <w:r>
        <w:t xml:space="preserve"> An updated scalar credibility score, persisted for future gating evaluation.</w:t>
      </w:r>
    </w:p>
    <w:p>
      <w:r>
        <w:rPr>
          <w:b/>
        </w:rPr>
        <w:t>Autonomous Distribution Engine</w:t>
      </w:r>
    </w:p>
    <w:p>
      <w:pPr>
        <w:pStyle w:val="ListBullet"/>
      </w:pPr>
      <w:r>
        <w:rPr>
          <w:i/>
        </w:rPr>
        <w:t>Purpose:</w:t>
      </w:r>
      <w:r>
        <w:t xml:space="preserve"> Dispatches synthesized events to external distribution channels.</w:t>
      </w:r>
    </w:p>
    <w:p>
      <w:pPr>
        <w:pStyle w:val="ListBullet"/>
      </w:pPr>
      <w:r>
        <w:rPr>
          <w:i/>
        </w:rPr>
        <w:t>Input:</w:t>
      </w:r>
      <w:r>
        <w:t xml:space="preserve"> A verified, synthesized event record marked pending broadcast.</w:t>
      </w:r>
    </w:p>
    <w:p>
      <w:pPr>
        <w:pStyle w:val="ListBullet"/>
      </w:pPr>
      <w:r>
        <w:rPr>
          <w:i/>
        </w:rPr>
        <w:t>Processing:</w:t>
      </w:r>
      <w:r>
        <w:t xml:space="preserve"> Constructs a standardized JSON payload, applies staggered scheduling, and dispatches via HTTP POST to a configurable webhook endpoint.</w:t>
      </w:r>
    </w:p>
    <w:p>
      <w:pPr>
        <w:pStyle w:val="ListBullet"/>
      </w:pPr>
      <w:r>
        <w:rPr>
          <w:i/>
        </w:rPr>
        <w:t>Output:</w:t>
      </w:r>
      <w:r>
        <w:t xml:space="preserve"> An updated broadcast status (broadcasted or failed, with retry tracking).</w:t>
      </w:r>
    </w:p>
    <w:p>
      <w:r>
        <w:rPr>
          <w:b/>
        </w:rPr>
        <w:t>Evergreen Recirculation Engine</w:t>
      </w:r>
    </w:p>
    <w:p>
      <w:pPr>
        <w:pStyle w:val="ListBullet"/>
      </w:pPr>
      <w:r>
        <w:rPr>
          <w:i/>
        </w:rPr>
        <w:t>Purpose:</w:t>
      </w:r>
      <w:r>
        <w:t xml:space="preserve"> Re-surfaces high-confidence events during periods of low wire activity.</w:t>
      </w:r>
    </w:p>
    <w:p>
      <w:pPr>
        <w:pStyle w:val="ListBullet"/>
      </w:pPr>
      <w:r>
        <w:rPr>
          <w:i/>
        </w:rPr>
        <w:t>Input:</w:t>
      </w:r>
      <w:r>
        <w:t xml:space="preserve"> Events with corroboration confidence </w:t>
      </w:r>
      <w:r>
        <w:rPr>
          <w:rFonts w:ascii="Cambria Math" w:hAnsi="Cambria Math"/>
          <w:i/>
        </w:rPr>
        <w:t>\ge 90\%</w:t>
      </w:r>
      <w:r>
        <w:t>, created more than 48 hours prior.</w:t>
      </w:r>
    </w:p>
    <w:p>
      <w:pPr>
        <w:pStyle w:val="ListBullet"/>
      </w:pPr>
      <w:r>
        <w:rPr>
          <w:i/>
        </w:rPr>
        <w:t>Processing:</w:t>
      </w:r>
      <w:r>
        <w:t xml:space="preserve"> Applies an "ICYMI:" caption prefix and re-queues a single instance through the distribution engine.</w:t>
      </w:r>
    </w:p>
    <w:p>
      <w:pPr>
        <w:pStyle w:val="ListBullet"/>
      </w:pPr>
      <w:r>
        <w:rPr>
          <w:i/>
        </w:rPr>
        <w:t>Output:</w:t>
      </w:r>
      <w:r>
        <w:t xml:space="preserve"> A recirculated event marked to prevent future duplicate re-queuing.</w:t>
      </w:r>
    </w:p>
    <w:p>
      <w:pPr>
        <w:pStyle w:val="Heading3"/>
      </w:pPr>
      <w:r>
        <w:t>4.5 Database Design</w:t>
      </w:r>
    </w:p>
    <w:p>
      <w:pPr>
        <w:spacing w:before="80" w:after="120"/>
        <w:ind w:left="360"/>
      </w:pPr>
      <w:r>
        <w:rPr>
          <w:rFonts w:ascii="Consolas" w:hAnsi="Consolas"/>
          <w:color w:val="1E1E1E"/>
          <w:sz w:val="17"/>
        </w:rPr>
        <w:t xml:space="preserve">   Article                      Event</w:t>
        <w:br/>
        <w:t xml:space="preserve"> ┌─────────────┐          ┌──────────────────┐</w:t>
        <w:br/>
        <w:t xml:space="preserve"> │ _id         │◄────┐    │ _id               │</w:t>
        <w:br/>
        <w:t xml:space="preserve"> │ title       │     │    │ event_title       │</w:t>
        <w:br/>
        <w:t xml:space="preserve"> │ url         │     │    │ sector            │</w:t>
        <w:br/>
        <w:t xml:space="preserve"> │ title_hash  │     │    │ source_articles[] │──┐</w:t>
        <w:br/>
        <w:t xml:space="preserve"> │ summary     │     │    │ fused_summary     │  │</w:t>
        <w:br/>
        <w:t xml:space="preserve"> │ sector      │     │    │ confidence_score  │  │</w:t>
        <w:br/>
        <w:t xml:space="preserve"> │ broadcast_* │     │    │ stance_analysis   │  │</w:t>
        <w:br/>
        <w:t xml:space="preserve"> └─────────────┘     └────┤ reflection_logs[] │  │</w:t>
        <w:br/>
        <w:t xml:space="preserve">                           └───────────────────┘  │</w:t>
        <w:br/>
        <w:t xml:space="preserve">                                    ▲              │</w:t>
        <w:br/>
        <w:t xml:space="preserve">                                    └──────────────┘</w:t>
        <w:br/>
        <w:t xml:space="preserve">                        (references, not duplicated content)</w:t>
      </w:r>
    </w:p>
    <w:p>
      <w:r>
        <w:rPr>
          <w:i/>
        </w:rPr>
        <w:t>Figure 3: Database Entity Relationship Diagram (ERD).</w:t>
      </w:r>
    </w:p>
    <w:p>
      <w:r>
        <w:t>Events reference contributing articles via ObjectId arrays rather than duplicating content, preserving full source traceability while avoiding redundant storage. Compound indexes on timestamp and sector support low-latency lookup within the 48-hour candidacy window central to Section 3.5's gating logic.</w:t>
      </w:r>
    </w:p>
    <w:p>
      <w:pPr>
        <w:pStyle w:val="Heading3"/>
      </w:pPr>
      <w:r>
        <w:t>4.6 Interface Design</w:t>
      </w:r>
    </w:p>
    <w:p>
      <w:r>
        <w:t>The frontend presents synthesized events through a categorized dashboard with sector filtering and search, alongside an operator-facing console for monitoring the distribution queue and manually triggering ingestion or broadcast actions. Interface visual design is outside this paper's evaluation scope.</w:t>
      </w:r>
    </w:p>
    <w:p>
      <w:pPr>
        <w:pStyle w:val="Heading3"/>
      </w:pPr>
      <w:r>
        <w:t>4.7 REST API Design</w:t>
      </w:r>
    </w:p>
    <w:p>
      <w:r>
        <w:rPr>
          <w:b/>
        </w:rPr>
        <w:t>TABLE III: SYSTEM REST API ENDPOINT SPECIFICATIONS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F0F4F8"/>
          </w:tcPr>
          <w:p>
            <w:pPr>
              <w:spacing w:before="60" w:after="60"/>
            </w:pPr>
            <w:r>
              <w:rPr>
                <w:b/>
              </w:rPr>
            </w:r>
            <w:r>
              <w:rPr>
                <w:b/>
              </w:rPr>
              <w:t>Endpoint</w:t>
            </w:r>
          </w:p>
        </w:tc>
        <w:tc>
          <w:tcPr>
            <w:tcW w:type="dxa" w:w="3120"/>
            <w:shd w:fill="F0F4F8"/>
          </w:tcPr>
          <w:p>
            <w:pPr>
              <w:spacing w:before="60" w:after="60"/>
            </w:pPr>
            <w:r>
              <w:rPr>
                <w:b/>
              </w:rPr>
            </w:r>
            <w:r>
              <w:rPr>
                <w:b/>
              </w:rPr>
              <w:t>Method</w:t>
            </w:r>
          </w:p>
        </w:tc>
        <w:tc>
          <w:tcPr>
            <w:tcW w:type="dxa" w:w="3120"/>
            <w:shd w:fill="F0F4F8"/>
          </w:tcPr>
          <w:p>
            <w:pPr>
              <w:spacing w:before="60" w:after="60"/>
            </w:pPr>
            <w:r>
              <w:rPr>
                <w:b/>
              </w:rPr>
            </w:r>
            <w:r>
              <w:rPr>
                <w:b/>
              </w:rPr>
              <w:t>Description</w:t>
            </w:r>
          </w:p>
        </w:tc>
      </w:tr>
      <w:tr>
        <w:tc>
          <w:tcPr>
            <w:tcW w:type="dxa" w:w="3120"/>
          </w:tcPr>
          <w:p>
            <w:pPr>
              <w:spacing w:before="60" w:after="60"/>
            </w:pPr>
            <w:r/>
            <w:r>
              <w:rPr>
                <w:rFonts w:ascii="Consolas" w:hAnsi="Consolas"/>
                <w:color w:val="B42828"/>
                <w:sz w:val="19"/>
              </w:rPr>
              <w:t>/api/articles</w:t>
            </w:r>
          </w:p>
        </w:tc>
        <w:tc>
          <w:tcPr>
            <w:tcW w:type="dxa" w:w="3120"/>
          </w:tcPr>
          <w:p>
            <w:pPr>
              <w:spacing w:before="60" w:after="60"/>
            </w:pPr>
            <w:r/>
            <w:r>
              <w:t>GET</w:t>
            </w:r>
          </w:p>
        </w:tc>
        <w:tc>
          <w:tcPr>
            <w:tcW w:type="dxa" w:w="3120"/>
          </w:tcPr>
          <w:p>
            <w:pPr>
              <w:spacing w:before="60" w:after="60"/>
            </w:pPr>
            <w:r/>
            <w:r>
              <w:t>Retrieve articles, optional sector filter</w:t>
            </w:r>
          </w:p>
        </w:tc>
      </w:tr>
      <w:tr>
        <w:tc>
          <w:tcPr>
            <w:tcW w:type="dxa" w:w="3120"/>
          </w:tcPr>
          <w:p>
            <w:pPr>
              <w:spacing w:before="60" w:after="60"/>
            </w:pPr>
            <w:r/>
            <w:r>
              <w:rPr>
                <w:rFonts w:ascii="Consolas" w:hAnsi="Consolas"/>
                <w:color w:val="B42828"/>
                <w:sz w:val="19"/>
              </w:rPr>
              <w:t>/api/events</w:t>
            </w:r>
          </w:p>
        </w:tc>
        <w:tc>
          <w:tcPr>
            <w:tcW w:type="dxa" w:w="3120"/>
          </w:tcPr>
          <w:p>
            <w:pPr>
              <w:spacing w:before="60" w:after="60"/>
            </w:pPr>
            <w:r/>
            <w:r>
              <w:t>GET</w:t>
            </w:r>
          </w:p>
        </w:tc>
        <w:tc>
          <w:tcPr>
            <w:tcW w:type="dxa" w:w="3120"/>
          </w:tcPr>
          <w:p>
            <w:pPr>
              <w:spacing w:before="60" w:after="60"/>
            </w:pPr>
            <w:r/>
            <w:r>
              <w:t>Retrieve clustered events, optional sector filter</w:t>
            </w:r>
          </w:p>
        </w:tc>
      </w:tr>
      <w:tr>
        <w:tc>
          <w:tcPr>
            <w:tcW w:type="dxa" w:w="3120"/>
          </w:tcPr>
          <w:p>
            <w:pPr>
              <w:spacing w:before="60" w:after="60"/>
            </w:pPr>
            <w:r/>
            <w:r>
              <w:rPr>
                <w:rFonts w:ascii="Consolas" w:hAnsi="Consolas"/>
                <w:color w:val="B42828"/>
                <w:sz w:val="19"/>
              </w:rPr>
              <w:t>/api/events/:id</w:t>
            </w:r>
          </w:p>
        </w:tc>
        <w:tc>
          <w:tcPr>
            <w:tcW w:type="dxa" w:w="3120"/>
          </w:tcPr>
          <w:p>
            <w:pPr>
              <w:spacing w:before="60" w:after="60"/>
            </w:pPr>
            <w:r/>
            <w:r>
              <w:t>GET</w:t>
            </w:r>
          </w:p>
        </w:tc>
        <w:tc>
          <w:tcPr>
            <w:tcW w:type="dxa" w:w="3120"/>
          </w:tcPr>
          <w:p>
            <w:pPr>
              <w:spacing w:before="60" w:after="60"/>
            </w:pPr>
            <w:r/>
            <w:r>
              <w:t>Retrieve a single event with populated source articles</w:t>
            </w:r>
          </w:p>
        </w:tc>
      </w:tr>
      <w:tr>
        <w:tc>
          <w:tcPr>
            <w:tcW w:type="dxa" w:w="3120"/>
          </w:tcPr>
          <w:p>
            <w:pPr>
              <w:spacing w:before="60" w:after="60"/>
            </w:pPr>
            <w:r/>
            <w:r>
              <w:rPr>
                <w:rFonts w:ascii="Consolas" w:hAnsi="Consolas"/>
                <w:color w:val="B42828"/>
                <w:sz w:val="19"/>
              </w:rPr>
              <w:t>/api/social/queue</w:t>
            </w:r>
          </w:p>
        </w:tc>
        <w:tc>
          <w:tcPr>
            <w:tcW w:type="dxa" w:w="3120"/>
          </w:tcPr>
          <w:p>
            <w:pPr>
              <w:spacing w:before="60" w:after="60"/>
            </w:pPr>
            <w:r/>
            <w:r>
              <w:t>GET</w:t>
            </w:r>
          </w:p>
        </w:tc>
        <w:tc>
          <w:tcPr>
            <w:tcW w:type="dxa" w:w="3120"/>
          </w:tcPr>
          <w:p>
            <w:pPr>
              <w:spacing w:before="60" w:after="60"/>
            </w:pPr>
            <w:r/>
            <w:r>
              <w:t>Retrieve distribution queue with status filtering</w:t>
            </w:r>
          </w:p>
        </w:tc>
      </w:tr>
      <w:tr>
        <w:tc>
          <w:tcPr>
            <w:tcW w:type="dxa" w:w="3120"/>
          </w:tcPr>
          <w:p>
            <w:pPr>
              <w:spacing w:before="60" w:after="60"/>
            </w:pPr>
            <w:r/>
            <w:r>
              <w:rPr>
                <w:rFonts w:ascii="Consolas" w:hAnsi="Consolas"/>
                <w:color w:val="B42828"/>
                <w:sz w:val="19"/>
              </w:rPr>
              <w:t>/api/social/trigger-scrape</w:t>
            </w:r>
          </w:p>
        </w:tc>
        <w:tc>
          <w:tcPr>
            <w:tcW w:type="dxa" w:w="3120"/>
          </w:tcPr>
          <w:p>
            <w:pPr>
              <w:spacing w:before="60" w:after="60"/>
            </w:pPr>
            <w:r/>
            <w:r>
              <w:t>POST</w:t>
            </w:r>
          </w:p>
        </w:tc>
        <w:tc>
          <w:tcPr>
            <w:tcW w:type="dxa" w:w="3120"/>
          </w:tcPr>
          <w:p>
            <w:pPr>
              <w:spacing w:before="60" w:after="60"/>
            </w:pPr>
            <w:r/>
            <w:r>
              <w:t>Manually trigger ingestion outside the scheduled cron</w:t>
            </w:r>
          </w:p>
        </w:tc>
      </w:tr>
      <w:tr>
        <w:tc>
          <w:tcPr>
            <w:tcW w:type="dxa" w:w="3120"/>
          </w:tcPr>
          <w:p>
            <w:pPr>
              <w:spacing w:before="60" w:after="60"/>
            </w:pPr>
            <w:r/>
            <w:r>
              <w:rPr>
                <w:rFonts w:ascii="Consolas" w:hAnsi="Consolas"/>
                <w:color w:val="B42828"/>
                <w:sz w:val="19"/>
              </w:rPr>
              <w:t>/api/social/broadcast/:id</w:t>
            </w:r>
          </w:p>
        </w:tc>
        <w:tc>
          <w:tcPr>
            <w:tcW w:type="dxa" w:w="3120"/>
          </w:tcPr>
          <w:p>
            <w:pPr>
              <w:spacing w:before="60" w:after="60"/>
            </w:pPr>
            <w:r/>
            <w:r>
              <w:t>POST</w:t>
            </w:r>
          </w:p>
        </w:tc>
        <w:tc>
          <w:tcPr>
            <w:tcW w:type="dxa" w:w="3120"/>
          </w:tcPr>
          <w:p>
            <w:pPr>
              <w:spacing w:before="60" w:after="60"/>
            </w:pPr>
            <w:r/>
            <w:r>
              <w:t>Manually dispatch a specific queued event</w:t>
            </w:r>
          </w:p>
        </w:tc>
      </w:tr>
      <w:tr>
        <w:tc>
          <w:tcPr>
            <w:tcW w:type="dxa" w:w="3120"/>
          </w:tcPr>
          <w:p>
            <w:pPr>
              <w:spacing w:before="60" w:after="60"/>
            </w:pPr>
            <w:r/>
            <w:r>
              <w:rPr>
                <w:rFonts w:ascii="Consolas" w:hAnsi="Consolas"/>
                <w:color w:val="B42828"/>
                <w:sz w:val="19"/>
              </w:rPr>
              <w:t>/api/health</w:t>
            </w:r>
          </w:p>
        </w:tc>
        <w:tc>
          <w:tcPr>
            <w:tcW w:type="dxa" w:w="3120"/>
          </w:tcPr>
          <w:p>
            <w:pPr>
              <w:spacing w:before="60" w:after="60"/>
            </w:pPr>
            <w:r/>
            <w:r>
              <w:t>GET</w:t>
            </w:r>
          </w:p>
        </w:tc>
        <w:tc>
          <w:tcPr>
            <w:tcW w:type="dxa" w:w="3120"/>
          </w:tcPr>
          <w:p>
            <w:pPr>
              <w:spacing w:before="60" w:after="60"/>
            </w:pPr>
            <w:r/>
            <w:r>
              <w:t>Basic connectivity check</w:t>
            </w:r>
          </w:p>
        </w:tc>
      </w:tr>
      <w:tr>
        <w:tc>
          <w:tcPr>
            <w:tcW w:type="dxa" w:w="3120"/>
          </w:tcPr>
          <w:p>
            <w:pPr>
              <w:spacing w:before="60" w:after="60"/>
            </w:pPr>
            <w:r/>
            <w:r>
              <w:rPr>
                <w:rFonts w:ascii="Consolas" w:hAnsi="Consolas"/>
                <w:color w:val="B42828"/>
                <w:sz w:val="19"/>
              </w:rPr>
              <w:t>/api/health/metrics</w:t>
            </w:r>
          </w:p>
        </w:tc>
        <w:tc>
          <w:tcPr>
            <w:tcW w:type="dxa" w:w="3120"/>
          </w:tcPr>
          <w:p>
            <w:pPr>
              <w:spacing w:before="60" w:after="60"/>
            </w:pPr>
            <w:r/>
            <w:r>
              <w:t>GET</w:t>
            </w:r>
          </w:p>
        </w:tc>
        <w:tc>
          <w:tcPr>
            <w:tcW w:type="dxa" w:w="3120"/>
          </w:tcPr>
          <w:p>
            <w:pPr>
              <w:spacing w:before="60" w:after="60"/>
            </w:pPr>
            <w:r/>
            <w:r>
              <w:t>Memory, uptime, and cache telemetry</w:t>
            </w:r>
          </w:p>
        </w:tc>
      </w:tr>
    </w:tbl>
    <w:p/>
    <w:p>
      <w:r>
        <w:t>Communication between backend and external distribution channels uses standardized HTTP POST payloads to a configurable webhook URL, rather than direct platform-specific API integration — a deliberate architectural choice allowing the operator to route output to any Make.com, Zapier, or n8n-compatible destination without code changes.</w:t>
      </w:r>
    </w:p>
    <w:p>
      <w:pPr>
        <w:pStyle w:val="Heading3"/>
      </w:pPr>
      <w:r>
        <w:t>4.8 Deployment Architecture</w:t>
      </w:r>
    </w:p>
    <w:p>
      <w:r>
        <w:t>Ingestion runs on a weekly node-cron schedule, and the recirculation engine on a daily schedule, both wrapped in error-isolating handlers that log failures without terminating the server process. A dedicated health endpoint supports external uptime monitoring on free-tier cloud hosts. Environment configuration (database URI, API keys) is validated at process startup, refusing to start if required variables are absent.</w:t>
      </w:r>
    </w:p>
    <w:p>
      <w:pPr>
        <w:pStyle w:val="Heading3"/>
      </w:pPr>
      <w:r>
        <w:t>4.9 Engineering Challenges</w:t>
      </w:r>
    </w:p>
    <w:p>
      <w:r>
        <w:rPr>
          <w:b/>
        </w:rPr>
        <w:t>Challenge 1 — Database Connectivity:</w:t>
      </w:r>
      <w:r>
        <w:t xml:space="preserve"> SRV-based MongoDB connection strings failed with a connection-refused error under a restrictive local network configuration, despite correct Atlas network-access settings. </w:t>
      </w:r>
      <w:r>
        <w:rPr>
          <w:i/>
        </w:rPr>
        <w:t>Solution:</w:t>
      </w:r>
      <w:r>
        <w:t xml:space="preserve"> switched to a non-SRV connection string listing replica set members directly. </w:t>
      </w:r>
      <w:r>
        <w:rPr>
          <w:i/>
        </w:rPr>
        <w:t>Outcome:</w:t>
      </w:r>
      <w:r>
        <w:t xml:space="preserve"> reliable connectivity independent of DNS SRV record resolution.</w:t>
      </w:r>
    </w:p>
    <w:p>
      <w:r>
        <w:rPr>
          <w:b/>
        </w:rPr>
        <w:t>Challenge 2 — Third-Party Inference API Instability:</w:t>
      </w:r>
      <w:r>
        <w:t xml:space="preserve"> The initial image-generation provider underwent undocumented routing changes, returning inconsistent model-availability errors. </w:t>
      </w:r>
      <w:r>
        <w:rPr>
          <w:i/>
        </w:rPr>
        <w:t>Solution:</w:t>
      </w:r>
      <w:r>
        <w:t xml:space="preserve"> migrated to a keyless, URL-based generation service requiring no API key management. </w:t>
      </w:r>
      <w:r>
        <w:rPr>
          <w:i/>
        </w:rPr>
        <w:t>Outcome:</w:t>
      </w:r>
      <w:r>
        <w:t xml:space="preserve"> eliminated a recurring source of pipeline failure with no loss of functionality.</w:t>
      </w:r>
    </w:p>
    <w:p>
      <w:r>
        <w:rPr>
          <w:b/>
        </w:rPr>
        <w:t>Challenge 3 — Server-Side Bot Protection:</w:t>
      </w:r>
      <w:r>
        <w:t xml:space="preserve"> Server-side image retrieval began returning forbidden-access responses due to bot-detection rules on the image provider. </w:t>
      </w:r>
      <w:r>
        <w:rPr>
          <w:i/>
        </w:rPr>
        <w:t>Solution:</w:t>
      </w:r>
      <w:r>
        <w:t xml:space="preserve"> shifted image loading responsibility to the client browser, which is not subject to the same automated-traffic filtering. </w:t>
      </w:r>
      <w:r>
        <w:rPr>
          <w:i/>
        </w:rPr>
        <w:t>Outcome:</w:t>
      </w:r>
      <w:r>
        <w:t xml:space="preserve"> restored reliable image display without violating the provider's intended usage pattern.</w:t>
      </w:r>
    </w:p>
    <w:p>
      <w:r>
        <w:rPr>
          <w:b/>
        </w:rPr>
        <w:t>Challenge 4 — LLM Provider Rate Limits:</w:t>
      </w:r>
      <w:r>
        <w:t xml:space="preserve"> The initial LLM provider's free-tier daily quota was insufficient for iterative development and evaluation. </w:t>
      </w:r>
      <w:r>
        <w:rPr>
          <w:i/>
        </w:rPr>
        <w:t>Solution:</w:t>
      </w:r>
      <w:r>
        <w:t xml:space="preserve"> migrated text synthesis and event verification to an open-weight model served on dedicated inference hardware. </w:t>
      </w:r>
      <w:r>
        <w:rPr>
          <w:i/>
        </w:rPr>
        <w:t>Outcome:</w:t>
      </w:r>
      <w:r>
        <w:t xml:space="preserve"> eliminated the daily quota constraint, at the cost of a documented recall regression requiring subsequent prompt re-tuning (Section 3.3, and the empirical case study in Section 5.5).</w:t>
      </w:r>
    </w:p>
    <w:p>
      <w:r>
        <w:rPr>
          <w:b/>
        </w:rPr>
        <w:t>Challenge 5 — Latent Runtime Defects:</w:t>
      </w:r>
      <w:r>
        <w:t xml:space="preserve"> A module-scope variable and a required standard-library import were both omitted from the ingestion engine, causing every batch run to fail silently until surfaced through direct code inspection. </w:t>
      </w:r>
      <w:r>
        <w:rPr>
          <w:i/>
        </w:rPr>
        <w:t>Solution:</w:t>
      </w:r>
      <w:r>
        <w:t xml:space="preserve"> the missing import and variable declaration were added and independently verified via static syntax checking. </w:t>
      </w:r>
      <w:r>
        <w:rPr>
          <w:i/>
        </w:rPr>
        <w:t>Outcome:</w:t>
      </w:r>
      <w:r>
        <w:t xml:space="preserve"> restored correct pipeline execution; this incident directly motivated the verification discipline applied throughout this paper's empirical claims.</w:t>
      </w:r>
    </w:p>
    <w:p>
      <w:r>
        <w:rPr>
          <w:b/>
        </w:rPr>
        <w:t>Challenge 6 — Architectural Coupling:</w:t>
      </w:r>
      <w:r>
        <w:t xml:space="preserve"> An early implementation computed similarity functions independently within the clustering and fusion-scoring modules, risking silent divergence between the two. </w:t>
      </w:r>
      <w:r>
        <w:rPr>
          <w:i/>
        </w:rPr>
        <w:t>Solution:</w:t>
      </w:r>
      <w:r>
        <w:t xml:space="preserve"> the shared logic was extracted into a single utility layer imported by both. </w:t>
      </w:r>
      <w:r>
        <w:rPr>
          <w:i/>
        </w:rPr>
        <w:t>Outcome:</w:t>
      </w:r>
      <w:r>
        <w:t xml:space="preserve"> verified elimination of a discrepancy that had previously caused mismatched baseline measurements between the production system and its offline evaluation (Section 5.5).</w:t>
      </w:r>
    </w:p>
    <w:p>
      <w:pPr>
        <w:pStyle w:val="Heading3"/>
      </w:pPr>
      <w:r>
        <w:t>4.10 Implementation Validation</w:t>
      </w:r>
    </w:p>
    <w:p>
      <w:r>
        <w:rPr>
          <w:b/>
        </w:rPr>
        <w:t>TABLE IV: SUBSYSTEM VALIDATION METRICS &amp; METHODOLOGY</w:t>
      </w:r>
    </w:p>
    <w:tbl>
      <w:tblPr>
        <w:tblStyle w:val="TableGrid"/>
        <w:tblW w:type="auto" w:w="0"/>
        <w:jc w:val="center"/>
        <w:tblLook w:firstColumn="1" w:firstRow="1" w:lastColumn="0" w:lastRow="0" w:noHBand="0" w:noVBand="1" w:val="04A0"/>
      </w:tblPr>
      <w:tblGrid>
        <w:gridCol w:w="4680"/>
        <w:gridCol w:w="4680"/>
      </w:tblGrid>
      <w:tr>
        <w:tc>
          <w:tcPr>
            <w:tcW w:type="dxa" w:w="4680"/>
            <w:shd w:fill="F0F4F8"/>
          </w:tcPr>
          <w:p>
            <w:pPr>
              <w:spacing w:before="60" w:after="60"/>
            </w:pPr>
            <w:r>
              <w:rPr>
                <w:b/>
              </w:rPr>
            </w:r>
            <w:r>
              <w:rPr>
                <w:b/>
              </w:rPr>
              <w:t>Module</w:t>
            </w:r>
          </w:p>
        </w:tc>
        <w:tc>
          <w:tcPr>
            <w:tcW w:type="dxa" w:w="4680"/>
            <w:shd w:fill="F0F4F8"/>
          </w:tcPr>
          <w:p>
            <w:pPr>
              <w:spacing w:before="60" w:after="60"/>
            </w:pPr>
            <w:r>
              <w:rPr>
                <w:b/>
              </w:rPr>
            </w:r>
            <w:r>
              <w:rPr>
                <w:b/>
              </w:rPr>
              <w:t>Validation Method</w:t>
            </w:r>
          </w:p>
        </w:tc>
      </w:tr>
      <w:tr>
        <w:tc>
          <w:tcPr>
            <w:tcW w:type="dxa" w:w="4680"/>
          </w:tcPr>
          <w:p>
            <w:pPr>
              <w:spacing w:before="60" w:after="60"/>
            </w:pPr>
            <w:r/>
            <w:r>
              <w:t>Event clustering gate</w:t>
            </w:r>
          </w:p>
        </w:tc>
        <w:tc>
          <w:tcPr>
            <w:tcW w:type="dxa" w:w="4680"/>
          </w:tcPr>
          <w:p>
            <w:pPr>
              <w:spacing w:before="60" w:after="60"/>
            </w:pPr>
            <w:r/>
            <w:r>
              <w:t>Verified against the 45-pair labeled benchmark via an ablation harness reusing the exact production similarity functions</w:t>
            </w:r>
          </w:p>
        </w:tc>
      </w:tr>
      <w:tr>
        <w:tc>
          <w:tcPr>
            <w:tcW w:type="dxa" w:w="4680"/>
          </w:tcPr>
          <w:p>
            <w:pPr>
              <w:spacing w:before="60" w:after="60"/>
            </w:pPr>
            <w:r/>
            <w:r>
              <w:t>EFSA / DPCS</w:t>
            </w:r>
          </w:p>
        </w:tc>
        <w:tc>
          <w:tcPr>
            <w:tcW w:type="dxa" w:w="4680"/>
          </w:tcPr>
          <w:p>
            <w:pPr>
              <w:spacing w:before="60" w:after="60"/>
            </w:pPr>
            <w:r/>
            <w:r>
              <w:t>Verified via dedicated evaluation scripts computing real confusion matrices, not simulated or estimated</w:t>
            </w:r>
          </w:p>
        </w:tc>
      </w:tr>
      <w:tr>
        <w:tc>
          <w:tcPr>
            <w:tcW w:type="dxa" w:w="4680"/>
          </w:tcPr>
          <w:p>
            <w:pPr>
              <w:spacing w:before="60" w:after="60"/>
            </w:pPr>
            <w:r/>
            <w:r>
              <w:t>Hybrid image pipeline</w:t>
            </w:r>
          </w:p>
        </w:tc>
        <w:tc>
          <w:tcPr>
            <w:tcW w:type="dxa" w:w="4680"/>
          </w:tcPr>
          <w:p>
            <w:pPr>
              <w:spacing w:before="60" w:after="60"/>
            </w:pPr>
            <w:r/>
            <w:r>
              <w:t>Verified via a dedicated test script confirming both native-photo extraction and generative fallback paths execute correctly</w:t>
            </w:r>
          </w:p>
        </w:tc>
      </w:tr>
      <w:tr>
        <w:tc>
          <w:tcPr>
            <w:tcW w:type="dxa" w:w="4680"/>
          </w:tcPr>
          <w:p>
            <w:pPr>
              <w:spacing w:before="60" w:after="60"/>
            </w:pPr>
            <w:r/>
            <w:r>
              <w:t>API layer</w:t>
            </w:r>
          </w:p>
        </w:tc>
        <w:tc>
          <w:tcPr>
            <w:tcW w:type="dxa" w:w="4680"/>
          </w:tcPr>
          <w:p>
            <w:pPr>
              <w:spacing w:before="60" w:after="60"/>
            </w:pPr>
            <w:r/>
            <w:r>
              <w:t>Verified via an automated integration test suite covering five endpoints using native HTTP assertions</w:t>
            </w:r>
          </w:p>
        </w:tc>
      </w:tr>
      <w:tr>
        <w:tc>
          <w:tcPr>
            <w:tcW w:type="dxa" w:w="4680"/>
          </w:tcPr>
          <w:p>
            <w:pPr>
              <w:spacing w:before="60" w:after="60"/>
            </w:pPr>
            <w:r/>
            <w:r>
              <w:t>Synthesis latency</w:t>
            </w:r>
          </w:p>
        </w:tc>
        <w:tc>
          <w:tcPr>
            <w:tcW w:type="dxa" w:w="4680"/>
          </w:tcPr>
          <w:p>
            <w:pPr>
              <w:spacing w:before="60" w:after="60"/>
            </w:pPr>
            <w:r/>
            <w:r>
              <w:t>Verified via 20 timed, real inference calls rather than vendor-published throughput figures</w:t>
            </w:r>
          </w:p>
        </w:tc>
      </w:tr>
    </w:tbl>
    <w:p/>
    <w:p>
      <w:pPr>
        <w:pStyle w:val="Heading3"/>
      </w:pPr>
      <w:r>
        <w:t>4.11 Security Considerations</w:t>
      </w:r>
    </w:p>
    <w:p>
      <w:r>
        <w:t>Request-level protection is implemented via a zero-dependency, in-memory sliding-window rate limiter, which also manually sets standard HTTP security headers rather than relying on a third-party middleware package. Environment configuration is validated at startup, and API keys are never persisted in version control. We state plainly that no authentication or authorization layer is currently implemented on any API endpoint — an accepted limitation appropriate to the system's current evaluation-focused deployment scale, discussed further below.</w:t>
      </w:r>
    </w:p>
    <w:p>
      <w:pPr>
        <w:pStyle w:val="Heading3"/>
      </w:pPr>
      <w:r>
        <w:t>4.12 Limitations of the Current Implementation</w:t>
      </w:r>
    </w:p>
    <w:p>
      <w:r>
        <w:t>This implementation carries several explicit limitations. No authentication or per-operator access control exists on any endpoint, including manual ingestion and broadcast triggers — acceptable for a research prototype but not for a multi-tenant production deployment. The system operates as a single Node.js process without distributed job queuing, limiting horizontal scalability under substantially higher ingestion volume. Ingestion cadence (weekly, plus daily recirculation) was deliberately chosen to remain within LLM provider rate limits rather than to maximize freshness. DPCS's trust-scaling gating multiplier remains validated only in offline evaluation and is not integrated into the live production gate (Section 3.7). Stance detection and the hallucination reflection loop are functionally implemented but have not been independently validated against external benchmarks (e.g., BASIL for stance, FACTS Grounding for factuality). All processing assumes English-language wire content; multilingual support is not currently implemented.</w:t>
      </w:r>
    </w:p>
    <w:p>
      <w:pPr>
        <w:pStyle w:val="Heading3"/>
      </w:pPr>
      <w:r>
        <w:t>4.13 Implementation Summary</w:t>
      </w:r>
    </w:p>
    <w:p>
      <w:pPr>
        <w:pStyle w:val="Heading2"/>
      </w:pPr>
      <w:r>
        <w:t>V. EXPERIMENTAL EVALUATION &amp; PERFORMANCE BENCHMARKS</w:t>
      </w:r>
    </w:p>
    <w:p>
      <w:pPr>
        <w:pStyle w:val="Heading3"/>
      </w:pPr>
      <w:r>
        <w:t>5.1 Evaluation Setup &amp; Ground-Truth Test Corpus</w:t>
      </w:r>
    </w:p>
    <w:p>
      <w:r>
        <w:t>To evaluate the event clustering engine's accuracy, a ground-truth dataset (</w:t>
      </w:r>
      <w:r>
        <w:rPr>
          <w:rFonts w:ascii="Consolas" w:hAnsi="Consolas"/>
          <w:color w:val="B42828"/>
          <w:sz w:val="19"/>
        </w:rPr>
        <w:t>testCases.json</w:t>
      </w:r>
      <w:r>
        <w:t xml:space="preserve">) containing </w:t>
      </w:r>
      <w:r>
        <w:rPr>
          <w:b/>
        </w:rPr>
        <w:t>45 headline pairs</w:t>
      </w:r>
      <w:r>
        <w:t xml:space="preserve"> collected from real-world wire reports across 12 news sectors was evaluated:</w:t>
      </w:r>
    </w:p>
    <w:p>
      <w:pPr>
        <w:pStyle w:val="ListBullet"/>
      </w:pPr>
      <w:r>
        <w:rPr>
          <w:b/>
        </w:rPr>
        <w:t>SAME Event Pairs:</w:t>
      </w:r>
      <w:r>
        <w:t xml:space="preserve"> 17 pairs describing the identical real-world incident using different phrasing.</w:t>
      </w:r>
    </w:p>
    <w:p>
      <w:pPr>
        <w:pStyle w:val="ListBullet"/>
      </w:pPr>
      <w:r>
        <w:rPr>
          <w:b/>
        </w:rPr>
        <w:t>DIFFERENT Event Pairs:</w:t>
      </w:r>
      <w:r>
        <w:t xml:space="preserve"> 28 pairs describing distinct incidents within the same domain or involving the same entity.</w:t>
      </w:r>
    </w:p>
    <w:p>
      <w:pPr>
        <w:pStyle w:val="Heading3"/>
      </w:pPr>
      <w:r>
        <w:t>5.2 Primary Evaluation Results: Production Baseline vs. EFSA &amp; DPCS vs. LLM Ceiling</w:t>
      </w:r>
    </w:p>
    <w:p>
      <w:r>
        <w:t>Table V presents the notation table for mathematical formalizations in EFSA and DPCS. Table VI presents the comparative evaluation across production baseline, EFSA multi-evidence gating, DPCS credibility alignment, and the LLM ceiling.</w:t>
      </w:r>
    </w:p>
    <w:p>
      <w:r>
        <w:rPr>
          <w:b/>
        </w:rPr>
        <w:t>TABLE V: MATHEMATICAL NOTATION REFERENCE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F0F4F8"/>
          </w:tcPr>
          <w:p>
            <w:pPr>
              <w:spacing w:before="60" w:after="60"/>
            </w:pPr>
            <w:r>
              <w:rPr>
                <w:b/>
              </w:rPr>
            </w:r>
            <w:r>
              <w:rPr>
                <w:b/>
              </w:rPr>
              <w:t>Symbol</w:t>
            </w:r>
          </w:p>
        </w:tc>
        <w:tc>
          <w:tcPr>
            <w:tcW w:type="dxa" w:w="3120"/>
            <w:shd w:fill="F0F4F8"/>
          </w:tcPr>
          <w:p>
            <w:pPr>
              <w:spacing w:before="60" w:after="60"/>
            </w:pPr>
            <w:r>
              <w:rPr>
                <w:b/>
              </w:rPr>
            </w:r>
            <w:r>
              <w:rPr>
                <w:b/>
              </w:rPr>
              <w:t>Definition</w:t>
            </w:r>
          </w:p>
        </w:tc>
        <w:tc>
          <w:tcPr>
            <w:tcW w:type="dxa" w:w="3120"/>
            <w:shd w:fill="F0F4F8"/>
          </w:tcPr>
          <w:p>
            <w:pPr>
              <w:spacing w:before="60" w:after="60"/>
            </w:pPr>
            <w:r>
              <w:rPr>
                <w:b/>
              </w:rPr>
            </w:r>
            <w:r>
              <w:rPr>
                <w:b/>
              </w:rPr>
              <w:t>Domain / Constraint</w:t>
            </w:r>
          </w:p>
        </w:tc>
      </w:tr>
      <w:tr>
        <w:tc>
          <w:tcPr>
            <w:tcW w:type="dxa" w:w="3120"/>
          </w:tcPr>
          <w:p>
            <w:pPr>
              <w:spacing w:before="60" w:after="60"/>
            </w:pPr>
            <w:r/>
            <w:r>
              <w:rPr>
                <w:rFonts w:ascii="Cambria Math" w:hAnsi="Cambria Math"/>
                <w:i/>
              </w:rPr>
              <w:t>S_{\text{EFSA}}</w:t>
            </w:r>
          </w:p>
        </w:tc>
        <w:tc>
          <w:tcPr>
            <w:tcW w:type="dxa" w:w="3120"/>
          </w:tcPr>
          <w:p>
            <w:pPr>
              <w:spacing w:before="60" w:after="60"/>
            </w:pPr>
            <w:r/>
            <w:r>
              <w:t>Unified Event Fusion Score</w:t>
            </w:r>
          </w:p>
        </w:tc>
        <w:tc>
          <w:tcPr>
            <w:tcW w:type="dxa" w:w="3120"/>
          </w:tcPr>
          <w:p>
            <w:pPr>
              <w:spacing w:before="60" w:after="60"/>
            </w:pPr>
            <w:r/>
            <w:r>
              <w:rPr>
                <w:rFonts w:ascii="Cambria Math" w:hAnsi="Cambria Math"/>
                <w:i/>
              </w:rPr>
              <w:t>[0, 1]</w:t>
            </w:r>
            <w:r>
              <w:t xml:space="preserve">, Threshold </w:t>
            </w:r>
            <w:r>
              <w:rPr>
                <w:rFonts w:ascii="Cambria Math" w:hAnsi="Cambria Math"/>
                <w:i/>
              </w:rPr>
              <w:t>\tau = 0.22</w:t>
            </w:r>
          </w:p>
        </w:tc>
      </w:tr>
      <w:tr>
        <w:tc>
          <w:tcPr>
            <w:tcW w:type="dxa" w:w="3120"/>
          </w:tcPr>
          <w:p>
            <w:pPr>
              <w:spacing w:before="60" w:after="60"/>
            </w:pPr>
            <w:r/>
            <w:r>
              <w:rPr>
                <w:rFonts w:ascii="Cambria Math" w:hAnsi="Cambria Math"/>
                <w:i/>
              </w:rPr>
              <w:t>S_{\text{key}}</w:t>
            </w:r>
          </w:p>
        </w:tc>
        <w:tc>
          <w:tcPr>
            <w:tcW w:type="dxa" w:w="3120"/>
          </w:tcPr>
          <w:p>
            <w:pPr>
              <w:spacing w:before="60" w:after="60"/>
            </w:pPr>
            <w:r/>
            <w:r>
              <w:t>Unigram Keyword IoU Ratio</w:t>
            </w:r>
          </w:p>
        </w:tc>
        <w:tc>
          <w:tcPr>
            <w:tcW w:type="dxa" w:w="3120"/>
          </w:tcPr>
          <w:p>
            <w:pPr>
              <w:spacing w:before="60" w:after="60"/>
            </w:pPr>
            <w:r/>
            <w:r>
              <w:rPr>
                <w:rFonts w:ascii="Cambria Math" w:hAnsi="Cambria Math"/>
                <w:i/>
              </w:rPr>
              <w:t>[0, 1]</w:t>
            </w:r>
            <w:r>
              <w:t xml:space="preserve">, Weight </w:t>
            </w:r>
            <w:r>
              <w:rPr>
                <w:rFonts w:ascii="Cambria Math" w:hAnsi="Cambria Math"/>
                <w:i/>
              </w:rPr>
              <w:t>w_1 = 0.25</w:t>
            </w:r>
          </w:p>
        </w:tc>
      </w:tr>
      <w:tr>
        <w:tc>
          <w:tcPr>
            <w:tcW w:type="dxa" w:w="3120"/>
          </w:tcPr>
          <w:p>
            <w:pPr>
              <w:spacing w:before="60" w:after="60"/>
            </w:pPr>
            <w:r/>
            <w:r>
              <w:rPr>
                <w:rFonts w:ascii="Cambria Math" w:hAnsi="Cambria Math"/>
                <w:i/>
              </w:rPr>
              <w:t>S_{\text{head}}</w:t>
            </w:r>
          </w:p>
        </w:tc>
        <w:tc>
          <w:tcPr>
            <w:tcW w:type="dxa" w:w="3120"/>
          </w:tcPr>
          <w:p>
            <w:pPr>
              <w:spacing w:before="60" w:after="60"/>
            </w:pPr>
            <w:r/>
            <w:r>
              <w:t>Character 3-Gram Cosine Similarity</w:t>
            </w:r>
          </w:p>
        </w:tc>
        <w:tc>
          <w:tcPr>
            <w:tcW w:type="dxa" w:w="3120"/>
          </w:tcPr>
          <w:p>
            <w:pPr>
              <w:spacing w:before="60" w:after="60"/>
            </w:pPr>
            <w:r/>
            <w:r>
              <w:rPr>
                <w:rFonts w:ascii="Cambria Math" w:hAnsi="Cambria Math"/>
                <w:i/>
              </w:rPr>
              <w:t>[0, 1]</w:t>
            </w:r>
            <w:r>
              <w:t xml:space="preserve">, Weight </w:t>
            </w:r>
            <w:r>
              <w:rPr>
                <w:rFonts w:ascii="Cambria Math" w:hAnsi="Cambria Math"/>
                <w:i/>
              </w:rPr>
              <w:t>w_2 = 0.30</w:t>
            </w:r>
          </w:p>
        </w:tc>
      </w:tr>
      <w:tr>
        <w:tc>
          <w:tcPr>
            <w:tcW w:type="dxa" w:w="3120"/>
          </w:tcPr>
          <w:p>
            <w:pPr>
              <w:spacing w:before="60" w:after="60"/>
            </w:pPr>
            <w:r/>
            <w:r>
              <w:rPr>
                <w:rFonts w:ascii="Cambria Math" w:hAnsi="Cambria Math"/>
                <w:i/>
              </w:rPr>
              <w:t>S_{\text{ent}}</w:t>
            </w:r>
          </w:p>
        </w:tc>
        <w:tc>
          <w:tcPr>
            <w:tcW w:type="dxa" w:w="3120"/>
          </w:tcPr>
          <w:p>
            <w:pPr>
              <w:spacing w:before="60" w:after="60"/>
            </w:pPr>
            <w:r/>
            <w:r>
              <w:t>Named Entity Overlap Ratio</w:t>
            </w:r>
          </w:p>
        </w:tc>
        <w:tc>
          <w:tcPr>
            <w:tcW w:type="dxa" w:w="3120"/>
          </w:tcPr>
          <w:p>
            <w:pPr>
              <w:spacing w:before="60" w:after="60"/>
            </w:pPr>
            <w:r/>
            <w:r>
              <w:rPr>
                <w:rFonts w:ascii="Cambria Math" w:hAnsi="Cambria Math"/>
                <w:i/>
              </w:rPr>
              <w:t>[0, 1]</w:t>
            </w:r>
            <w:r>
              <w:t xml:space="preserve">, Weight </w:t>
            </w:r>
            <w:r>
              <w:rPr>
                <w:rFonts w:ascii="Cambria Math" w:hAnsi="Cambria Math"/>
                <w:i/>
              </w:rPr>
              <w:t>w_3 = 0.25</w:t>
            </w:r>
          </w:p>
        </w:tc>
      </w:tr>
      <w:tr>
        <w:tc>
          <w:tcPr>
            <w:tcW w:type="dxa" w:w="3120"/>
          </w:tcPr>
          <w:p>
            <w:pPr>
              <w:spacing w:before="60" w:after="60"/>
            </w:pPr>
            <w:r/>
            <w:r>
              <w:rPr>
                <w:rFonts w:ascii="Cambria Math" w:hAnsi="Cambria Math"/>
                <w:i/>
              </w:rPr>
              <w:t>S_{\text{temp}}</w:t>
            </w:r>
          </w:p>
        </w:tc>
        <w:tc>
          <w:tcPr>
            <w:tcW w:type="dxa" w:w="3120"/>
          </w:tcPr>
          <w:p>
            <w:pPr>
              <w:spacing w:before="60" w:after="60"/>
            </w:pPr>
            <w:r/>
            <w:r>
              <w:t>Exponential Temporal Decay Score</w:t>
            </w:r>
          </w:p>
        </w:tc>
        <w:tc>
          <w:tcPr>
            <w:tcW w:type="dxa" w:w="3120"/>
          </w:tcPr>
          <w:p>
            <w:pPr>
              <w:spacing w:before="60" w:after="60"/>
            </w:pPr>
            <w:r/>
            <w:r>
              <w:rPr>
                <w:rFonts w:ascii="Cambria Math" w:hAnsi="Cambria Math"/>
                <w:i/>
              </w:rPr>
              <w:t>e^{-\lambda \Delta t}</w:t>
            </w:r>
            <w:r>
              <w:t xml:space="preserve">, </w:t>
            </w:r>
            <w:r>
              <w:rPr>
                <w:rFonts w:ascii="Cambria Math" w:hAnsi="Cambria Math"/>
                <w:i/>
              </w:rPr>
              <w:t>\lambda = 0.02, w_4 = 0.10</w:t>
            </w:r>
          </w:p>
        </w:tc>
      </w:tr>
      <w:tr>
        <w:tc>
          <w:tcPr>
            <w:tcW w:type="dxa" w:w="3120"/>
          </w:tcPr>
          <w:p>
            <w:pPr>
              <w:spacing w:before="60" w:after="60"/>
            </w:pPr>
            <w:r/>
            <w:r>
              <w:rPr>
                <w:rFonts w:ascii="Cambria Math" w:hAnsi="Cambria Math"/>
                <w:i/>
              </w:rPr>
              <w:t>S_{\text{sec}}</w:t>
            </w:r>
          </w:p>
        </w:tc>
        <w:tc>
          <w:tcPr>
            <w:tcW w:type="dxa" w:w="3120"/>
          </w:tcPr>
          <w:p>
            <w:pPr>
              <w:spacing w:before="60" w:after="60"/>
            </w:pPr>
            <w:r/>
            <w:r>
              <w:t>Sector Domain Taxonomy Match</w:t>
            </w:r>
          </w:p>
        </w:tc>
        <w:tc>
          <w:tcPr>
            <w:tcW w:type="dxa" w:w="3120"/>
          </w:tcPr>
          <w:p>
            <w:pPr>
              <w:spacing w:before="60" w:after="60"/>
            </w:pPr>
            <w:r/>
            <w:r>
              <w:rPr>
                <w:rFonts w:ascii="Cambria Math" w:hAnsi="Cambria Math"/>
                <w:i/>
              </w:rPr>
              <w:t>\{0, 0.5, 1.0\}</w:t>
            </w:r>
            <w:r>
              <w:t xml:space="preserve">, Weight </w:t>
            </w:r>
            <w:r>
              <w:rPr>
                <w:rFonts w:ascii="Cambria Math" w:hAnsi="Cambria Math"/>
                <w:i/>
              </w:rPr>
              <w:t>w_5 = 0.10</w:t>
            </w:r>
          </w:p>
        </w:tc>
      </w:tr>
      <w:tr>
        <w:tc>
          <w:tcPr>
            <w:tcW w:type="dxa" w:w="3120"/>
          </w:tcPr>
          <w:p>
            <w:pPr>
              <w:spacing w:before="60" w:after="60"/>
            </w:pPr>
            <w:r/>
            <w:r>
              <w:rPr>
                <w:rFonts w:ascii="Cambria Math" w:hAnsi="Cambria Math"/>
                <w:i/>
              </w:rPr>
              <w:t>C_{\text{pub}}^{(t)}</w:t>
            </w:r>
          </w:p>
        </w:tc>
        <w:tc>
          <w:tcPr>
            <w:tcW w:type="dxa" w:w="3120"/>
          </w:tcPr>
          <w:p>
            <w:pPr>
              <w:spacing w:before="60" w:after="60"/>
            </w:pPr>
            <w:r/>
            <w:r>
              <w:t>Dynamic Publisher Credibility Score</w:t>
            </w:r>
          </w:p>
        </w:tc>
        <w:tc>
          <w:tcPr>
            <w:tcW w:type="dxa" w:w="3120"/>
          </w:tcPr>
          <w:p>
            <w:pPr>
              <w:spacing w:before="60" w:after="60"/>
            </w:pPr>
            <w:r/>
            <w:r>
              <w:rPr>
                <w:rFonts w:ascii="Cambria Math" w:hAnsi="Cambria Math"/>
                <w:i/>
              </w:rPr>
              <w:t>[0, 100]</w:t>
            </w:r>
            <w:r>
              <w:t xml:space="preserve">, EMA </w:t>
            </w:r>
            <w:r>
              <w:rPr>
                <w:rFonts w:ascii="Cambria Math" w:hAnsi="Cambria Math"/>
                <w:i/>
              </w:rPr>
              <w:t>\alpha = 0.20</w:t>
            </w:r>
          </w:p>
        </w:tc>
      </w:tr>
      <w:tr>
        <w:tc>
          <w:tcPr>
            <w:tcW w:type="dxa" w:w="3120"/>
          </w:tcPr>
          <w:p>
            <w:pPr>
              <w:spacing w:before="60" w:after="60"/>
            </w:pPr>
            <w:r/>
            <w:r>
              <w:rPr>
                <w:rFonts w:ascii="Cambria Math" w:hAnsi="Cambria Math"/>
                <w:i/>
              </w:rPr>
              <w:t>R_{\text{agree}}</w:t>
            </w:r>
          </w:p>
        </w:tc>
        <w:tc>
          <w:tcPr>
            <w:tcW w:type="dxa" w:w="3120"/>
          </w:tcPr>
          <w:p>
            <w:pPr>
              <w:spacing w:before="60" w:after="60"/>
            </w:pPr>
            <w:r/>
            <w:r>
              <w:t>Historical Stance Agreement Rate</w:t>
            </w:r>
          </w:p>
        </w:tc>
        <w:tc>
          <w:tcPr>
            <w:tcW w:type="dxa" w:w="3120"/>
          </w:tcPr>
          <w:p>
            <w:pPr>
              <w:spacing w:before="60" w:after="60"/>
            </w:pPr>
            <w:r/>
            <w:r>
              <w:rPr>
                <w:rFonts w:ascii="Cambria Math" w:hAnsi="Cambria Math"/>
                <w:i/>
              </w:rPr>
              <w:t>[0, 1]</w:t>
            </w:r>
            <w:r>
              <w:t xml:space="preserve">, Weight </w:t>
            </w:r>
            <w:r>
              <w:rPr>
                <w:rFonts w:ascii="Cambria Math" w:hAnsi="Cambria Math"/>
                <w:i/>
              </w:rPr>
              <w:t>w_{\text{agree}} = 0.40</w:t>
            </w:r>
          </w:p>
        </w:tc>
      </w:tr>
      <w:tr>
        <w:tc>
          <w:tcPr>
            <w:tcW w:type="dxa" w:w="3120"/>
          </w:tcPr>
          <w:p>
            <w:pPr>
              <w:spacing w:before="60" w:after="60"/>
            </w:pPr>
            <w:r/>
            <w:r>
              <w:rPr>
                <w:rFonts w:ascii="Cambria Math" w:hAnsi="Cambria Math"/>
                <w:i/>
              </w:rPr>
              <w:t>I_{\text{time}}</w:t>
            </w:r>
          </w:p>
        </w:tc>
        <w:tc>
          <w:tcPr>
            <w:tcW w:type="dxa" w:w="3120"/>
          </w:tcPr>
          <w:p>
            <w:pPr>
              <w:spacing w:before="60" w:after="60"/>
            </w:pPr>
            <w:r/>
            <w:r>
              <w:t>Reporting Timeliness Decay Index</w:t>
            </w:r>
          </w:p>
        </w:tc>
        <w:tc>
          <w:tcPr>
            <w:tcW w:type="dxa" w:w="3120"/>
          </w:tcPr>
          <w:p>
            <w:pPr>
              <w:spacing w:before="60" w:after="60"/>
            </w:pPr>
            <w:r/>
            <w:r>
              <w:rPr>
                <w:rFonts w:ascii="Cambria Math" w:hAnsi="Cambria Math"/>
                <w:i/>
              </w:rPr>
              <w:t>[0, 1]</w:t>
            </w:r>
            <w:r>
              <w:t xml:space="preserve">, Weight </w:t>
            </w:r>
            <w:r>
              <w:rPr>
                <w:rFonts w:ascii="Cambria Math" w:hAnsi="Cambria Math"/>
                <w:i/>
              </w:rPr>
              <w:t>w_{\text{time}} = 0.25</w:t>
            </w:r>
          </w:p>
        </w:tc>
      </w:tr>
    </w:tbl>
    <w:p/>
    <w:p>
      <w:pPr>
        <w:jc w:val="center"/>
      </w:pPr>
      <w:r>
        <w:rPr>
          <w:color w:val="969696"/>
        </w:rPr>
        <w:t>─────── ❖ ───────</w:t>
      </w:r>
    </w:p>
    <w:p>
      <w:r>
        <w:rPr>
          <w:b/>
        </w:rPr>
        <w:t>TABLE VI: BASELINE COMPARISON INCLUDING EFSA &amp; DPCS ($N=45$)</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F0F4F8"/>
          </w:tcPr>
          <w:p>
            <w:pPr>
              <w:spacing w:before="60" w:after="60"/>
            </w:pPr>
            <w:r>
              <w:rPr>
                <w:b/>
              </w:rPr>
            </w:r>
            <w:r>
              <w:rPr>
                <w:b/>
              </w:rPr>
              <w:t>Strategy / System Configuration</w:t>
            </w:r>
          </w:p>
        </w:tc>
        <w:tc>
          <w:tcPr>
            <w:tcW w:type="dxa" w:w="1170"/>
            <w:shd w:fill="F0F4F8"/>
          </w:tcPr>
          <w:p>
            <w:pPr>
              <w:spacing w:before="60" w:after="60"/>
            </w:pPr>
            <w:r>
              <w:rPr>
                <w:b/>
              </w:rPr>
            </w:r>
            <w:r>
              <w:rPr>
                <w:b/>
              </w:rPr>
              <w:t>Accuracy</w:t>
            </w:r>
          </w:p>
        </w:tc>
        <w:tc>
          <w:tcPr>
            <w:tcW w:type="dxa" w:w="1170"/>
            <w:shd w:fill="F0F4F8"/>
          </w:tcPr>
          <w:p>
            <w:pPr>
              <w:spacing w:before="60" w:after="60"/>
            </w:pPr>
            <w:r>
              <w:rPr>
                <w:b/>
              </w:rPr>
            </w:r>
            <w:r>
              <w:rPr>
                <w:b/>
              </w:rPr>
              <w:t>Precision</w:t>
            </w:r>
          </w:p>
        </w:tc>
        <w:tc>
          <w:tcPr>
            <w:tcW w:type="dxa" w:w="1170"/>
            <w:shd w:fill="F0F4F8"/>
          </w:tcPr>
          <w:p>
            <w:pPr>
              <w:spacing w:before="60" w:after="60"/>
            </w:pPr>
            <w:r>
              <w:rPr>
                <w:b/>
              </w:rPr>
            </w:r>
            <w:r>
              <w:rPr>
                <w:b/>
              </w:rPr>
              <w:t>Recall</w:t>
            </w:r>
          </w:p>
        </w:tc>
        <w:tc>
          <w:tcPr>
            <w:tcW w:type="dxa" w:w="1170"/>
            <w:shd w:fill="F0F4F8"/>
          </w:tcPr>
          <w:p>
            <w:pPr>
              <w:spacing w:before="60" w:after="60"/>
            </w:pPr>
            <w:r>
              <w:rPr>
                <w:b/>
              </w:rPr>
            </w:r>
            <w:r>
              <w:rPr>
                <w:b/>
              </w:rPr>
              <w:t>F1-Score</w:t>
            </w:r>
          </w:p>
        </w:tc>
        <w:tc>
          <w:tcPr>
            <w:tcW w:type="dxa" w:w="1170"/>
            <w:shd w:fill="F0F4F8"/>
          </w:tcPr>
          <w:p>
            <w:pPr>
              <w:spacing w:before="60" w:after="60"/>
            </w:pPr>
            <w:r>
              <w:rPr>
                <w:b/>
              </w:rPr>
            </w:r>
            <w:r>
              <w:rPr>
                <w:b/>
              </w:rPr>
              <w:t>MCC</w:t>
            </w:r>
          </w:p>
        </w:tc>
        <w:tc>
          <w:tcPr>
            <w:tcW w:type="dxa" w:w="1170"/>
            <w:shd w:fill="F0F4F8"/>
          </w:tcPr>
          <w:p>
            <w:pPr>
              <w:spacing w:before="60" w:after="60"/>
            </w:pPr>
            <w:r>
              <w:rPr>
                <w:b/>
              </w:rPr>
            </w:r>
            <w:r>
              <w:rPr>
                <w:b/>
              </w:rPr>
              <w:t>LLM Calls</w:t>
            </w:r>
          </w:p>
        </w:tc>
        <w:tc>
          <w:tcPr>
            <w:tcW w:type="dxa" w:w="1170"/>
            <w:shd w:fill="F0F4F8"/>
          </w:tcPr>
          <w:p>
            <w:pPr>
              <w:spacing w:before="60" w:after="60"/>
            </w:pPr>
            <w:r>
              <w:rPr>
                <w:b/>
              </w:rPr>
            </w:r>
            <w:r>
              <w:rPr>
                <w:b/>
              </w:rPr>
              <w:t>LLM Call Savings</w:t>
            </w:r>
          </w:p>
        </w:tc>
      </w:tr>
      <w:tr>
        <w:tc>
          <w:tcPr>
            <w:tcW w:type="dxa" w:w="1170"/>
          </w:tcPr>
          <w:p>
            <w:pPr>
              <w:spacing w:before="60" w:after="60"/>
            </w:pPr>
            <w:r/>
            <w:r>
              <w:rPr>
                <w:b/>
              </w:rPr>
              <w:t>Traditional Lexical Jaccard</w:t>
            </w:r>
            <w:r>
              <w:t xml:space="preserve"> (</w:t>
            </w:r>
            <w:r>
              <w:rPr>
                <w:rFonts w:ascii="Cambria Math" w:hAnsi="Cambria Math"/>
                <w:i/>
              </w:rPr>
              <w:t>\tau_J = 0.12</w:t>
            </w:r>
            <w:r>
              <w:t>)</w:t>
            </w:r>
          </w:p>
        </w:tc>
        <w:tc>
          <w:tcPr>
            <w:tcW w:type="dxa" w:w="1170"/>
          </w:tcPr>
          <w:p>
            <w:pPr>
              <w:spacing w:before="60" w:after="60"/>
            </w:pPr>
            <w:r/>
            <w:r>
              <w:t>68.89%</w:t>
            </w:r>
          </w:p>
        </w:tc>
        <w:tc>
          <w:tcPr>
            <w:tcW w:type="dxa" w:w="1170"/>
          </w:tcPr>
          <w:p>
            <w:pPr>
              <w:spacing w:before="60" w:after="60"/>
            </w:pPr>
            <w:r/>
            <w:r>
              <w:t>75.00%</w:t>
            </w:r>
          </w:p>
        </w:tc>
        <w:tc>
          <w:tcPr>
            <w:tcW w:type="dxa" w:w="1170"/>
          </w:tcPr>
          <w:p>
            <w:pPr>
              <w:spacing w:before="60" w:after="60"/>
            </w:pPr>
            <w:r/>
            <w:r>
              <w:t>17.65%</w:t>
            </w:r>
          </w:p>
        </w:tc>
        <w:tc>
          <w:tcPr>
            <w:tcW w:type="dxa" w:w="1170"/>
          </w:tcPr>
          <w:p>
            <w:pPr>
              <w:spacing w:before="60" w:after="60"/>
            </w:pPr>
            <w:r/>
            <w:r>
              <w:t>28.57%</w:t>
            </w:r>
          </w:p>
        </w:tc>
        <w:tc>
          <w:tcPr>
            <w:tcW w:type="dxa" w:w="1170"/>
          </w:tcPr>
          <w:p>
            <w:pPr>
              <w:spacing w:before="60" w:after="60"/>
            </w:pPr>
            <w:r/>
            <w:r>
              <w:t>0.214</w:t>
            </w:r>
          </w:p>
        </w:tc>
        <w:tc>
          <w:tcPr>
            <w:tcW w:type="dxa" w:w="1170"/>
          </w:tcPr>
          <w:p>
            <w:pPr>
              <w:spacing w:before="60" w:after="60"/>
            </w:pPr>
            <w:r/>
            <w:r>
              <w:t>0</w:t>
            </w:r>
          </w:p>
        </w:tc>
        <w:tc>
          <w:tcPr>
            <w:tcW w:type="dxa" w:w="1170"/>
          </w:tcPr>
          <w:p>
            <w:pPr>
              <w:spacing w:before="60" w:after="60"/>
            </w:pPr>
            <w:r/>
            <w:r>
              <w:t>100.00%</w:t>
            </w:r>
          </w:p>
        </w:tc>
      </w:tr>
      <w:tr>
        <w:tc>
          <w:tcPr>
            <w:tcW w:type="dxa" w:w="1170"/>
          </w:tcPr>
          <w:p>
            <w:pPr>
              <w:spacing w:before="60" w:after="60"/>
            </w:pPr>
            <w:r/>
            <w:r>
              <w:rPr>
                <w:b/>
              </w:rPr>
              <w:t>Character 3-Gram Cosine</w:t>
            </w:r>
            <w:r>
              <w:t xml:space="preserve"> (</w:t>
            </w:r>
            <w:r>
              <w:rPr>
                <w:rFonts w:ascii="Cambria Math" w:hAnsi="Cambria Math"/>
                <w:i/>
              </w:rPr>
              <w:t>\tau_C = 0.25</w:t>
            </w:r>
            <w:r>
              <w:t>)</w:t>
            </w:r>
          </w:p>
        </w:tc>
        <w:tc>
          <w:tcPr>
            <w:tcW w:type="dxa" w:w="1170"/>
          </w:tcPr>
          <w:p>
            <w:pPr>
              <w:spacing w:before="60" w:after="60"/>
            </w:pPr>
            <w:r/>
            <w:r>
              <w:t>71.11%</w:t>
            </w:r>
          </w:p>
        </w:tc>
        <w:tc>
          <w:tcPr>
            <w:tcW w:type="dxa" w:w="1170"/>
          </w:tcPr>
          <w:p>
            <w:pPr>
              <w:spacing w:before="60" w:after="60"/>
            </w:pPr>
            <w:r/>
            <w:r>
              <w:t>80.00%</w:t>
            </w:r>
          </w:p>
        </w:tc>
        <w:tc>
          <w:tcPr>
            <w:tcW w:type="dxa" w:w="1170"/>
          </w:tcPr>
          <w:p>
            <w:pPr>
              <w:spacing w:before="60" w:after="60"/>
            </w:pPr>
            <w:r/>
            <w:r>
              <w:t>23.53%</w:t>
            </w:r>
          </w:p>
        </w:tc>
        <w:tc>
          <w:tcPr>
            <w:tcW w:type="dxa" w:w="1170"/>
          </w:tcPr>
          <w:p>
            <w:pPr>
              <w:spacing w:before="60" w:after="60"/>
            </w:pPr>
            <w:r/>
            <w:r>
              <w:t>36.36%</w:t>
            </w:r>
          </w:p>
        </w:tc>
        <w:tc>
          <w:tcPr>
            <w:tcW w:type="dxa" w:w="1170"/>
          </w:tcPr>
          <w:p>
            <w:pPr>
              <w:spacing w:before="60" w:after="60"/>
            </w:pPr>
            <w:r/>
            <w:r>
              <w:t>0.298</w:t>
            </w:r>
          </w:p>
        </w:tc>
        <w:tc>
          <w:tcPr>
            <w:tcW w:type="dxa" w:w="1170"/>
          </w:tcPr>
          <w:p>
            <w:pPr>
              <w:spacing w:before="60" w:after="60"/>
            </w:pPr>
            <w:r/>
            <w:r>
              <w:t>0</w:t>
            </w:r>
          </w:p>
        </w:tc>
        <w:tc>
          <w:tcPr>
            <w:tcW w:type="dxa" w:w="1170"/>
          </w:tcPr>
          <w:p>
            <w:pPr>
              <w:spacing w:before="60" w:after="60"/>
            </w:pPr>
            <w:r/>
            <w:r>
              <w:t>100.00%</w:t>
            </w:r>
          </w:p>
        </w:tc>
      </w:tr>
      <w:tr>
        <w:tc>
          <w:tcPr>
            <w:tcW w:type="dxa" w:w="1170"/>
          </w:tcPr>
          <w:p>
            <w:pPr>
              <w:spacing w:before="60" w:after="60"/>
            </w:pPr>
            <w:r/>
            <w:r>
              <w:rPr>
                <w:b/>
              </w:rPr>
              <w:t>Production 2-Stage Baseline</w:t>
            </w:r>
            <w:r>
              <w:t xml:space="preserve"> </w:t>
            </w:r>
            <w:r>
              <w:rPr>
                <w:i/>
              </w:rPr>
              <w:t>(Jaccard OR Cosine + LLM)</w:t>
            </w:r>
          </w:p>
        </w:tc>
        <w:tc>
          <w:tcPr>
            <w:tcW w:type="dxa" w:w="1170"/>
          </w:tcPr>
          <w:p>
            <w:pPr>
              <w:spacing w:before="60" w:after="60"/>
            </w:pPr>
            <w:r/>
            <w:r>
              <w:rPr>
                <w:b/>
              </w:rPr>
              <w:t>73.33%</w:t>
            </w:r>
          </w:p>
        </w:tc>
        <w:tc>
          <w:tcPr>
            <w:tcW w:type="dxa" w:w="1170"/>
          </w:tcPr>
          <w:p>
            <w:pPr>
              <w:spacing w:before="60" w:after="60"/>
            </w:pPr>
            <w:r/>
            <w:r>
              <w:rPr>
                <w:b/>
              </w:rPr>
              <w:t>85.71%</w:t>
            </w:r>
          </w:p>
        </w:tc>
        <w:tc>
          <w:tcPr>
            <w:tcW w:type="dxa" w:w="1170"/>
          </w:tcPr>
          <w:p>
            <w:pPr>
              <w:spacing w:before="60" w:after="60"/>
            </w:pPr>
            <w:r/>
            <w:r>
              <w:rPr>
                <w:b/>
              </w:rPr>
              <w:t>35.29%</w:t>
            </w:r>
          </w:p>
        </w:tc>
        <w:tc>
          <w:tcPr>
            <w:tcW w:type="dxa" w:w="1170"/>
          </w:tcPr>
          <w:p>
            <w:pPr>
              <w:spacing w:before="60" w:after="60"/>
            </w:pPr>
            <w:r/>
            <w:r>
              <w:rPr>
                <w:b/>
              </w:rPr>
              <w:t>50.00%</w:t>
            </w:r>
          </w:p>
        </w:tc>
        <w:tc>
          <w:tcPr>
            <w:tcW w:type="dxa" w:w="1170"/>
          </w:tcPr>
          <w:p>
            <w:pPr>
              <w:spacing w:before="60" w:after="60"/>
            </w:pPr>
            <w:r/>
            <w:r>
              <w:rPr>
                <w:b/>
              </w:rPr>
              <w:t>0.424</w:t>
            </w:r>
          </w:p>
        </w:tc>
        <w:tc>
          <w:tcPr>
            <w:tcW w:type="dxa" w:w="1170"/>
          </w:tcPr>
          <w:p>
            <w:pPr>
              <w:spacing w:before="60" w:after="60"/>
            </w:pPr>
            <w:r/>
            <w:r>
              <w:rPr>
                <w:b/>
              </w:rPr>
              <w:t>11</w:t>
            </w:r>
          </w:p>
        </w:tc>
        <w:tc>
          <w:tcPr>
            <w:tcW w:type="dxa" w:w="1170"/>
          </w:tcPr>
          <w:p>
            <w:pPr>
              <w:spacing w:before="60" w:after="60"/>
            </w:pPr>
            <w:r/>
            <w:r>
              <w:rPr>
                <w:b/>
              </w:rPr>
              <w:t>75.56%</w:t>
            </w:r>
          </w:p>
        </w:tc>
      </w:tr>
      <w:tr>
        <w:tc>
          <w:tcPr>
            <w:tcW w:type="dxa" w:w="1170"/>
          </w:tcPr>
          <w:p>
            <w:pPr>
              <w:spacing w:before="60" w:after="60"/>
            </w:pPr>
            <w:r/>
            <w:r>
              <w:rPr>
                <w:b/>
              </w:rPr>
              <w:t>Proposed EFSA Gate-Only</w:t>
            </w:r>
            <w:r>
              <w:t xml:space="preserve"> (</w:t>
            </w:r>
            <w:r>
              <w:rPr>
                <w:rFonts w:ascii="Cambria Math" w:hAnsi="Cambria Math"/>
                <w:i/>
              </w:rPr>
              <w:t>S_{\text{EFSA}} \ge 0.22</w:t>
            </w:r>
            <w:r>
              <w:t>, No LLM)</w:t>
            </w:r>
          </w:p>
        </w:tc>
        <w:tc>
          <w:tcPr>
            <w:tcW w:type="dxa" w:w="1170"/>
          </w:tcPr>
          <w:p>
            <w:pPr>
              <w:spacing w:before="60" w:after="60"/>
            </w:pPr>
            <w:r/>
            <w:r>
              <w:t>60.00%</w:t>
            </w:r>
          </w:p>
        </w:tc>
        <w:tc>
          <w:tcPr>
            <w:tcW w:type="dxa" w:w="1170"/>
          </w:tcPr>
          <w:p>
            <w:pPr>
              <w:spacing w:before="60" w:after="60"/>
            </w:pPr>
            <w:r/>
            <w:r>
              <w:t>46.15%</w:t>
            </w:r>
          </w:p>
        </w:tc>
        <w:tc>
          <w:tcPr>
            <w:tcW w:type="dxa" w:w="1170"/>
          </w:tcPr>
          <w:p>
            <w:pPr>
              <w:spacing w:before="60" w:after="60"/>
            </w:pPr>
            <w:r/>
            <w:r>
              <w:t>35.29%</w:t>
            </w:r>
          </w:p>
        </w:tc>
        <w:tc>
          <w:tcPr>
            <w:tcW w:type="dxa" w:w="1170"/>
          </w:tcPr>
          <w:p>
            <w:pPr>
              <w:spacing w:before="60" w:after="60"/>
            </w:pPr>
            <w:r/>
            <w:r>
              <w:t>40.00%</w:t>
            </w:r>
          </w:p>
        </w:tc>
        <w:tc>
          <w:tcPr>
            <w:tcW w:type="dxa" w:w="1170"/>
          </w:tcPr>
          <w:p>
            <w:pPr>
              <w:spacing w:before="60" w:after="60"/>
            </w:pPr>
            <w:r/>
            <w:r>
              <w:t>0.110</w:t>
            </w:r>
          </w:p>
        </w:tc>
        <w:tc>
          <w:tcPr>
            <w:tcW w:type="dxa" w:w="1170"/>
          </w:tcPr>
          <w:p>
            <w:pPr>
              <w:spacing w:before="60" w:after="60"/>
            </w:pPr>
            <w:r/>
            <w:r>
              <w:t>0</w:t>
            </w:r>
          </w:p>
        </w:tc>
        <w:tc>
          <w:tcPr>
            <w:tcW w:type="dxa" w:w="1170"/>
          </w:tcPr>
          <w:p>
            <w:pPr>
              <w:spacing w:before="60" w:after="60"/>
            </w:pPr>
            <w:r/>
            <w:r>
              <w:t>100.00%</w:t>
            </w:r>
          </w:p>
        </w:tc>
      </w:tr>
      <w:tr>
        <w:tc>
          <w:tcPr>
            <w:tcW w:type="dxa" w:w="1170"/>
          </w:tcPr>
          <w:p>
            <w:pPr>
              <w:spacing w:before="60" w:after="60"/>
            </w:pPr>
            <w:r/>
            <w:r>
              <w:rPr>
                <w:b/>
              </w:rPr>
              <w:t>Proposed EFSA Full Pipeline</w:t>
            </w:r>
            <w:r>
              <w:t xml:space="preserve"> </w:t>
            </w:r>
            <w:r>
              <w:rPr>
                <w:i/>
              </w:rPr>
              <w:t>(EFSA Gate + Llama 3)</w:t>
            </w:r>
          </w:p>
        </w:tc>
        <w:tc>
          <w:tcPr>
            <w:tcW w:type="dxa" w:w="1170"/>
          </w:tcPr>
          <w:p>
            <w:pPr>
              <w:spacing w:before="60" w:after="60"/>
            </w:pPr>
            <w:r/>
            <w:r>
              <w:rPr>
                <w:b/>
              </w:rPr>
              <w:t>73.33%</w:t>
            </w:r>
          </w:p>
        </w:tc>
        <w:tc>
          <w:tcPr>
            <w:tcW w:type="dxa" w:w="1170"/>
          </w:tcPr>
          <w:p>
            <w:pPr>
              <w:spacing w:before="60" w:after="60"/>
            </w:pPr>
            <w:r/>
            <w:r>
              <w:rPr>
                <w:b/>
              </w:rPr>
              <w:t>85.71%</w:t>
            </w:r>
          </w:p>
        </w:tc>
        <w:tc>
          <w:tcPr>
            <w:tcW w:type="dxa" w:w="1170"/>
          </w:tcPr>
          <w:p>
            <w:pPr>
              <w:spacing w:before="60" w:after="60"/>
            </w:pPr>
            <w:r/>
            <w:r>
              <w:rPr>
                <w:b/>
              </w:rPr>
              <w:t>35.29%</w:t>
            </w:r>
          </w:p>
        </w:tc>
        <w:tc>
          <w:tcPr>
            <w:tcW w:type="dxa" w:w="1170"/>
          </w:tcPr>
          <w:p>
            <w:pPr>
              <w:spacing w:before="60" w:after="60"/>
            </w:pPr>
            <w:r/>
            <w:r>
              <w:rPr>
                <w:b/>
              </w:rPr>
              <w:t>50.00%</w:t>
            </w:r>
          </w:p>
        </w:tc>
        <w:tc>
          <w:tcPr>
            <w:tcW w:type="dxa" w:w="1170"/>
          </w:tcPr>
          <w:p>
            <w:pPr>
              <w:spacing w:before="60" w:after="60"/>
            </w:pPr>
            <w:r/>
            <w:r>
              <w:rPr>
                <w:b/>
              </w:rPr>
              <w:t>0.424</w:t>
            </w:r>
          </w:p>
        </w:tc>
        <w:tc>
          <w:tcPr>
            <w:tcW w:type="dxa" w:w="1170"/>
          </w:tcPr>
          <w:p>
            <w:pPr>
              <w:spacing w:before="60" w:after="60"/>
            </w:pPr>
            <w:r/>
            <w:r>
              <w:rPr>
                <w:b/>
              </w:rPr>
              <w:t>13</w:t>
            </w:r>
          </w:p>
        </w:tc>
        <w:tc>
          <w:tcPr>
            <w:tcW w:type="dxa" w:w="1170"/>
          </w:tcPr>
          <w:p>
            <w:pPr>
              <w:spacing w:before="60" w:after="60"/>
            </w:pPr>
            <w:r/>
            <w:r>
              <w:rPr>
                <w:b/>
              </w:rPr>
              <w:t>71.11%</w:t>
            </w:r>
          </w:p>
        </w:tc>
      </w:tr>
      <w:tr>
        <w:tc>
          <w:tcPr>
            <w:tcW w:type="dxa" w:w="1170"/>
          </w:tcPr>
          <w:p>
            <w:pPr>
              <w:spacing w:before="60" w:after="60"/>
            </w:pPr>
            <w:r/>
            <w:r>
              <w:rPr>
                <w:b/>
              </w:rPr>
              <w:t>Proposed EFSA + DPCS Full Pipeline</w:t>
            </w:r>
            <w:r>
              <w:t xml:space="preserve"> </w:t>
            </w:r>
            <w:r>
              <w:rPr>
                <w:i/>
              </w:rPr>
              <w:t>(EFSA + DPCS + Llama 3)</w:t>
            </w:r>
          </w:p>
        </w:tc>
        <w:tc>
          <w:tcPr>
            <w:tcW w:type="dxa" w:w="1170"/>
          </w:tcPr>
          <w:p>
            <w:pPr>
              <w:spacing w:before="60" w:after="60"/>
            </w:pPr>
            <w:r/>
            <w:r>
              <w:rPr>
                <w:b/>
              </w:rPr>
              <w:t>73.33%</w:t>
            </w:r>
          </w:p>
        </w:tc>
        <w:tc>
          <w:tcPr>
            <w:tcW w:type="dxa" w:w="1170"/>
          </w:tcPr>
          <w:p>
            <w:pPr>
              <w:spacing w:before="60" w:after="60"/>
            </w:pPr>
            <w:r/>
            <w:r>
              <w:rPr>
                <w:b/>
              </w:rPr>
              <w:t>85.71%</w:t>
            </w:r>
          </w:p>
        </w:tc>
        <w:tc>
          <w:tcPr>
            <w:tcW w:type="dxa" w:w="1170"/>
          </w:tcPr>
          <w:p>
            <w:pPr>
              <w:spacing w:before="60" w:after="60"/>
            </w:pPr>
            <w:r/>
            <w:r>
              <w:rPr>
                <w:b/>
              </w:rPr>
              <w:t>35.29%</w:t>
            </w:r>
          </w:p>
        </w:tc>
        <w:tc>
          <w:tcPr>
            <w:tcW w:type="dxa" w:w="1170"/>
          </w:tcPr>
          <w:p>
            <w:pPr>
              <w:spacing w:before="60" w:after="60"/>
            </w:pPr>
            <w:r/>
            <w:r>
              <w:rPr>
                <w:b/>
              </w:rPr>
              <w:t>50.00%</w:t>
            </w:r>
          </w:p>
        </w:tc>
        <w:tc>
          <w:tcPr>
            <w:tcW w:type="dxa" w:w="1170"/>
          </w:tcPr>
          <w:p>
            <w:pPr>
              <w:spacing w:before="60" w:after="60"/>
            </w:pPr>
            <w:r/>
            <w:r>
              <w:rPr>
                <w:b/>
              </w:rPr>
              <w:t>0.424</w:t>
            </w:r>
          </w:p>
        </w:tc>
        <w:tc>
          <w:tcPr>
            <w:tcW w:type="dxa" w:w="1170"/>
          </w:tcPr>
          <w:p>
            <w:pPr>
              <w:spacing w:before="60" w:after="60"/>
            </w:pPr>
            <w:r/>
            <w:r>
              <w:rPr>
                <w:b/>
              </w:rPr>
              <w:t>10</w:t>
            </w:r>
          </w:p>
        </w:tc>
        <w:tc>
          <w:tcPr>
            <w:tcW w:type="dxa" w:w="1170"/>
          </w:tcPr>
          <w:p>
            <w:pPr>
              <w:spacing w:before="60" w:after="60"/>
            </w:pPr>
            <w:r/>
            <w:r>
              <w:rPr>
                <w:b/>
              </w:rPr>
              <w:t>77.78%</w:t>
            </w:r>
          </w:p>
        </w:tc>
      </w:tr>
      <w:tr>
        <w:tc>
          <w:tcPr>
            <w:tcW w:type="dxa" w:w="1170"/>
          </w:tcPr>
          <w:p>
            <w:pPr>
              <w:spacing w:before="60" w:after="60"/>
            </w:pPr>
            <w:r/>
            <w:r>
              <w:rPr>
                <w:b/>
              </w:rPr>
              <w:t>Experimental 3-Stage Semantic Gate</w:t>
            </w:r>
            <w:r>
              <w:t xml:space="preserve"> </w:t>
            </w:r>
            <w:r>
              <w:rPr>
                <w:i/>
              </w:rPr>
              <w:t>(Local MiniLM CPU)</w:t>
            </w:r>
          </w:p>
        </w:tc>
        <w:tc>
          <w:tcPr>
            <w:tcW w:type="dxa" w:w="1170"/>
          </w:tcPr>
          <w:p>
            <w:pPr>
              <w:spacing w:before="60" w:after="60"/>
            </w:pPr>
            <w:r/>
            <w:r>
              <w:t>88.89%</w:t>
            </w:r>
          </w:p>
        </w:tc>
        <w:tc>
          <w:tcPr>
            <w:tcW w:type="dxa" w:w="1170"/>
          </w:tcPr>
          <w:p>
            <w:pPr>
              <w:spacing w:before="60" w:after="60"/>
            </w:pPr>
            <w:r/>
            <w:r>
              <w:t>92.86%</w:t>
            </w:r>
          </w:p>
        </w:tc>
        <w:tc>
          <w:tcPr>
            <w:tcW w:type="dxa" w:w="1170"/>
          </w:tcPr>
          <w:p>
            <w:pPr>
              <w:spacing w:before="60" w:after="60"/>
            </w:pPr>
            <w:r/>
            <w:r>
              <w:t>76.47%</w:t>
            </w:r>
          </w:p>
        </w:tc>
        <w:tc>
          <w:tcPr>
            <w:tcW w:type="dxa" w:w="1170"/>
          </w:tcPr>
          <w:p>
            <w:pPr>
              <w:spacing w:before="60" w:after="60"/>
            </w:pPr>
            <w:r/>
            <w:r>
              <w:t>83.87%</w:t>
            </w:r>
          </w:p>
        </w:tc>
        <w:tc>
          <w:tcPr>
            <w:tcW w:type="dxa" w:w="1170"/>
          </w:tcPr>
          <w:p>
            <w:pPr>
              <w:spacing w:before="60" w:after="60"/>
            </w:pPr>
            <w:r/>
            <w:r>
              <w:t>0.751</w:t>
            </w:r>
          </w:p>
        </w:tc>
        <w:tc>
          <w:tcPr>
            <w:tcW w:type="dxa" w:w="1170"/>
          </w:tcPr>
          <w:p>
            <w:pPr>
              <w:spacing w:before="60" w:after="60"/>
            </w:pPr>
            <w:r/>
            <w:r>
              <w:t>21</w:t>
            </w:r>
          </w:p>
        </w:tc>
        <w:tc>
          <w:tcPr>
            <w:tcW w:type="dxa" w:w="1170"/>
          </w:tcPr>
          <w:p>
            <w:pPr>
              <w:spacing w:before="60" w:after="60"/>
            </w:pPr>
            <w:r/>
            <w:r>
              <w:t>53.33%</w:t>
            </w:r>
          </w:p>
        </w:tc>
      </w:tr>
      <w:tr>
        <w:tc>
          <w:tcPr>
            <w:tcW w:type="dxa" w:w="1170"/>
          </w:tcPr>
          <w:p>
            <w:pPr>
              <w:spacing w:before="60" w:after="60"/>
            </w:pPr>
            <w:r/>
            <w:r>
              <w:rPr>
                <w:b/>
              </w:rPr>
              <w:t>LLM-Only Ceiling (Upper Bound, Not Deployed)</w:t>
            </w:r>
          </w:p>
        </w:tc>
        <w:tc>
          <w:tcPr>
            <w:tcW w:type="dxa" w:w="1170"/>
          </w:tcPr>
          <w:p>
            <w:pPr>
              <w:spacing w:before="60" w:after="60"/>
            </w:pPr>
            <w:r/>
            <w:r>
              <w:t>97.78%</w:t>
            </w:r>
          </w:p>
        </w:tc>
        <w:tc>
          <w:tcPr>
            <w:tcW w:type="dxa" w:w="1170"/>
          </w:tcPr>
          <w:p>
            <w:pPr>
              <w:spacing w:before="60" w:after="60"/>
            </w:pPr>
            <w:r/>
            <w:r>
              <w:t>94.44%</w:t>
            </w:r>
          </w:p>
        </w:tc>
        <w:tc>
          <w:tcPr>
            <w:tcW w:type="dxa" w:w="1170"/>
          </w:tcPr>
          <w:p>
            <w:pPr>
              <w:spacing w:before="60" w:after="60"/>
            </w:pPr>
            <w:r/>
            <w:r>
              <w:t>100.00%</w:t>
            </w:r>
          </w:p>
        </w:tc>
        <w:tc>
          <w:tcPr>
            <w:tcW w:type="dxa" w:w="1170"/>
          </w:tcPr>
          <w:p>
            <w:pPr>
              <w:spacing w:before="60" w:after="60"/>
            </w:pPr>
            <w:r/>
            <w:r>
              <w:t>97.14%</w:t>
            </w:r>
          </w:p>
        </w:tc>
        <w:tc>
          <w:tcPr>
            <w:tcW w:type="dxa" w:w="1170"/>
          </w:tcPr>
          <w:p>
            <w:pPr>
              <w:spacing w:before="60" w:after="60"/>
            </w:pPr>
            <w:r/>
            <w:r>
              <w:t>0.949</w:t>
            </w:r>
          </w:p>
        </w:tc>
        <w:tc>
          <w:tcPr>
            <w:tcW w:type="dxa" w:w="1170"/>
          </w:tcPr>
          <w:p>
            <w:pPr>
              <w:spacing w:before="60" w:after="60"/>
            </w:pPr>
            <w:r/>
            <w:r>
              <w:t>45</w:t>
            </w:r>
          </w:p>
        </w:tc>
        <w:tc>
          <w:tcPr>
            <w:tcW w:type="dxa" w:w="1170"/>
          </w:tcPr>
          <w:p>
            <w:pPr>
              <w:spacing w:before="60" w:after="60"/>
            </w:pPr>
            <w:r/>
            <w:r>
              <w:t>0.00%</w:t>
            </w:r>
          </w:p>
        </w:tc>
      </w:tr>
    </w:tbl>
    <w:p/>
    <w:p>
      <w:pPr>
        <w:jc w:val="center"/>
      </w:pPr>
      <w:r>
        <w:rPr>
          <w:color w:val="969696"/>
        </w:rPr>
        <w:t>─────── ❖ ───────</w:t>
      </w:r>
    </w:p>
    <w:p>
      <w:r>
        <w:rPr>
          <w:b/>
        </w:rPr>
        <w:t>TABLE VII: FULL COST/ACCURACY PARETO COMPARISON ACROSS ALL PROPOSED STRATEGIES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F0F4F8"/>
          </w:tcPr>
          <w:p>
            <w:pPr>
              <w:spacing w:before="60" w:after="60"/>
            </w:pPr>
            <w:r>
              <w:rPr>
                <w:b/>
              </w:rPr>
            </w:r>
            <w:r>
              <w:rPr>
                <w:b/>
              </w:rPr>
              <w:t>Strategy</w:t>
            </w:r>
          </w:p>
        </w:tc>
        <w:tc>
          <w:tcPr>
            <w:tcW w:type="dxa" w:w="1560"/>
            <w:shd w:fill="F0F4F8"/>
          </w:tcPr>
          <w:p>
            <w:pPr>
              <w:spacing w:before="60" w:after="60"/>
            </w:pPr>
            <w:r>
              <w:rPr>
                <w:b/>
              </w:rPr>
            </w:r>
            <w:r>
              <w:rPr>
                <w:b/>
              </w:rPr>
              <w:t>Accuracy</w:t>
            </w:r>
          </w:p>
        </w:tc>
        <w:tc>
          <w:tcPr>
            <w:tcW w:type="dxa" w:w="1560"/>
            <w:shd w:fill="F0F4F8"/>
          </w:tcPr>
          <w:p>
            <w:pPr>
              <w:spacing w:before="60" w:after="60"/>
            </w:pPr>
            <w:r>
              <w:rPr>
                <w:b/>
              </w:rPr>
            </w:r>
            <w:r>
              <w:rPr>
                <w:b/>
              </w:rPr>
              <w:t>Recall</w:t>
            </w:r>
          </w:p>
        </w:tc>
        <w:tc>
          <w:tcPr>
            <w:tcW w:type="dxa" w:w="1560"/>
            <w:shd w:fill="F0F4F8"/>
          </w:tcPr>
          <w:p>
            <w:pPr>
              <w:spacing w:before="60" w:after="60"/>
            </w:pPr>
            <w:r>
              <w:rPr>
                <w:b/>
              </w:rPr>
            </w:r>
            <w:r>
              <w:rPr>
                <w:b/>
              </w:rPr>
              <w:t>F1-Score</w:t>
            </w:r>
          </w:p>
        </w:tc>
        <w:tc>
          <w:tcPr>
            <w:tcW w:type="dxa" w:w="1560"/>
            <w:shd w:fill="F0F4F8"/>
          </w:tcPr>
          <w:p>
            <w:pPr>
              <w:spacing w:before="60" w:after="60"/>
            </w:pPr>
            <w:r>
              <w:rPr>
                <w:b/>
              </w:rPr>
            </w:r>
            <w:r>
              <w:rPr>
                <w:b/>
              </w:rPr>
              <w:t>LLM Calls</w:t>
            </w:r>
          </w:p>
        </w:tc>
        <w:tc>
          <w:tcPr>
            <w:tcW w:type="dxa" w:w="1560"/>
            <w:shd w:fill="F0F4F8"/>
          </w:tcPr>
          <w:p>
            <w:pPr>
              <w:spacing w:before="60" w:after="60"/>
            </w:pPr>
            <w:r>
              <w:rPr>
                <w:b/>
              </w:rPr>
            </w:r>
            <w:r>
              <w:rPr>
                <w:b/>
              </w:rPr>
              <w:t>Savings</w:t>
            </w:r>
          </w:p>
        </w:tc>
      </w:tr>
      <w:tr>
        <w:tc>
          <w:tcPr>
            <w:tcW w:type="dxa" w:w="1560"/>
          </w:tcPr>
          <w:p>
            <w:pPr>
              <w:spacing w:before="60" w:after="60"/>
            </w:pPr>
            <w:r/>
            <w:r>
              <w:rPr>
                <w:b/>
              </w:rPr>
              <w:t>Production 2-Stage Baseline</w:t>
            </w:r>
          </w:p>
        </w:tc>
        <w:tc>
          <w:tcPr>
            <w:tcW w:type="dxa" w:w="1560"/>
          </w:tcPr>
          <w:p>
            <w:pPr>
              <w:spacing w:before="60" w:after="60"/>
            </w:pPr>
            <w:r/>
            <w:r>
              <w:t>73.33%</w:t>
            </w:r>
          </w:p>
        </w:tc>
        <w:tc>
          <w:tcPr>
            <w:tcW w:type="dxa" w:w="1560"/>
          </w:tcPr>
          <w:p>
            <w:pPr>
              <w:spacing w:before="60" w:after="60"/>
            </w:pPr>
            <w:r/>
            <w:r>
              <w:t>35.29%</w:t>
            </w:r>
          </w:p>
        </w:tc>
        <w:tc>
          <w:tcPr>
            <w:tcW w:type="dxa" w:w="1560"/>
          </w:tcPr>
          <w:p>
            <w:pPr>
              <w:spacing w:before="60" w:after="60"/>
            </w:pPr>
            <w:r/>
            <w:r>
              <w:t>50.00%</w:t>
            </w:r>
          </w:p>
        </w:tc>
        <w:tc>
          <w:tcPr>
            <w:tcW w:type="dxa" w:w="1560"/>
          </w:tcPr>
          <w:p>
            <w:pPr>
              <w:spacing w:before="60" w:after="60"/>
            </w:pPr>
            <w:r/>
            <w:r>
              <w:t>11</w:t>
            </w:r>
          </w:p>
        </w:tc>
        <w:tc>
          <w:tcPr>
            <w:tcW w:type="dxa" w:w="1560"/>
          </w:tcPr>
          <w:p>
            <w:pPr>
              <w:spacing w:before="60" w:after="60"/>
            </w:pPr>
            <w:r/>
            <w:r>
              <w:t>75.56%</w:t>
            </w:r>
          </w:p>
        </w:tc>
      </w:tr>
      <w:tr>
        <w:tc>
          <w:tcPr>
            <w:tcW w:type="dxa" w:w="1560"/>
          </w:tcPr>
          <w:p>
            <w:pPr>
              <w:spacing w:before="60" w:after="60"/>
            </w:pPr>
            <w:r/>
            <w:r>
              <w:rPr>
                <w:b/>
              </w:rPr>
              <w:t>EFSA Full Pipeline</w:t>
            </w:r>
            <w:r>
              <w:t xml:space="preserve"> (</w:t>
            </w:r>
            <w:r>
              <w:rPr>
                <w:rFonts w:ascii="Cambria Math" w:hAnsi="Cambria Math"/>
                <w:i/>
              </w:rPr>
              <w:t>\tau=0.22</w:t>
            </w:r>
            <w:r>
              <w:t>, current)</w:t>
            </w:r>
          </w:p>
        </w:tc>
        <w:tc>
          <w:tcPr>
            <w:tcW w:type="dxa" w:w="1560"/>
          </w:tcPr>
          <w:p>
            <w:pPr>
              <w:spacing w:before="60" w:after="60"/>
            </w:pPr>
            <w:r/>
            <w:r>
              <w:t>73.33%</w:t>
            </w:r>
          </w:p>
        </w:tc>
        <w:tc>
          <w:tcPr>
            <w:tcW w:type="dxa" w:w="1560"/>
          </w:tcPr>
          <w:p>
            <w:pPr>
              <w:spacing w:before="60" w:after="60"/>
            </w:pPr>
            <w:r/>
            <w:r>
              <w:t>35.29%</w:t>
            </w:r>
          </w:p>
        </w:tc>
        <w:tc>
          <w:tcPr>
            <w:tcW w:type="dxa" w:w="1560"/>
          </w:tcPr>
          <w:p>
            <w:pPr>
              <w:spacing w:before="60" w:after="60"/>
            </w:pPr>
            <w:r/>
            <w:r>
              <w:t>50.00%</w:t>
            </w:r>
          </w:p>
        </w:tc>
        <w:tc>
          <w:tcPr>
            <w:tcW w:type="dxa" w:w="1560"/>
          </w:tcPr>
          <w:p>
            <w:pPr>
              <w:spacing w:before="60" w:after="60"/>
            </w:pPr>
            <w:r/>
            <w:r>
              <w:t>13</w:t>
            </w:r>
          </w:p>
        </w:tc>
        <w:tc>
          <w:tcPr>
            <w:tcW w:type="dxa" w:w="1560"/>
          </w:tcPr>
          <w:p>
            <w:pPr>
              <w:spacing w:before="60" w:after="60"/>
            </w:pPr>
            <w:r/>
            <w:r>
              <w:t>71.11%</w:t>
            </w:r>
          </w:p>
        </w:tc>
      </w:tr>
      <w:tr>
        <w:tc>
          <w:tcPr>
            <w:tcW w:type="dxa" w:w="1560"/>
          </w:tcPr>
          <w:p>
            <w:pPr>
              <w:spacing w:before="60" w:after="60"/>
            </w:pPr>
            <w:r/>
            <w:r>
              <w:rPr>
                <w:b/>
              </w:rPr>
              <w:t>EFSA + DPCS Full Pipeline</w:t>
            </w:r>
            <w:r>
              <w:t xml:space="preserve"> (</w:t>
            </w:r>
            <w:r>
              <w:rPr>
                <w:rFonts w:ascii="Cambria Math" w:hAnsi="Cambria Math"/>
                <w:i/>
              </w:rPr>
              <w:t>\tau=0.22</w:t>
            </w:r>
            <w:r>
              <w:t>, current)</w:t>
            </w:r>
          </w:p>
        </w:tc>
        <w:tc>
          <w:tcPr>
            <w:tcW w:type="dxa" w:w="1560"/>
          </w:tcPr>
          <w:p>
            <w:pPr>
              <w:spacing w:before="60" w:after="60"/>
            </w:pPr>
            <w:r/>
            <w:r>
              <w:t>73.33%</w:t>
            </w:r>
          </w:p>
        </w:tc>
        <w:tc>
          <w:tcPr>
            <w:tcW w:type="dxa" w:w="1560"/>
          </w:tcPr>
          <w:p>
            <w:pPr>
              <w:spacing w:before="60" w:after="60"/>
            </w:pPr>
            <w:r/>
            <w:r>
              <w:t>35.29%</w:t>
            </w:r>
          </w:p>
        </w:tc>
        <w:tc>
          <w:tcPr>
            <w:tcW w:type="dxa" w:w="1560"/>
          </w:tcPr>
          <w:p>
            <w:pPr>
              <w:spacing w:before="60" w:after="60"/>
            </w:pPr>
            <w:r/>
            <w:r>
              <w:t>50.00%</w:t>
            </w:r>
          </w:p>
        </w:tc>
        <w:tc>
          <w:tcPr>
            <w:tcW w:type="dxa" w:w="1560"/>
          </w:tcPr>
          <w:p>
            <w:pPr>
              <w:spacing w:before="60" w:after="60"/>
            </w:pPr>
            <w:r/>
            <w:r>
              <w:t>10</w:t>
            </w:r>
          </w:p>
        </w:tc>
        <w:tc>
          <w:tcPr>
            <w:tcW w:type="dxa" w:w="1560"/>
          </w:tcPr>
          <w:p>
            <w:pPr>
              <w:spacing w:before="60" w:after="60"/>
            </w:pPr>
            <w:r/>
            <w:r>
              <w:t>77.78%</w:t>
            </w:r>
          </w:p>
        </w:tc>
      </w:tr>
      <w:tr>
        <w:tc>
          <w:tcPr>
            <w:tcW w:type="dxa" w:w="1560"/>
          </w:tcPr>
          <w:p>
            <w:pPr>
              <w:spacing w:before="60" w:after="60"/>
            </w:pPr>
            <w:r/>
            <w:r>
              <w:rPr>
                <w:b/>
              </w:rPr>
              <w:t>EFSA Full Pipeline</w:t>
            </w:r>
            <w:r>
              <w:t xml:space="preserve"> (</w:t>
            </w:r>
            <w:r>
              <w:rPr>
                <w:rFonts w:ascii="Cambria Math" w:hAnsi="Cambria Math"/>
                <w:i/>
              </w:rPr>
              <w:t>\tau=0.18</w:t>
            </w:r>
            <w:r>
              <w:t>)</w:t>
            </w:r>
          </w:p>
        </w:tc>
        <w:tc>
          <w:tcPr>
            <w:tcW w:type="dxa" w:w="1560"/>
          </w:tcPr>
          <w:p>
            <w:pPr>
              <w:spacing w:before="60" w:after="60"/>
            </w:pPr>
            <w:r/>
            <w:r>
              <w:t>80.00%</w:t>
            </w:r>
          </w:p>
        </w:tc>
        <w:tc>
          <w:tcPr>
            <w:tcW w:type="dxa" w:w="1560"/>
          </w:tcPr>
          <w:p>
            <w:pPr>
              <w:spacing w:before="60" w:after="60"/>
            </w:pPr>
            <w:r/>
            <w:r>
              <w:t>52.94%</w:t>
            </w:r>
          </w:p>
        </w:tc>
        <w:tc>
          <w:tcPr>
            <w:tcW w:type="dxa" w:w="1560"/>
          </w:tcPr>
          <w:p>
            <w:pPr>
              <w:spacing w:before="60" w:after="60"/>
            </w:pPr>
            <w:r/>
            <w:r>
              <w:t>66.67%</w:t>
            </w:r>
          </w:p>
        </w:tc>
        <w:tc>
          <w:tcPr>
            <w:tcW w:type="dxa" w:w="1560"/>
          </w:tcPr>
          <w:p>
            <w:pPr>
              <w:spacing w:before="60" w:after="60"/>
            </w:pPr>
            <w:r/>
            <w:r>
              <w:t>25</w:t>
            </w:r>
          </w:p>
        </w:tc>
        <w:tc>
          <w:tcPr>
            <w:tcW w:type="dxa" w:w="1560"/>
          </w:tcPr>
          <w:p>
            <w:pPr>
              <w:spacing w:before="60" w:after="60"/>
            </w:pPr>
            <w:r/>
            <w:r>
              <w:t>44.44%</w:t>
            </w:r>
          </w:p>
        </w:tc>
      </w:tr>
      <w:tr>
        <w:tc>
          <w:tcPr>
            <w:tcW w:type="dxa" w:w="1560"/>
          </w:tcPr>
          <w:p>
            <w:pPr>
              <w:spacing w:before="60" w:after="60"/>
            </w:pPr>
            <w:r/>
            <w:r>
              <w:rPr>
                <w:b/>
              </w:rPr>
              <w:t>EFSA Full Pipeline</w:t>
            </w:r>
            <w:r>
              <w:t xml:space="preserve"> (</w:t>
            </w:r>
            <w:r>
              <w:rPr>
                <w:rFonts w:ascii="Cambria Math" w:hAnsi="Cambria Math"/>
                <w:i/>
              </w:rPr>
              <w:t>\tau=0.15</w:t>
            </w:r>
            <w:r>
              <w:t>)</w:t>
            </w:r>
          </w:p>
        </w:tc>
        <w:tc>
          <w:tcPr>
            <w:tcW w:type="dxa" w:w="1560"/>
          </w:tcPr>
          <w:p>
            <w:pPr>
              <w:spacing w:before="60" w:after="60"/>
            </w:pPr>
            <w:r/>
            <w:r>
              <w:t>82.22%</w:t>
            </w:r>
          </w:p>
        </w:tc>
        <w:tc>
          <w:tcPr>
            <w:tcW w:type="dxa" w:w="1560"/>
          </w:tcPr>
          <w:p>
            <w:pPr>
              <w:spacing w:before="60" w:after="60"/>
            </w:pPr>
            <w:r/>
            <w:r>
              <w:t>58.82%</w:t>
            </w:r>
          </w:p>
        </w:tc>
        <w:tc>
          <w:tcPr>
            <w:tcW w:type="dxa" w:w="1560"/>
          </w:tcPr>
          <w:p>
            <w:pPr>
              <w:spacing w:before="60" w:after="60"/>
            </w:pPr>
            <w:r/>
            <w:r>
              <w:t>71.43%</w:t>
            </w:r>
          </w:p>
        </w:tc>
        <w:tc>
          <w:tcPr>
            <w:tcW w:type="dxa" w:w="1560"/>
          </w:tcPr>
          <w:p>
            <w:pPr>
              <w:spacing w:before="60" w:after="60"/>
            </w:pPr>
            <w:r/>
            <w:r>
              <w:t>31</w:t>
            </w:r>
          </w:p>
        </w:tc>
        <w:tc>
          <w:tcPr>
            <w:tcW w:type="dxa" w:w="1560"/>
          </w:tcPr>
          <w:p>
            <w:pPr>
              <w:spacing w:before="60" w:after="60"/>
            </w:pPr>
            <w:r/>
            <w:r>
              <w:t>31.11%</w:t>
            </w:r>
          </w:p>
        </w:tc>
      </w:tr>
      <w:tr>
        <w:tc>
          <w:tcPr>
            <w:tcW w:type="dxa" w:w="1560"/>
          </w:tcPr>
          <w:p>
            <w:pPr>
              <w:spacing w:before="60" w:after="60"/>
            </w:pPr>
            <w:r/>
            <w:r>
              <w:rPr>
                <w:b/>
              </w:rPr>
              <w:t>Semantic Gate</w:t>
            </w:r>
            <w:r>
              <w:t xml:space="preserve"> (</w:t>
            </w:r>
            <w:r>
              <w:rPr>
                <w:rFonts w:ascii="Consolas" w:hAnsi="Consolas"/>
                <w:color w:val="B42828"/>
                <w:sz w:val="19"/>
              </w:rPr>
              <w:t>Xenova/all-MiniLM-L6-v2</w:t>
            </w:r>
            <w:r>
              <w:t xml:space="preserve">, </w:t>
            </w:r>
            <w:r>
              <w:rPr>
                <w:rFonts w:ascii="Cambria Math" w:hAnsi="Cambria Math"/>
                <w:i/>
              </w:rPr>
              <w:t>T_{\text{sem}}=0.40</w:t>
            </w:r>
            <w:r>
              <w:t>)</w:t>
            </w:r>
          </w:p>
        </w:tc>
        <w:tc>
          <w:tcPr>
            <w:tcW w:type="dxa" w:w="1560"/>
          </w:tcPr>
          <w:p>
            <w:pPr>
              <w:spacing w:before="60" w:after="60"/>
            </w:pPr>
            <w:r/>
            <w:r>
              <w:t>88.89%</w:t>
            </w:r>
          </w:p>
        </w:tc>
        <w:tc>
          <w:tcPr>
            <w:tcW w:type="dxa" w:w="1560"/>
          </w:tcPr>
          <w:p>
            <w:pPr>
              <w:spacing w:before="60" w:after="60"/>
            </w:pPr>
            <w:r/>
            <w:r>
              <w:t>76.47%</w:t>
            </w:r>
          </w:p>
        </w:tc>
        <w:tc>
          <w:tcPr>
            <w:tcW w:type="dxa" w:w="1560"/>
          </w:tcPr>
          <w:p>
            <w:pPr>
              <w:spacing w:before="60" w:after="60"/>
            </w:pPr>
            <w:r/>
            <w:r>
              <w:t>83.87%</w:t>
            </w:r>
          </w:p>
        </w:tc>
        <w:tc>
          <w:tcPr>
            <w:tcW w:type="dxa" w:w="1560"/>
          </w:tcPr>
          <w:p>
            <w:pPr>
              <w:spacing w:before="60" w:after="60"/>
            </w:pPr>
            <w:r/>
            <w:r>
              <w:t>21</w:t>
            </w:r>
          </w:p>
        </w:tc>
        <w:tc>
          <w:tcPr>
            <w:tcW w:type="dxa" w:w="1560"/>
          </w:tcPr>
          <w:p>
            <w:pPr>
              <w:spacing w:before="60" w:after="60"/>
            </w:pPr>
            <w:r/>
            <w:r>
              <w:t>53.33%</w:t>
            </w:r>
          </w:p>
        </w:tc>
      </w:tr>
      <w:tr>
        <w:tc>
          <w:tcPr>
            <w:tcW w:type="dxa" w:w="1560"/>
          </w:tcPr>
          <w:p>
            <w:pPr>
              <w:spacing w:before="60" w:after="60"/>
            </w:pPr>
            <w:r/>
            <w:r>
              <w:rPr>
                <w:b/>
              </w:rPr>
              <w:t>LLM-Only Ceiling</w:t>
            </w:r>
            <w:r>
              <w:t xml:space="preserve"> (upper bound, not deployed)</w:t>
            </w:r>
          </w:p>
        </w:tc>
        <w:tc>
          <w:tcPr>
            <w:tcW w:type="dxa" w:w="1560"/>
          </w:tcPr>
          <w:p>
            <w:pPr>
              <w:spacing w:before="60" w:after="60"/>
            </w:pPr>
            <w:r/>
            <w:r>
              <w:t>97.78%</w:t>
            </w:r>
          </w:p>
        </w:tc>
        <w:tc>
          <w:tcPr>
            <w:tcW w:type="dxa" w:w="1560"/>
          </w:tcPr>
          <w:p>
            <w:pPr>
              <w:spacing w:before="60" w:after="60"/>
            </w:pPr>
            <w:r/>
            <w:r>
              <w:t>100.00%</w:t>
            </w:r>
          </w:p>
        </w:tc>
        <w:tc>
          <w:tcPr>
            <w:tcW w:type="dxa" w:w="1560"/>
          </w:tcPr>
          <w:p>
            <w:pPr>
              <w:spacing w:before="60" w:after="60"/>
            </w:pPr>
            <w:r/>
            <w:r>
              <w:t>97.14%</w:t>
            </w:r>
          </w:p>
        </w:tc>
        <w:tc>
          <w:tcPr>
            <w:tcW w:type="dxa" w:w="1560"/>
          </w:tcPr>
          <w:p>
            <w:pPr>
              <w:spacing w:before="60" w:after="60"/>
            </w:pPr>
            <w:r/>
            <w:r>
              <w:t>45</w:t>
            </w:r>
          </w:p>
        </w:tc>
        <w:tc>
          <w:tcPr>
            <w:tcW w:type="dxa" w:w="1560"/>
          </w:tcPr>
          <w:p>
            <w:pPr>
              <w:spacing w:before="60" w:after="60"/>
            </w:pPr>
            <w:r/>
            <w:r>
              <w:t>0.00%</w:t>
            </w:r>
          </w:p>
        </w:tc>
      </w:tr>
    </w:tbl>
    <w:p/>
    <w:p>
      <w:r>
        <w:rPr>
          <w:i/>
        </w:rPr>
        <w:t>Empirical Strategy Comparison:</w:t>
      </w:r>
      <w:r>
        <w:t xml:space="preserve"> As demonstrated in Table VII, the experimental local semantic embedding gate (</w:t>
      </w:r>
      <w:r>
        <w:rPr>
          <w:rFonts w:ascii="Consolas" w:hAnsi="Consolas"/>
          <w:color w:val="B42828"/>
          <w:sz w:val="19"/>
        </w:rPr>
        <w:t>Xenova/all-MiniLM-L6-v2</w:t>
      </w:r>
      <w:r>
        <w:t xml:space="preserve"> at </w:t>
      </w:r>
      <w:r>
        <w:rPr>
          <w:rFonts w:ascii="Cambria Math" w:hAnsi="Cambria Math"/>
          <w:i/>
        </w:rPr>
        <w:t>T_{\text{sem}}=0.40</w:t>
      </w:r>
      <w:r>
        <w:t>) strictly dominates every EFSA operating point tested (</w:t>
      </w:r>
      <w:r>
        <w:rPr>
          <w:rFonts w:ascii="Cambria Math" w:hAnsi="Cambria Math"/>
          <w:i/>
        </w:rPr>
        <w:t>\tau = 0.15</w:t>
      </w:r>
      <w:r>
        <w:t xml:space="preserve"> through </w:t>
      </w:r>
      <w:r>
        <w:rPr>
          <w:rFonts w:ascii="Cambria Math" w:hAnsi="Cambria Math"/>
          <w:i/>
        </w:rPr>
        <w:t>0.35</w:t>
      </w:r>
      <w:r>
        <w:t>) across accuracy (88.89%), recall (76.47%), F1-score (83.87%), and LLM call count (21 calls) simultaneously. No EFSA threshold in the sensitivity sweep matches or exceeds the semantic gate's performance at an equal or lower call count. Consequently, EFSA and DPCS are presented not as outperforming alternatives to neural semantic embeddings, but as dependency-free, pure-heuristic strategies with their own characterized cost/accuracy tradeoff curves. These heuristic methods are explicitly useful for constrained runtime environments where loading even a lightweight local transformer model (</w:t>
      </w:r>
      <w:r>
        <w:rPr>
          <w:rFonts w:ascii="Consolas" w:hAnsi="Consolas"/>
          <w:color w:val="B42828"/>
          <w:sz w:val="19"/>
        </w:rPr>
        <w:t>Xenova/all-MiniLM-L6-v2</w:t>
      </w:r>
      <w:r>
        <w:t>) is undesirable or infeasible.</w:t>
      </w:r>
    </w:p>
    <w:p>
      <w:pPr>
        <w:jc w:val="center"/>
      </w:pPr>
      <w:r>
        <w:rPr>
          <w:color w:val="969696"/>
        </w:rPr>
        <w:t>─────── ❖ ───────</w:t>
      </w:r>
    </w:p>
    <w:p>
      <w:pPr>
        <w:pStyle w:val="Heading3"/>
      </w:pPr>
      <w:r>
        <w:t>5.3 Real 5-Component Ablation Study</w:t>
      </w:r>
    </w:p>
    <w:p>
      <w:r>
        <w:t xml:space="preserve">To quantify the individual contribution of each evidence dimension in EFSA, we execute a 5-component ablation experiment across all 45 test pairs using </w:t>
      </w:r>
      <w:r>
        <w:rPr>
          <w:rFonts w:ascii="Consolas" w:hAnsi="Consolas"/>
          <w:color w:val="B42828"/>
          <w:sz w:val="19"/>
        </w:rPr>
        <w:t>runEfsaDpcsEvaluation.js</w:t>
      </w:r>
      <w:r>
        <w:t xml:space="preserve"> (</w:t>
      </w:r>
      <w:r>
        <w:rPr>
          <w:rFonts w:ascii="Consolas" w:hAnsi="Consolas"/>
          <w:color w:val="B42828"/>
          <w:sz w:val="19"/>
        </w:rPr>
        <w:t>backend/jobs/evaluation/efsa-dpcs-results.json</w:t>
      </w:r>
      <w:r>
        <w:t>).</w:t>
      </w:r>
    </w:p>
    <w:p>
      <w:r>
        <w:rPr>
          <w:b/>
        </w:rPr>
        <w:t>TABLE VIII: REAL 5-COMPONENT EFSA ABLATION RESULTS (GATE-ONLY)</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F0F4F8"/>
          </w:tcPr>
          <w:p>
            <w:pPr>
              <w:spacing w:before="60" w:after="60"/>
            </w:pPr>
            <w:r>
              <w:rPr>
                <w:b/>
              </w:rPr>
            </w:r>
            <w:r>
              <w:rPr>
                <w:b/>
              </w:rPr>
              <w:t>Ablated Component / Variant</w:t>
            </w:r>
          </w:p>
        </w:tc>
        <w:tc>
          <w:tcPr>
            <w:tcW w:type="dxa" w:w="1337"/>
            <w:shd w:fill="F0F4F8"/>
          </w:tcPr>
          <w:p>
            <w:pPr>
              <w:spacing w:before="60" w:after="60"/>
            </w:pPr>
            <w:r>
              <w:rPr>
                <w:b/>
              </w:rPr>
            </w:r>
            <w:r>
              <w:rPr>
                <w:b/>
              </w:rPr>
              <w:t>Accuracy</w:t>
            </w:r>
          </w:p>
        </w:tc>
        <w:tc>
          <w:tcPr>
            <w:tcW w:type="dxa" w:w="1337"/>
            <w:shd w:fill="F0F4F8"/>
          </w:tcPr>
          <w:p>
            <w:pPr>
              <w:spacing w:before="60" w:after="60"/>
            </w:pPr>
            <w:r>
              <w:rPr>
                <w:b/>
              </w:rPr>
            </w:r>
            <w:r>
              <w:rPr>
                <w:b/>
              </w:rPr>
              <w:t>Precision</w:t>
            </w:r>
          </w:p>
        </w:tc>
        <w:tc>
          <w:tcPr>
            <w:tcW w:type="dxa" w:w="1337"/>
            <w:shd w:fill="F0F4F8"/>
          </w:tcPr>
          <w:p>
            <w:pPr>
              <w:spacing w:before="60" w:after="60"/>
            </w:pPr>
            <w:r>
              <w:rPr>
                <w:b/>
              </w:rPr>
            </w:r>
            <w:r>
              <w:rPr>
                <w:b/>
              </w:rPr>
              <w:t>Recall</w:t>
            </w:r>
          </w:p>
        </w:tc>
        <w:tc>
          <w:tcPr>
            <w:tcW w:type="dxa" w:w="1337"/>
            <w:shd w:fill="F0F4F8"/>
          </w:tcPr>
          <w:p>
            <w:pPr>
              <w:spacing w:before="60" w:after="60"/>
            </w:pPr>
            <w:r>
              <w:rPr>
                <w:b/>
              </w:rPr>
            </w:r>
            <w:r>
              <w:rPr>
                <w:b/>
              </w:rPr>
              <w:t>F1-Score</w:t>
            </w:r>
          </w:p>
        </w:tc>
        <w:tc>
          <w:tcPr>
            <w:tcW w:type="dxa" w:w="1337"/>
            <w:shd w:fill="F0F4F8"/>
          </w:tcPr>
          <w:p>
            <w:pPr>
              <w:spacing w:before="60" w:after="60"/>
            </w:pPr>
            <w:r>
              <w:rPr>
                <w:b/>
              </w:rPr>
            </w:r>
            <w:r>
              <w:rPr>
                <w:b/>
              </w:rPr>
              <w:t>MCC</w:t>
            </w:r>
          </w:p>
        </w:tc>
        <w:tc>
          <w:tcPr>
            <w:tcW w:type="dxa" w:w="1337"/>
            <w:shd w:fill="F0F4F8"/>
          </w:tcPr>
          <w:p>
            <w:pPr>
              <w:spacing w:before="60" w:after="60"/>
            </w:pPr>
            <w:r>
              <w:rPr>
                <w:b/>
              </w:rPr>
            </w:r>
            <w:r>
              <w:rPr>
                <w:b/>
              </w:rPr>
              <w:t>Operational Impact</w:t>
            </w:r>
          </w:p>
        </w:tc>
      </w:tr>
      <w:tr>
        <w:tc>
          <w:tcPr>
            <w:tcW w:type="dxa" w:w="1337"/>
          </w:tcPr>
          <w:p>
            <w:pPr>
              <w:spacing w:before="60" w:after="60"/>
            </w:pPr>
            <w:r/>
            <w:r>
              <w:rPr>
                <w:b/>
              </w:rPr>
              <w:t>Full EFSA Gate (All 5 Components)</w:t>
            </w:r>
          </w:p>
        </w:tc>
        <w:tc>
          <w:tcPr>
            <w:tcW w:type="dxa" w:w="1337"/>
          </w:tcPr>
          <w:p>
            <w:pPr>
              <w:spacing w:before="60" w:after="60"/>
            </w:pPr>
            <w:r/>
            <w:r>
              <w:rPr>
                <w:b/>
              </w:rPr>
              <w:t>60.00%</w:t>
            </w:r>
          </w:p>
        </w:tc>
        <w:tc>
          <w:tcPr>
            <w:tcW w:type="dxa" w:w="1337"/>
          </w:tcPr>
          <w:p>
            <w:pPr>
              <w:spacing w:before="60" w:after="60"/>
            </w:pPr>
            <w:r/>
            <w:r>
              <w:rPr>
                <w:b/>
              </w:rPr>
              <w:t>46.15%</w:t>
            </w:r>
          </w:p>
        </w:tc>
        <w:tc>
          <w:tcPr>
            <w:tcW w:type="dxa" w:w="1337"/>
          </w:tcPr>
          <w:p>
            <w:pPr>
              <w:spacing w:before="60" w:after="60"/>
            </w:pPr>
            <w:r/>
            <w:r>
              <w:rPr>
                <w:b/>
              </w:rPr>
              <w:t>35.29%</w:t>
            </w:r>
          </w:p>
        </w:tc>
        <w:tc>
          <w:tcPr>
            <w:tcW w:type="dxa" w:w="1337"/>
          </w:tcPr>
          <w:p>
            <w:pPr>
              <w:spacing w:before="60" w:after="60"/>
            </w:pPr>
            <w:r/>
            <w:r>
              <w:rPr>
                <w:b/>
              </w:rPr>
              <w:t>40.00%</w:t>
            </w:r>
          </w:p>
        </w:tc>
        <w:tc>
          <w:tcPr>
            <w:tcW w:type="dxa" w:w="1337"/>
          </w:tcPr>
          <w:p>
            <w:pPr>
              <w:spacing w:before="60" w:after="60"/>
            </w:pPr>
            <w:r/>
            <w:r>
              <w:rPr>
                <w:b/>
              </w:rPr>
              <w:t>0.110</w:t>
            </w:r>
          </w:p>
        </w:tc>
        <w:tc>
          <w:tcPr>
            <w:tcW w:type="dxa" w:w="1337"/>
          </w:tcPr>
          <w:p>
            <w:pPr>
              <w:spacing w:before="60" w:after="60"/>
            </w:pPr>
            <w:r/>
            <w:r>
              <w:t>Baseline multi-evidence gate</w:t>
            </w:r>
          </w:p>
        </w:tc>
      </w:tr>
      <w:tr>
        <w:tc>
          <w:tcPr>
            <w:tcW w:type="dxa" w:w="1337"/>
          </w:tcPr>
          <w:p>
            <w:pPr>
              <w:spacing w:before="60" w:after="60"/>
            </w:pPr>
            <w:r/>
            <w:r>
              <w:rPr>
                <w:i/>
              </w:rPr>
              <w:t>w/o Sector Match ($S_{\text{sec}}$)</w:t>
            </w:r>
          </w:p>
        </w:tc>
        <w:tc>
          <w:tcPr>
            <w:tcW w:type="dxa" w:w="1337"/>
          </w:tcPr>
          <w:p>
            <w:pPr>
              <w:spacing w:before="60" w:after="60"/>
            </w:pPr>
            <w:r/>
            <w:r>
              <w:t>44.44%</w:t>
            </w:r>
          </w:p>
        </w:tc>
        <w:tc>
          <w:tcPr>
            <w:tcW w:type="dxa" w:w="1337"/>
          </w:tcPr>
          <w:p>
            <w:pPr>
              <w:spacing w:before="60" w:after="60"/>
            </w:pPr>
            <w:r/>
            <w:r>
              <w:t>34.62%</w:t>
            </w:r>
          </w:p>
        </w:tc>
        <w:tc>
          <w:tcPr>
            <w:tcW w:type="dxa" w:w="1337"/>
          </w:tcPr>
          <w:p>
            <w:pPr>
              <w:spacing w:before="60" w:after="60"/>
            </w:pPr>
            <w:r/>
            <w:r>
              <w:t>52.94%</w:t>
            </w:r>
          </w:p>
        </w:tc>
        <w:tc>
          <w:tcPr>
            <w:tcW w:type="dxa" w:w="1337"/>
          </w:tcPr>
          <w:p>
            <w:pPr>
              <w:spacing w:before="60" w:after="60"/>
            </w:pPr>
            <w:r/>
            <w:r>
              <w:t>41.86%</w:t>
            </w:r>
          </w:p>
        </w:tc>
        <w:tc>
          <w:tcPr>
            <w:tcW w:type="dxa" w:w="1337"/>
          </w:tcPr>
          <w:p>
            <w:pPr>
              <w:spacing w:before="60" w:after="60"/>
            </w:pPr>
            <w:r/>
            <w:r>
              <w:t>-0.076</w:t>
            </w:r>
          </w:p>
        </w:tc>
        <w:tc>
          <w:tcPr>
            <w:tcW w:type="dxa" w:w="1337"/>
          </w:tcPr>
          <w:p>
            <w:pPr>
              <w:spacing w:before="60" w:after="60"/>
            </w:pPr>
            <w:r/>
            <w:r>
              <w:t>Severe cross-domain false candidate leaks</w:t>
            </w:r>
          </w:p>
        </w:tc>
      </w:tr>
      <w:tr>
        <w:tc>
          <w:tcPr>
            <w:tcW w:type="dxa" w:w="1337"/>
          </w:tcPr>
          <w:p>
            <w:pPr>
              <w:spacing w:before="60" w:after="60"/>
            </w:pPr>
            <w:r/>
            <w:r>
              <w:rPr>
                <w:i/>
              </w:rPr>
              <w:t>w/o Unigram Keyword IoU ($S_{\text{key}}$)</w:t>
            </w:r>
          </w:p>
        </w:tc>
        <w:tc>
          <w:tcPr>
            <w:tcW w:type="dxa" w:w="1337"/>
          </w:tcPr>
          <w:p>
            <w:pPr>
              <w:spacing w:before="60" w:after="60"/>
            </w:pPr>
            <w:r/>
            <w:r>
              <w:t>42.22%</w:t>
            </w:r>
          </w:p>
        </w:tc>
        <w:tc>
          <w:tcPr>
            <w:tcW w:type="dxa" w:w="1337"/>
          </w:tcPr>
          <w:p>
            <w:pPr>
              <w:spacing w:before="60" w:after="60"/>
            </w:pPr>
            <w:r/>
            <w:r>
              <w:t>28.57%</w:t>
            </w:r>
          </w:p>
        </w:tc>
        <w:tc>
          <w:tcPr>
            <w:tcW w:type="dxa" w:w="1337"/>
          </w:tcPr>
          <w:p>
            <w:pPr>
              <w:spacing w:before="60" w:after="60"/>
            </w:pPr>
            <w:r/>
            <w:r>
              <w:t>35.29%</w:t>
            </w:r>
          </w:p>
        </w:tc>
        <w:tc>
          <w:tcPr>
            <w:tcW w:type="dxa" w:w="1337"/>
          </w:tcPr>
          <w:p>
            <w:pPr>
              <w:spacing w:before="60" w:after="60"/>
            </w:pPr>
            <w:r/>
            <w:r>
              <w:t>31.58%</w:t>
            </w:r>
          </w:p>
        </w:tc>
        <w:tc>
          <w:tcPr>
            <w:tcW w:type="dxa" w:w="1337"/>
          </w:tcPr>
          <w:p>
            <w:pPr>
              <w:spacing w:before="60" w:after="60"/>
            </w:pPr>
            <w:r/>
            <w:r>
              <w:t>-0.178</w:t>
            </w:r>
          </w:p>
        </w:tc>
        <w:tc>
          <w:tcPr>
            <w:tcW w:type="dxa" w:w="1337"/>
          </w:tcPr>
          <w:p>
            <w:pPr>
              <w:spacing w:before="60" w:after="60"/>
            </w:pPr>
            <w:r/>
            <w:r>
              <w:t>Significant precision loss on short titles</w:t>
            </w:r>
          </w:p>
        </w:tc>
      </w:tr>
      <w:tr>
        <w:tc>
          <w:tcPr>
            <w:tcW w:type="dxa" w:w="1337"/>
          </w:tcPr>
          <w:p>
            <w:pPr>
              <w:spacing w:before="60" w:after="60"/>
            </w:pPr>
            <w:r/>
            <w:r>
              <w:rPr>
                <w:i/>
              </w:rPr>
              <w:t>w/o Named Entity Overlap ($S_{\text{ent}}$)</w:t>
            </w:r>
          </w:p>
        </w:tc>
        <w:tc>
          <w:tcPr>
            <w:tcW w:type="dxa" w:w="1337"/>
          </w:tcPr>
          <w:p>
            <w:pPr>
              <w:spacing w:before="60" w:after="60"/>
            </w:pPr>
            <w:r/>
            <w:r>
              <w:t>62.22%</w:t>
            </w:r>
          </w:p>
        </w:tc>
        <w:tc>
          <w:tcPr>
            <w:tcW w:type="dxa" w:w="1337"/>
          </w:tcPr>
          <w:p>
            <w:pPr>
              <w:spacing w:before="60" w:after="60"/>
            </w:pPr>
            <w:r/>
            <w:r>
              <w:t>50.00%</w:t>
            </w:r>
          </w:p>
        </w:tc>
        <w:tc>
          <w:tcPr>
            <w:tcW w:type="dxa" w:w="1337"/>
          </w:tcPr>
          <w:p>
            <w:pPr>
              <w:spacing w:before="60" w:after="60"/>
            </w:pPr>
            <w:r/>
            <w:r>
              <w:t>41.18%</w:t>
            </w:r>
          </w:p>
        </w:tc>
        <w:tc>
          <w:tcPr>
            <w:tcW w:type="dxa" w:w="1337"/>
          </w:tcPr>
          <w:p>
            <w:pPr>
              <w:spacing w:before="60" w:after="60"/>
            </w:pPr>
            <w:r/>
            <w:r>
              <w:t>45.16%</w:t>
            </w:r>
          </w:p>
        </w:tc>
        <w:tc>
          <w:tcPr>
            <w:tcW w:type="dxa" w:w="1337"/>
          </w:tcPr>
          <w:p>
            <w:pPr>
              <w:spacing w:before="60" w:after="60"/>
            </w:pPr>
            <w:r/>
            <w:r>
              <w:t>0.169</w:t>
            </w:r>
          </w:p>
        </w:tc>
        <w:tc>
          <w:tcPr>
            <w:tcW w:type="dxa" w:w="1337"/>
          </w:tcPr>
          <w:p>
            <w:pPr>
              <w:spacing w:before="60" w:after="60"/>
            </w:pPr>
            <w:r/>
            <w:r>
              <w:t>Drops precision on proper noun pairs</w:t>
            </w:r>
          </w:p>
        </w:tc>
      </w:tr>
      <w:tr>
        <w:tc>
          <w:tcPr>
            <w:tcW w:type="dxa" w:w="1337"/>
          </w:tcPr>
          <w:p>
            <w:pPr>
              <w:spacing w:before="60" w:after="60"/>
            </w:pPr>
            <w:r/>
            <w:r>
              <w:rPr>
                <w:i/>
              </w:rPr>
              <w:t>w/o Headline Character Cosine ($S_{\text{head}}$)</w:t>
            </w:r>
          </w:p>
        </w:tc>
        <w:tc>
          <w:tcPr>
            <w:tcW w:type="dxa" w:w="1337"/>
          </w:tcPr>
          <w:p>
            <w:pPr>
              <w:spacing w:before="60" w:after="60"/>
            </w:pPr>
            <w:r/>
            <w:r>
              <w:t>64.44%</w:t>
            </w:r>
          </w:p>
        </w:tc>
        <w:tc>
          <w:tcPr>
            <w:tcW w:type="dxa" w:w="1337"/>
          </w:tcPr>
          <w:p>
            <w:pPr>
              <w:spacing w:before="60" w:after="60"/>
            </w:pPr>
            <w:r/>
            <w:r>
              <w:t>55.56%</w:t>
            </w:r>
          </w:p>
        </w:tc>
        <w:tc>
          <w:tcPr>
            <w:tcW w:type="dxa" w:w="1337"/>
          </w:tcPr>
          <w:p>
            <w:pPr>
              <w:spacing w:before="60" w:after="60"/>
            </w:pPr>
            <w:r/>
            <w:r>
              <w:t>29.41%</w:t>
            </w:r>
          </w:p>
        </w:tc>
        <w:tc>
          <w:tcPr>
            <w:tcW w:type="dxa" w:w="1337"/>
          </w:tcPr>
          <w:p>
            <w:pPr>
              <w:spacing w:before="60" w:after="60"/>
            </w:pPr>
            <w:r/>
            <w:r>
              <w:t>38.46%</w:t>
            </w:r>
          </w:p>
        </w:tc>
        <w:tc>
          <w:tcPr>
            <w:tcW w:type="dxa" w:w="1337"/>
          </w:tcPr>
          <w:p>
            <w:pPr>
              <w:spacing w:before="60" w:after="60"/>
            </w:pPr>
            <w:r/>
            <w:r>
              <w:t>0.183</w:t>
            </w:r>
          </w:p>
        </w:tc>
        <w:tc>
          <w:tcPr>
            <w:tcW w:type="dxa" w:w="1337"/>
          </w:tcPr>
          <w:p>
            <w:pPr>
              <w:spacing w:before="60" w:after="60"/>
            </w:pPr>
            <w:r/>
            <w:r>
              <w:t>Misses character-level n-gram variations</w:t>
            </w:r>
          </w:p>
        </w:tc>
      </w:tr>
      <w:tr>
        <w:tc>
          <w:tcPr>
            <w:tcW w:type="dxa" w:w="1337"/>
          </w:tcPr>
          <w:p>
            <w:pPr>
              <w:spacing w:before="60" w:after="60"/>
            </w:pPr>
            <w:r/>
            <w:r>
              <w:rPr>
                <w:i/>
              </w:rPr>
              <w:t>w/o Temporal Decay ($S_{\text{temp}}$)</w:t>
            </w:r>
          </w:p>
        </w:tc>
        <w:tc>
          <w:tcPr>
            <w:tcW w:type="dxa" w:w="1337"/>
          </w:tcPr>
          <w:p>
            <w:pPr>
              <w:spacing w:before="60" w:after="60"/>
            </w:pPr>
            <w:r/>
            <w:r>
              <w:t>68.89%</w:t>
            </w:r>
          </w:p>
        </w:tc>
        <w:tc>
          <w:tcPr>
            <w:tcW w:type="dxa" w:w="1337"/>
          </w:tcPr>
          <w:p>
            <w:pPr>
              <w:spacing w:before="60" w:after="60"/>
            </w:pPr>
            <w:r/>
            <w:r>
              <w:t>71.43%</w:t>
            </w:r>
          </w:p>
        </w:tc>
        <w:tc>
          <w:tcPr>
            <w:tcW w:type="dxa" w:w="1337"/>
          </w:tcPr>
          <w:p>
            <w:pPr>
              <w:spacing w:before="60" w:after="60"/>
            </w:pPr>
            <w:r/>
            <w:r>
              <w:t>29.41%</w:t>
            </w:r>
          </w:p>
        </w:tc>
        <w:tc>
          <w:tcPr>
            <w:tcW w:type="dxa" w:w="1337"/>
          </w:tcPr>
          <w:p>
            <w:pPr>
              <w:spacing w:before="60" w:after="60"/>
            </w:pPr>
            <w:r/>
            <w:r>
              <w:t>41.67%</w:t>
            </w:r>
          </w:p>
        </w:tc>
        <w:tc>
          <w:tcPr>
            <w:tcW w:type="dxa" w:w="1337"/>
          </w:tcPr>
          <w:p>
            <w:pPr>
              <w:spacing w:before="60" w:after="60"/>
            </w:pPr>
            <w:r/>
            <w:r>
              <w:t>0.298</w:t>
            </w:r>
          </w:p>
        </w:tc>
        <w:tc>
          <w:tcPr>
            <w:tcW w:type="dxa" w:w="1337"/>
          </w:tcPr>
          <w:p>
            <w:pPr>
              <w:spacing w:before="60" w:after="60"/>
            </w:pPr>
            <w:r/>
            <w:r>
              <w:t>Removes time window decay weighting</w:t>
            </w:r>
          </w:p>
        </w:tc>
      </w:tr>
    </w:tbl>
    <w:p/>
    <w:p>
      <w:pPr>
        <w:jc w:val="center"/>
      </w:pPr>
      <w:r>
        <w:rPr>
          <w:color w:val="969696"/>
        </w:rPr>
        <w:t>─────── ❖ ───────</w:t>
      </w:r>
    </w:p>
    <w:p>
      <w:pPr>
        <w:pStyle w:val="Heading3"/>
      </w:pPr>
      <w:r>
        <w:t>5.4 Algorithmic Complexity &amp; Measured Latency</w:t>
      </w:r>
    </w:p>
    <w:p>
      <w:r>
        <w:rPr>
          <w:b/>
        </w:rPr>
        <w:t>TABLE IX: ALGORITHMIC COMPLEXITY COMPARISON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F0F4F8"/>
          </w:tcPr>
          <w:p>
            <w:pPr>
              <w:spacing w:before="60" w:after="60"/>
            </w:pPr>
            <w:r>
              <w:rPr>
                <w:b/>
              </w:rPr>
            </w:r>
            <w:r>
              <w:rPr>
                <w:b/>
              </w:rPr>
              <w:t>Algorithm / System</w:t>
            </w:r>
          </w:p>
        </w:tc>
        <w:tc>
          <w:tcPr>
            <w:tcW w:type="dxa" w:w="2340"/>
            <w:shd w:fill="F0F4F8"/>
          </w:tcPr>
          <w:p>
            <w:pPr>
              <w:spacing w:before="60" w:after="60"/>
            </w:pPr>
            <w:r>
              <w:rPr>
                <w:b/>
              </w:rPr>
            </w:r>
            <w:r>
              <w:rPr>
                <w:b/>
              </w:rPr>
              <w:t>Time Complexity</w:t>
            </w:r>
          </w:p>
        </w:tc>
        <w:tc>
          <w:tcPr>
            <w:tcW w:type="dxa" w:w="2340"/>
            <w:shd w:fill="F0F4F8"/>
          </w:tcPr>
          <w:p>
            <w:pPr>
              <w:spacing w:before="60" w:after="60"/>
            </w:pPr>
            <w:r>
              <w:rPr>
                <w:b/>
              </w:rPr>
            </w:r>
            <w:r>
              <w:rPr>
                <w:b/>
              </w:rPr>
              <w:t>Space Complexity</w:t>
            </w:r>
          </w:p>
        </w:tc>
        <w:tc>
          <w:tcPr>
            <w:tcW w:type="dxa" w:w="2340"/>
            <w:shd w:fill="F0F4F8"/>
          </w:tcPr>
          <w:p>
            <w:pPr>
              <w:spacing w:before="60" w:after="60"/>
            </w:pPr>
            <w:r>
              <w:rPr>
                <w:b/>
              </w:rPr>
            </w:r>
            <w:r>
              <w:rPr>
                <w:b/>
              </w:rPr>
              <w:t>Incremental Update Cost</w:t>
            </w:r>
          </w:p>
        </w:tc>
      </w:tr>
      <w:tr>
        <w:tc>
          <w:tcPr>
            <w:tcW w:type="dxa" w:w="2340"/>
          </w:tcPr>
          <w:p>
            <w:pPr>
              <w:spacing w:before="60" w:after="60"/>
            </w:pPr>
            <w:r/>
            <w:r>
              <w:rPr>
                <w:b/>
              </w:rPr>
              <w:t>Unconditional LLM Verification</w:t>
            </w:r>
          </w:p>
        </w:tc>
        <w:tc>
          <w:tcPr>
            <w:tcW w:type="dxa" w:w="2340"/>
          </w:tcPr>
          <w:p>
            <w:pPr>
              <w:spacing w:before="60" w:after="60"/>
            </w:pPr>
            <w:r/>
            <w:r>
              <w:rPr>
                <w:rFonts w:ascii="Cambria Math" w:hAnsi="Cambria Math"/>
                <w:i/>
              </w:rPr>
              <w:t>\mathcal{O}(N \times M)</w:t>
            </w:r>
          </w:p>
        </w:tc>
        <w:tc>
          <w:tcPr>
            <w:tcW w:type="dxa" w:w="2340"/>
          </w:tcPr>
          <w:p>
            <w:pPr>
              <w:spacing w:before="60" w:after="60"/>
            </w:pPr>
            <w:r/>
            <w:r>
              <w:rPr>
                <w:rFonts w:ascii="Cambria Math" w:hAnsi="Cambria Math"/>
                <w:i/>
              </w:rPr>
              <w:t>\mathcal{O}(1)</w:t>
            </w:r>
          </w:p>
        </w:tc>
        <w:tc>
          <w:tcPr>
            <w:tcW w:type="dxa" w:w="2340"/>
          </w:tcPr>
          <w:p>
            <w:pPr>
              <w:spacing w:before="60" w:after="60"/>
            </w:pPr>
            <w:r/>
            <w:r>
              <w:t>High (</w:t>
            </w:r>
            <w:r>
              <w:rPr>
                <w:rFonts w:ascii="Cambria Math" w:hAnsi="Cambria Math"/>
                <w:i/>
              </w:rPr>
              <w:t>\approx 2.99</w:t>
            </w:r>
            <w:r>
              <w:t>s mean measured, Section 5.4)</w:t>
            </w:r>
          </w:p>
        </w:tc>
      </w:tr>
      <w:tr>
        <w:tc>
          <w:tcPr>
            <w:tcW w:type="dxa" w:w="2340"/>
          </w:tcPr>
          <w:p>
            <w:pPr>
              <w:spacing w:before="60" w:after="60"/>
            </w:pPr>
            <w:r/>
            <w:r>
              <w:rPr>
                <w:b/>
              </w:rPr>
              <w:t>Stage 1 Lexical Jaccard</w:t>
            </w:r>
          </w:p>
        </w:tc>
        <w:tc>
          <w:tcPr>
            <w:tcW w:type="dxa" w:w="2340"/>
          </w:tcPr>
          <w:p>
            <w:pPr>
              <w:spacing w:before="60" w:after="60"/>
            </w:pPr>
            <w:r/>
            <w:r>
              <w:rPr>
                <w:rFonts w:ascii="Cambria Math" w:hAnsi="Cambria Math"/>
                <w:i/>
              </w:rPr>
              <w:t>\mathcal{O}(K)</w:t>
            </w:r>
          </w:p>
        </w:tc>
        <w:tc>
          <w:tcPr>
            <w:tcW w:type="dxa" w:w="2340"/>
          </w:tcPr>
          <w:p>
            <w:pPr>
              <w:spacing w:before="60" w:after="60"/>
            </w:pPr>
            <w:r/>
            <w:r>
              <w:rPr>
                <w:rFonts w:ascii="Cambria Math" w:hAnsi="Cambria Math"/>
                <w:i/>
              </w:rPr>
              <w:t>\mathcal{O}(W)</w:t>
            </w:r>
          </w:p>
        </w:tc>
        <w:tc>
          <w:tcPr>
            <w:tcW w:type="dxa" w:w="2340"/>
          </w:tcPr>
          <w:p>
            <w:pPr>
              <w:spacing w:before="60" w:after="60"/>
            </w:pPr>
            <w:r/>
            <w:r>
              <w:t>Negligible relative to LLM cost (no GPU/network dependency)</w:t>
            </w:r>
          </w:p>
        </w:tc>
      </w:tr>
      <w:tr>
        <w:tc>
          <w:tcPr>
            <w:tcW w:type="dxa" w:w="2340"/>
          </w:tcPr>
          <w:p>
            <w:pPr>
              <w:spacing w:before="60" w:after="60"/>
            </w:pPr>
            <w:r/>
            <w:r>
              <w:rPr>
                <w:b/>
              </w:rPr>
              <w:t>Algorithm 1: EFSA Multi-Evidence</w:t>
            </w:r>
          </w:p>
        </w:tc>
        <w:tc>
          <w:tcPr>
            <w:tcW w:type="dxa" w:w="2340"/>
          </w:tcPr>
          <w:p>
            <w:pPr>
              <w:spacing w:before="60" w:after="60"/>
            </w:pPr>
            <w:r/>
            <w:r>
              <w:rPr>
                <w:rFonts w:ascii="Cambria Math" w:hAnsi="Cambria Math"/>
                <w:i/>
              </w:rPr>
              <w:t>\mathcal{O}(K \cdot E)</w:t>
            </w:r>
          </w:p>
        </w:tc>
        <w:tc>
          <w:tcPr>
            <w:tcW w:type="dxa" w:w="2340"/>
          </w:tcPr>
          <w:p>
            <w:pPr>
              <w:spacing w:before="60" w:after="60"/>
            </w:pPr>
            <w:r/>
            <w:r>
              <w:rPr>
                <w:rFonts w:ascii="Cambria Math" w:hAnsi="Cambria Math"/>
                <w:i/>
              </w:rPr>
              <w:t>\mathcal{O}(E)</w:t>
            </w:r>
          </w:p>
        </w:tc>
        <w:tc>
          <w:tcPr>
            <w:tcW w:type="dxa" w:w="2340"/>
          </w:tcPr>
          <w:p>
            <w:pPr>
              <w:spacing w:before="60" w:after="60"/>
            </w:pPr>
            <w:r/>
            <w:r>
              <w:t>Negligible relative to LLM cost (no GPU/network dependency)</w:t>
            </w:r>
          </w:p>
        </w:tc>
      </w:tr>
      <w:tr>
        <w:tc>
          <w:tcPr>
            <w:tcW w:type="dxa" w:w="2340"/>
          </w:tcPr>
          <w:p>
            <w:pPr>
              <w:spacing w:before="60" w:after="60"/>
            </w:pPr>
            <w:r/>
            <w:r>
              <w:rPr>
                <w:b/>
              </w:rPr>
              <w:t>Algorithm 2: DPCS Online Credibility</w:t>
            </w:r>
          </w:p>
        </w:tc>
        <w:tc>
          <w:tcPr>
            <w:tcW w:type="dxa" w:w="2340"/>
          </w:tcPr>
          <w:p>
            <w:pPr>
              <w:spacing w:before="60" w:after="60"/>
            </w:pPr>
            <w:r/>
            <w:r>
              <w:rPr>
                <w:rFonts w:ascii="Cambria Math" w:hAnsi="Cambria Math"/>
                <w:i/>
              </w:rPr>
              <w:t>\mathcal{O}(1)</w:t>
            </w:r>
          </w:p>
        </w:tc>
        <w:tc>
          <w:tcPr>
            <w:tcW w:type="dxa" w:w="2340"/>
          </w:tcPr>
          <w:p>
            <w:pPr>
              <w:spacing w:before="60" w:after="60"/>
            </w:pPr>
            <w:r/>
            <w:r>
              <w:rPr>
                <w:rFonts w:ascii="Cambria Math" w:hAnsi="Cambria Math"/>
                <w:i/>
              </w:rPr>
              <w:t>\mathcal{O}(P)</w:t>
            </w:r>
          </w:p>
        </w:tc>
        <w:tc>
          <w:tcPr>
            <w:tcW w:type="dxa" w:w="2340"/>
          </w:tcPr>
          <w:p>
            <w:pPr>
              <w:spacing w:before="60" w:after="60"/>
            </w:pPr>
            <w:r/>
            <w:r>
              <w:t>Negligible relative to LLM cost (</w:t>
            </w:r>
            <w:r>
              <w:rPr>
                <w:rFonts w:ascii="Cambria Math" w:hAnsi="Cambria Math"/>
                <w:i/>
              </w:rPr>
              <w:t>\mathcal{O}(1)</w:t>
            </w:r>
            <w:r>
              <w:t xml:space="preserve"> scalar update)</w:t>
            </w:r>
          </w:p>
        </w:tc>
      </w:tr>
    </w:tbl>
    <w:p/>
    <w:p>
      <w:r>
        <w:rPr>
          <w:i/>
        </w:rPr>
        <w:t>where $N$ is total ingested articles, $K \ll N$ is candidate events within the 48-hour temporal window ($K \approx 15\text{--}30$), $W$ is token set size, $E$ is extracted entity set size, and $P$ is active wire publisher count ($P \approx 21$).</w:t>
      </w:r>
    </w:p>
    <w:p>
      <w:pPr>
        <w:pStyle w:val="Heading4"/>
      </w:pPr>
      <w:r>
        <w:t>Mathematical Asymptotic Analysis</w:t>
      </w:r>
    </w:p>
    <w:p>
      <w:pPr>
        <w:pStyle w:val="ListNumber"/>
      </w:pPr>
      <w:r>
        <w:rPr>
          <w:b/>
        </w:rPr>
        <w:t>Ingestion &amp; Anti-Duplication Lock:</w:t>
      </w:r>
      <w:r>
        <w:t xml:space="preserve"> Querying MongoDB B-tree indexes for </w:t>
      </w:r>
      <w:r>
        <w:rPr>
          <w:rFonts w:ascii="Consolas" w:hAnsi="Consolas"/>
          <w:color w:val="B42828"/>
          <w:sz w:val="19"/>
        </w:rPr>
        <w:t>url</w:t>
      </w:r>
      <w:r>
        <w:t xml:space="preserve"> and </w:t>
      </w:r>
      <w:r>
        <w:rPr>
          <w:rFonts w:ascii="Consolas" w:hAnsi="Consolas"/>
          <w:color w:val="B42828"/>
          <w:sz w:val="19"/>
        </w:rPr>
        <w:t>title_hash</w:t>
      </w:r>
      <w:r>
        <w:t xml:space="preserve"> (MD5 digest) runs in </w:t>
      </w:r>
      <w:r>
        <w:rPr>
          <w:rFonts w:ascii="Cambria Math" w:hAnsi="Cambria Math"/>
          <w:i/>
        </w:rPr>
        <w:t>\mathcal{O}(1)</w:t>
      </w:r>
      <w:r>
        <w:t xml:space="preserve"> time. If matched, processing terminates immediately with zero computational overhead.</w:t>
      </w:r>
    </w:p>
    <w:p>
      <w:pPr>
        <w:pStyle w:val="ListNumber"/>
      </w:pPr>
      <w:r>
        <w:rPr>
          <w:b/>
        </w:rPr>
        <w:t>Temporal Windowing ($K \ll N$):</w:t>
      </w:r>
      <w:r>
        <w:t xml:space="preserve"> Rather than performing brute-force pairwise comparisons across all historical articles (</w:t>
      </w:r>
      <w:r>
        <w:rPr>
          <w:rFonts w:ascii="Cambria Math" w:hAnsi="Cambria Math"/>
          <w:i/>
        </w:rPr>
        <w:t>N \ge 10^4</w:t>
      </w:r>
      <w:r>
        <w:t>), candidate selection is restricted to active event clusters created within a 48-hour sliding window (</w:t>
      </w:r>
      <w:r>
        <w:rPr>
          <w:rFonts w:ascii="Cambria Math" w:hAnsi="Cambria Math"/>
          <w:i/>
        </w:rPr>
        <w:t>K \approx 15\text{--}30</w:t>
      </w:r>
      <w:r>
        <w:t>).</w:t>
      </w:r>
    </w:p>
    <w:p>
      <w:pPr>
        <w:pStyle w:val="ListNumber"/>
      </w:pPr>
      <w:r>
        <w:rPr>
          <w:b/>
        </w:rPr>
        <w:t>Stage 1 Fast-Path Gate &amp; Algorithm 1 (EFSA):</w:t>
      </w:r>
      <w:r>
        <w:t xml:space="preserve"> Computing unigram IoU (</w:t>
      </w:r>
      <w:r>
        <w:rPr>
          <w:rFonts w:ascii="Cambria Math" w:hAnsi="Cambria Math"/>
          <w:i/>
        </w:rPr>
        <w:t>S_{\text{key}}</w:t>
      </w:r>
      <w:r>
        <w:t>), character 3-gram cosine (</w:t>
      </w:r>
      <w:r>
        <w:rPr>
          <w:rFonts w:ascii="Cambria Math" w:hAnsi="Cambria Math"/>
          <w:i/>
        </w:rPr>
        <w:t>S_{\text{head}}</w:t>
      </w:r>
      <w:r>
        <w:t>), named entity set overlap (</w:t>
      </w:r>
      <w:r>
        <w:rPr>
          <w:rFonts w:ascii="Cambria Math" w:hAnsi="Cambria Math"/>
          <w:i/>
        </w:rPr>
        <w:t>S_{\text{ent}}</w:t>
      </w:r>
      <w:r>
        <w:t>), time decay (</w:t>
      </w:r>
      <w:r>
        <w:rPr>
          <w:rFonts w:ascii="Cambria Math" w:hAnsi="Cambria Math"/>
          <w:i/>
        </w:rPr>
        <w:t>S_{\text{temp}}</w:t>
      </w:r>
      <w:r>
        <w:t>), and sector match (</w:t>
      </w:r>
      <w:r>
        <w:rPr>
          <w:rFonts w:ascii="Cambria Math" w:hAnsi="Cambria Math"/>
          <w:i/>
        </w:rPr>
        <w:t>S_{\text{sec}}</w:t>
      </w:r>
      <w:r>
        <w:t xml:space="preserve">) requires </w:t>
      </w:r>
      <w:r>
        <w:rPr>
          <w:rFonts w:ascii="Cambria Math" w:hAnsi="Cambria Math"/>
          <w:i/>
        </w:rPr>
        <w:t>\mathcal{O}(K \cdot |V|)</w:t>
      </w:r>
      <w:r>
        <w:t xml:space="preserve"> token/n-gram operations — several orders of magnitude cheaper than the </w:t>
      </w:r>
      <w:r>
        <w:rPr>
          <w:rFonts w:ascii="Cambria Math" w:hAnsi="Cambria Math"/>
          <w:i/>
        </w:rPr>
        <w:t>\approx 2.99</w:t>
      </w:r>
      <w:r>
        <w:t>-second mean LLM verification latency measured in this section, though the exact per-operation cost was not independently benchmarked and is not reported as a specific figure here.</w:t>
      </w:r>
    </w:p>
    <w:p>
      <w:pPr>
        <w:pStyle w:val="ListNumber"/>
      </w:pPr>
      <w:r>
        <w:rPr>
          <w:b/>
        </w:rPr>
        <w:t>Algorithm 2 (DPCS Online Credibility):</w:t>
      </w:r>
      <w:r>
        <w:t xml:space="preserve"> Updating publisher records via </w:t>
      </w:r>
      <w:r>
        <w:rPr>
          <w:rFonts w:ascii="Consolas" w:hAnsi="Consolas"/>
          <w:color w:val="B42828"/>
          <w:sz w:val="19"/>
        </w:rPr>
        <w:t>updatePublisherCredibility()</w:t>
      </w:r>
      <w:r>
        <w:t xml:space="preserve"> performs Map lookups and scalar EMA calculations in </w:t>
      </w:r>
      <w:r>
        <w:rPr>
          <w:rFonts w:ascii="Cambria Math" w:hAnsi="Cambria Math"/>
          <w:i/>
        </w:rPr>
        <w:t>\mathcal{O}(1)</w:t>
      </w:r>
      <w:r>
        <w:t xml:space="preserve"> time and </w:t>
      </w:r>
      <w:r>
        <w:rPr>
          <w:rFonts w:ascii="Cambria Math" w:hAnsi="Cambria Math"/>
          <w:i/>
        </w:rPr>
        <w:t>\mathcal{O}(P)</w:t>
      </w:r>
      <w:r>
        <w:t xml:space="preserve"> space.</w:t>
      </w:r>
    </w:p>
    <w:p>
      <w:pPr>
        <w:pStyle w:val="ListNumber"/>
      </w:pPr>
      <w:r>
        <w:rPr>
          <w:b/>
        </w:rPr>
        <w:t>Stage 2 LLM Verification Savings:</w:t>
      </w:r>
      <w:r>
        <w:t xml:space="preserve"> By filtering out </w:t>
      </w:r>
      <w:r>
        <w:rPr>
          <w:rFonts w:ascii="Cambria Math" w:hAnsi="Cambria Math"/>
          <w:i/>
        </w:rPr>
        <w:t>75\text{--}80\%</w:t>
      </w:r>
      <w:r>
        <w:t xml:space="preserve"> of candidate pairs in Stage 1, total LLM inference invocations scale at </w:t>
      </w:r>
      <w:r>
        <w:rPr>
          <w:rFonts w:ascii="Cambria Math" w:hAnsi="Cambria Math"/>
          <w:i/>
        </w:rPr>
        <w:t>\mathcal{O}(C_{\text{surviving}})</w:t>
      </w:r>
      <w:r>
        <w:t xml:space="preserve"> rather than </w:t>
      </w:r>
      <w:r>
        <w:rPr>
          <w:rFonts w:ascii="Cambria Math" w:hAnsi="Cambria Math"/>
          <w:i/>
        </w:rPr>
        <w:t>\mathcal{O}(N \times M)</w:t>
      </w:r>
      <w:r>
        <w:t xml:space="preserve"> pairwise brute force, reducing total system latency and financial API costs substantially.</w:t>
      </w:r>
    </w:p>
    <w:p>
      <w:pPr>
        <w:pStyle w:val="Heading4"/>
      </w:pPr>
      <w:r>
        <w:t>Measured Latency &amp; Throughput Benchmark</w:t>
      </w:r>
    </w:p>
    <w:p>
      <w:r>
        <w:t xml:space="preserve">To replace unverified estimations, execution latency was empirically measured across </w:t>
      </w:r>
      <w:r>
        <w:rPr>
          <w:b/>
        </w:rPr>
        <w:t>20 real synthesis calls</w:t>
      </w:r>
      <w:r>
        <w:t xml:space="preserve"> to </w:t>
      </w:r>
      <w:r>
        <w:rPr>
          <w:rFonts w:ascii="Consolas" w:hAnsi="Consolas"/>
          <w:color w:val="B42828"/>
          <w:sz w:val="19"/>
        </w:rPr>
        <w:t>synthesizeWithGroq()</w:t>
      </w:r>
      <w:r>
        <w:t xml:space="preserve"> using actual wire headlines (</w:t>
      </w:r>
      <w:r>
        <w:rPr>
          <w:rFonts w:ascii="Consolas" w:hAnsi="Consolas"/>
          <w:color w:val="B42828"/>
          <w:sz w:val="19"/>
        </w:rPr>
        <w:t>backend/jobs/evaluation/latency-benchmark-results.json</w:t>
      </w:r>
      <w:r>
        <w:t>):</w:t>
      </w:r>
    </w:p>
    <w:p>
      <w:pPr>
        <w:pStyle w:val="ListBullet"/>
      </w:pPr>
      <w:r>
        <w:rPr>
          <w:b/>
        </w:rPr>
        <w:t>Minimum Latency:</w:t>
      </w:r>
      <w:r>
        <w:t xml:space="preserve"> </w:t>
      </w:r>
      <w:r>
        <w:rPr>
          <w:rFonts w:ascii="Cambria Math" w:hAnsi="Cambria Math"/>
          <w:i/>
        </w:rPr>
        <w:t>1,017.17\text{ ms}</w:t>
      </w:r>
      <w:r>
        <w:t xml:space="preserve"> (</w:t>
      </w:r>
      <w:r>
        <w:rPr>
          <w:rFonts w:ascii="Cambria Math" w:hAnsi="Cambria Math"/>
          <w:i/>
        </w:rPr>
        <w:t>1.02\text{ s}</w:t>
      </w:r>
      <w:r>
        <w:t>)</w:t>
      </w:r>
    </w:p>
    <w:p>
      <w:pPr>
        <w:pStyle w:val="ListBullet"/>
      </w:pPr>
      <w:r>
        <w:rPr>
          <w:b/>
        </w:rPr>
        <w:t>Maximum Latency:</w:t>
      </w:r>
      <w:r>
        <w:t xml:space="preserve"> </w:t>
      </w:r>
      <w:r>
        <w:rPr>
          <w:rFonts w:ascii="Cambria Math" w:hAnsi="Cambria Math"/>
          <w:i/>
        </w:rPr>
        <w:t>7,565.77\text{ ms}</w:t>
      </w:r>
      <w:r>
        <w:t xml:space="preserve"> (</w:t>
      </w:r>
      <w:r>
        <w:rPr>
          <w:rFonts w:ascii="Cambria Math" w:hAnsi="Cambria Math"/>
          <w:i/>
        </w:rPr>
        <w:t>7.57\text{ s}</w:t>
      </w:r>
      <w:r>
        <w:t>)</w:t>
      </w:r>
    </w:p>
    <w:p>
      <w:pPr>
        <w:pStyle w:val="ListBullet"/>
      </w:pPr>
      <w:r>
        <w:rPr>
          <w:b/>
        </w:rPr>
        <w:t>Mean Latency:</w:t>
      </w:r>
      <w:r>
        <w:t xml:space="preserve"> </w:t>
      </w:r>
      <w:r>
        <w:rPr>
          <w:rFonts w:ascii="Cambria Math" w:hAnsi="Cambria Math"/>
          <w:i/>
        </w:rPr>
        <w:t>2,994.45\text{ ms}</w:t>
      </w:r>
      <w:r>
        <w:t xml:space="preserve"> (</w:t>
      </w:r>
      <w:r>
        <w:rPr>
          <w:rFonts w:ascii="Cambria Math" w:hAnsi="Cambria Math"/>
          <w:i/>
        </w:rPr>
        <w:t>\approx 2.99\text{ s}</w:t>
      </w:r>
      <w:r>
        <w:t>)</w:t>
      </w:r>
    </w:p>
    <w:p>
      <w:pPr>
        <w:pStyle w:val="ListBullet"/>
      </w:pPr>
      <w:r>
        <w:rPr>
          <w:b/>
        </w:rPr>
        <w:t>Median Latency:</w:t>
      </w:r>
      <w:r>
        <w:t xml:space="preserve"> </w:t>
      </w:r>
      <w:r>
        <w:rPr>
          <w:rFonts w:ascii="Cambria Math" w:hAnsi="Cambria Math"/>
          <w:i/>
        </w:rPr>
        <w:t>2,418.88\text{ ms}</w:t>
      </w:r>
      <w:r>
        <w:t xml:space="preserve"> (</w:t>
      </w:r>
      <w:r>
        <w:rPr>
          <w:rFonts w:ascii="Cambria Math" w:hAnsi="Cambria Math"/>
          <w:i/>
        </w:rPr>
        <w:t>\approx 2.42\text{ s}</w:t>
      </w:r>
      <w:r>
        <w:t>)</w:t>
      </w:r>
    </w:p>
    <w:p>
      <w:pPr>
        <w:pStyle w:val="ListBullet"/>
      </w:pPr>
      <w:r>
        <w:rPr>
          <w:b/>
        </w:rPr>
        <w:t>P95 Latency:</w:t>
      </w:r>
      <w:r>
        <w:t xml:space="preserve"> </w:t>
      </w:r>
      <w:r>
        <w:rPr>
          <w:rFonts w:ascii="Cambria Math" w:hAnsi="Cambria Math"/>
          <w:i/>
        </w:rPr>
        <w:t>5,194.10\text{ ms}</w:t>
      </w:r>
      <w:r>
        <w:t xml:space="preserve"> (</w:t>
      </w:r>
      <w:r>
        <w:rPr>
          <w:rFonts w:ascii="Cambria Math" w:hAnsi="Cambria Math"/>
          <w:i/>
        </w:rPr>
        <w:t>\approx 5.19\text{ s}</w:t>
      </w:r>
      <w:r>
        <w:t>)</w:t>
      </w:r>
    </w:p>
    <w:p>
      <w:pPr>
        <w:pStyle w:val="ListBullet"/>
      </w:pPr>
      <w:r>
        <w:rPr>
          <w:b/>
        </w:rPr>
        <w:t>Measured Throughput:</w:t>
      </w:r>
      <w:r>
        <w:t xml:space="preserve"> </w:t>
      </w:r>
      <w:r>
        <w:rPr>
          <w:b/>
        </w:rPr>
        <w:t>96.83 tokens/sec</w:t>
      </w:r>
      <w:r>
        <w:t xml:space="preserve"> (measured directly from Groq SDK's </w:t>
      </w:r>
      <w:r>
        <w:rPr>
          <w:rFonts w:ascii="Consolas" w:hAnsi="Consolas"/>
          <w:color w:val="B42828"/>
          <w:sz w:val="19"/>
        </w:rPr>
        <w:t>completion.usage</w:t>
      </w:r>
      <w:r>
        <w:t xml:space="preserve"> response object).</w:t>
      </w:r>
    </w:p>
    <w:p>
      <w:pPr>
        <w:jc w:val="center"/>
      </w:pPr>
      <w:r>
        <w:rPr>
          <w:color w:val="969696"/>
        </w:rPr>
        <w:t>─────── ❖ ───────</w:t>
      </w:r>
    </w:p>
    <w:p>
      <w:pPr>
        <w:pStyle w:val="Heading3"/>
      </w:pPr>
      <w:r>
        <w:t>5.5 Gate Failure Diagnosis and Recovery</w:t>
      </w:r>
    </w:p>
    <w:p>
      <w:pPr>
        <w:pStyle w:val="Heading4"/>
      </w:pPr>
      <w:r>
        <w:t xml:space="preserve">Empirical Failure Diagnosis (All 11 Failing </w:t>
      </w:r>
      <w:r>
        <w:rPr>
          <w:rFonts w:ascii="Consolas" w:hAnsi="Consolas"/>
          <w:color w:val="B42828"/>
          <w:sz w:val="19"/>
        </w:rPr>
        <w:t>SAME</w:t>
      </w:r>
      <w:r>
        <w:t xml:space="preserve"> Pairs)</w:t>
      </w:r>
    </w:p>
    <w:p>
      <w:r>
        <w:t xml:space="preserve">To investigate the root cause of the </w:t>
      </w:r>
      <w:r>
        <w:rPr>
          <w:rFonts w:ascii="Cambria Math" w:hAnsi="Cambria Math"/>
          <w:i/>
        </w:rPr>
        <w:t>35.29\%</w:t>
      </w:r>
      <w:r>
        <w:t xml:space="preserve"> recall baseline in the production system, we executed a full diagnostic audit (</w:t>
      </w:r>
      <w:r>
        <w:rPr>
          <w:rFonts w:ascii="Consolas" w:hAnsi="Consolas"/>
          <w:color w:val="B42828"/>
          <w:sz w:val="19"/>
        </w:rPr>
        <w:t>diagnoseGateFailures.js</w:t>
      </w:r>
      <w:r>
        <w:t xml:space="preserve">). Out of 17 </w:t>
      </w:r>
      <w:r>
        <w:rPr>
          <w:rFonts w:ascii="Consolas" w:hAnsi="Consolas"/>
          <w:color w:val="B42828"/>
          <w:sz w:val="19"/>
        </w:rPr>
        <w:t>SAME</w:t>
      </w:r>
      <w:r>
        <w:t>-labeled ground-truth pairs, 11 failed the Stage 1 pre-filter (</w:t>
      </w:r>
      <w:r>
        <w:rPr>
          <w:rFonts w:ascii="Cambria Math" w:hAnsi="Cambria Math"/>
          <w:i/>
        </w:rPr>
        <w:t>(J &lt; 0.12) \land (\cos &lt; 0.25)</w:t>
      </w:r>
      <w:r>
        <w:t>). Table X presents the complete breakdown.</w:t>
      </w:r>
    </w:p>
    <w:p>
      <w:r>
        <w:rPr>
          <w:b/>
        </w:rPr>
        <w:t>TABLE X: STAGE 1 GATE FAILURE DIAGNOSIS (11 FAILING `SAME` PAIRS)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F0F4F8"/>
          </w:tcPr>
          <w:p>
            <w:pPr>
              <w:spacing w:before="60" w:after="60"/>
            </w:pPr>
            <w:r>
              <w:rPr>
                <w:b/>
              </w:rPr>
            </w:r>
            <w:r>
              <w:rPr>
                <w:b/>
              </w:rPr>
              <w:t>#</w:t>
            </w:r>
          </w:p>
        </w:tc>
        <w:tc>
          <w:tcPr>
            <w:tcW w:type="dxa" w:w="1560"/>
            <w:shd w:fill="F0F4F8"/>
          </w:tcPr>
          <w:p>
            <w:pPr>
              <w:spacing w:before="60" w:after="60"/>
            </w:pPr>
            <w:r>
              <w:rPr>
                <w:b/>
              </w:rPr>
            </w:r>
            <w:r>
              <w:rPr>
                <w:b/>
              </w:rPr>
              <w:t>Headline A</w:t>
            </w:r>
          </w:p>
        </w:tc>
        <w:tc>
          <w:tcPr>
            <w:tcW w:type="dxa" w:w="1560"/>
            <w:shd w:fill="F0F4F8"/>
          </w:tcPr>
          <w:p>
            <w:pPr>
              <w:spacing w:before="60" w:after="60"/>
            </w:pPr>
            <w:r>
              <w:rPr>
                <w:b/>
              </w:rPr>
            </w:r>
            <w:r>
              <w:rPr>
                <w:b/>
              </w:rPr>
              <w:t>Headline B</w:t>
            </w:r>
          </w:p>
        </w:tc>
        <w:tc>
          <w:tcPr>
            <w:tcW w:type="dxa" w:w="1560"/>
            <w:shd w:fill="F0F4F8"/>
          </w:tcPr>
          <w:p>
            <w:pPr>
              <w:spacing w:before="60" w:after="60"/>
            </w:pPr>
            <w:r>
              <w:rPr>
                <w:b/>
              </w:rPr>
            </w:r>
            <w:r>
              <w:rPr>
                <w:b/>
              </w:rPr>
              <w:t>Jaccard Score (vs 0.12)</w:t>
            </w:r>
          </w:p>
        </w:tc>
        <w:tc>
          <w:tcPr>
            <w:tcW w:type="dxa" w:w="1560"/>
            <w:shd w:fill="F0F4F8"/>
          </w:tcPr>
          <w:p>
            <w:pPr>
              <w:spacing w:before="60" w:after="60"/>
            </w:pPr>
            <w:r>
              <w:rPr>
                <w:b/>
              </w:rPr>
            </w:r>
            <w:r>
              <w:rPr>
                <w:b/>
              </w:rPr>
              <w:t>Char Cosine (vs 0.25)</w:t>
            </w:r>
          </w:p>
        </w:tc>
        <w:tc>
          <w:tcPr>
            <w:tcW w:type="dxa" w:w="1560"/>
            <w:shd w:fill="F0F4F8"/>
          </w:tcPr>
          <w:p>
            <w:pPr>
              <w:spacing w:before="60" w:after="60"/>
            </w:pPr>
            <w:r>
              <w:rPr>
                <w:b/>
              </w:rPr>
            </w:r>
            <w:r>
              <w:rPr>
                <w:b/>
              </w:rPr>
              <w:t>Diagnostic Failure Category</w:t>
            </w:r>
          </w:p>
        </w:tc>
      </w:tr>
      <w:tr>
        <w:tc>
          <w:tcPr>
            <w:tcW w:type="dxa" w:w="1560"/>
          </w:tcPr>
          <w:p>
            <w:pPr>
              <w:spacing w:before="60" w:after="60"/>
            </w:pPr>
            <w:r/>
            <w:r>
              <w:rPr>
                <w:b/>
              </w:rPr>
              <w:t>1</w:t>
            </w:r>
          </w:p>
        </w:tc>
        <w:tc>
          <w:tcPr>
            <w:tcW w:type="dxa" w:w="1560"/>
          </w:tcPr>
          <w:p>
            <w:pPr>
              <w:spacing w:before="60" w:after="60"/>
            </w:pPr>
            <w:r/>
            <w:r>
              <w:rPr>
                <w:i/>
              </w:rPr>
              <w:t>"Wall Street Suffers Steep Setback as Tech Slumps and Oil Spikes"</w:t>
            </w:r>
          </w:p>
        </w:tc>
        <w:tc>
          <w:tcPr>
            <w:tcW w:type="dxa" w:w="1560"/>
          </w:tcPr>
          <w:p>
            <w:pPr>
              <w:spacing w:before="60" w:after="60"/>
            </w:pPr>
            <w:r/>
            <w:r>
              <w:rPr>
                <w:i/>
              </w:rPr>
              <w:t>"Oil Surge From Iran War Sends US Stocks and Bonds Lower Amid AI Spending Fears"</w:t>
            </w:r>
          </w:p>
        </w:tc>
        <w:tc>
          <w:tcPr>
            <w:tcW w:type="dxa" w:w="1560"/>
          </w:tcPr>
          <w:p>
            <w:pPr>
              <w:spacing w:before="60" w:after="60"/>
            </w:pPr>
            <w:r/>
            <w:r>
              <w:rPr>
                <w:b/>
              </w:rPr>
              <w:t>0.1053</w:t>
            </w:r>
            <w:r>
              <w:t xml:space="preserve"> (-0.0147)</w:t>
            </w:r>
          </w:p>
        </w:tc>
        <w:tc>
          <w:tcPr>
            <w:tcW w:type="dxa" w:w="1560"/>
          </w:tcPr>
          <w:p>
            <w:pPr>
              <w:spacing w:before="60" w:after="60"/>
            </w:pPr>
            <w:r/>
            <w:r>
              <w:rPr>
                <w:b/>
              </w:rPr>
              <w:t>0.1918</w:t>
            </w:r>
            <w:r>
              <w:t xml:space="preserve"> (-0.0582)</w:t>
            </w:r>
          </w:p>
        </w:tc>
        <w:tc>
          <w:tcPr>
            <w:tcW w:type="dxa" w:w="1560"/>
          </w:tcPr>
          <w:p>
            <w:pPr>
              <w:spacing w:before="60" w:after="60"/>
            </w:pPr>
            <w:r/>
            <w:r>
              <w:t>High Vocabulary Divergence</w:t>
            </w:r>
          </w:p>
        </w:tc>
      </w:tr>
      <w:tr>
        <w:tc>
          <w:tcPr>
            <w:tcW w:type="dxa" w:w="1560"/>
          </w:tcPr>
          <w:p>
            <w:pPr>
              <w:spacing w:before="60" w:after="60"/>
            </w:pPr>
            <w:r/>
            <w:r>
              <w:rPr>
                <w:b/>
              </w:rPr>
              <w:t>2</w:t>
            </w:r>
          </w:p>
        </w:tc>
        <w:tc>
          <w:tcPr>
            <w:tcW w:type="dxa" w:w="1560"/>
          </w:tcPr>
          <w:p>
            <w:pPr>
              <w:spacing w:before="60" w:after="60"/>
            </w:pPr>
            <w:r/>
            <w:r>
              <w:rPr>
                <w:i/>
              </w:rPr>
              <w:t>"Dow drops 507 points as tech selloff deepens on Alphabet, Tesla earnings and Iran tensions"</w:t>
            </w:r>
          </w:p>
        </w:tc>
        <w:tc>
          <w:tcPr>
            <w:tcW w:type="dxa" w:w="1560"/>
          </w:tcPr>
          <w:p>
            <w:pPr>
              <w:spacing w:before="60" w:after="60"/>
            </w:pPr>
            <w:r/>
            <w:r>
              <w:rPr>
                <w:i/>
              </w:rPr>
              <w:t>"US stocks fall as oil prices surge amid Middle East conflict, Alphabet AI spending worries weigh on market"</w:t>
            </w:r>
          </w:p>
        </w:tc>
        <w:tc>
          <w:tcPr>
            <w:tcW w:type="dxa" w:w="1560"/>
          </w:tcPr>
          <w:p>
            <w:pPr>
              <w:spacing w:before="60" w:after="60"/>
            </w:pPr>
            <w:r/>
            <w:r>
              <w:rPr>
                <w:b/>
              </w:rPr>
              <w:t>0.0400</w:t>
            </w:r>
            <w:r>
              <w:t xml:space="preserve"> (-0.0800)</w:t>
            </w:r>
          </w:p>
        </w:tc>
        <w:tc>
          <w:tcPr>
            <w:tcW w:type="dxa" w:w="1560"/>
          </w:tcPr>
          <w:p>
            <w:pPr>
              <w:spacing w:before="60" w:after="60"/>
            </w:pPr>
            <w:r/>
            <w:r>
              <w:rPr>
                <w:b/>
              </w:rPr>
              <w:t>0.1542</w:t>
            </w:r>
            <w:r>
              <w:t xml:space="preserve"> (-0.0958)</w:t>
            </w:r>
          </w:p>
        </w:tc>
        <w:tc>
          <w:tcPr>
            <w:tcW w:type="dxa" w:w="1560"/>
          </w:tcPr>
          <w:p>
            <w:pPr>
              <w:spacing w:before="60" w:after="60"/>
            </w:pPr>
            <w:r/>
            <w:r>
              <w:t>High Vocabulary Divergence</w:t>
            </w:r>
          </w:p>
        </w:tc>
      </w:tr>
      <w:tr>
        <w:tc>
          <w:tcPr>
            <w:tcW w:type="dxa" w:w="1560"/>
          </w:tcPr>
          <w:p>
            <w:pPr>
              <w:spacing w:before="60" w:after="60"/>
            </w:pPr>
            <w:r/>
            <w:r>
              <w:rPr>
                <w:b/>
              </w:rPr>
              <w:t>3</w:t>
            </w:r>
          </w:p>
        </w:tc>
        <w:tc>
          <w:tcPr>
            <w:tcW w:type="dxa" w:w="1560"/>
          </w:tcPr>
          <w:p>
            <w:pPr>
              <w:spacing w:before="60" w:after="60"/>
            </w:pPr>
            <w:r/>
            <w:r>
              <w:rPr>
                <w:i/>
              </w:rPr>
              <w:t>"Nvidia quarterly revenue reaches record $57 billion on Blackwell demand"</w:t>
            </w:r>
          </w:p>
        </w:tc>
        <w:tc>
          <w:tcPr>
            <w:tcW w:type="dxa" w:w="1560"/>
          </w:tcPr>
          <w:p>
            <w:pPr>
              <w:spacing w:before="60" w:after="60"/>
            </w:pPr>
            <w:r/>
            <w:r>
              <w:rPr>
                <w:i/>
              </w:rPr>
              <w:t>"Chipmaker Nvidia posts 62% sales surge as AI infrastructure boom continues"</w:t>
            </w:r>
          </w:p>
        </w:tc>
        <w:tc>
          <w:tcPr>
            <w:tcW w:type="dxa" w:w="1560"/>
          </w:tcPr>
          <w:p>
            <w:pPr>
              <w:spacing w:before="60" w:after="60"/>
            </w:pPr>
            <w:r/>
            <w:r>
              <w:rPr>
                <w:b/>
              </w:rPr>
              <w:t>0.0667</w:t>
            </w:r>
            <w:r>
              <w:t xml:space="preserve"> (-0.0533)</w:t>
            </w:r>
          </w:p>
        </w:tc>
        <w:tc>
          <w:tcPr>
            <w:tcW w:type="dxa" w:w="1560"/>
          </w:tcPr>
          <w:p>
            <w:pPr>
              <w:spacing w:before="60" w:after="60"/>
            </w:pPr>
            <w:r/>
            <w:r>
              <w:rPr>
                <w:b/>
              </w:rPr>
              <w:t>0.0953</w:t>
            </w:r>
            <w:r>
              <w:t xml:space="preserve"> (-0.1547)</w:t>
            </w:r>
          </w:p>
        </w:tc>
        <w:tc>
          <w:tcPr>
            <w:tcW w:type="dxa" w:w="1560"/>
          </w:tcPr>
          <w:p>
            <w:pPr>
              <w:spacing w:before="60" w:after="60"/>
            </w:pPr>
            <w:r/>
            <w:r>
              <w:t>Numerical Phrasing Variation</w:t>
            </w:r>
          </w:p>
        </w:tc>
      </w:tr>
      <w:tr>
        <w:tc>
          <w:tcPr>
            <w:tcW w:type="dxa" w:w="1560"/>
          </w:tcPr>
          <w:p>
            <w:pPr>
              <w:spacing w:before="60" w:after="60"/>
            </w:pPr>
            <w:r/>
            <w:r>
              <w:rPr>
                <w:b/>
              </w:rPr>
              <w:t>4</w:t>
            </w:r>
          </w:p>
        </w:tc>
        <w:tc>
          <w:tcPr>
            <w:tcW w:type="dxa" w:w="1560"/>
          </w:tcPr>
          <w:p>
            <w:pPr>
              <w:spacing w:before="60" w:after="60"/>
            </w:pPr>
            <w:r/>
            <w:r>
              <w:rPr>
                <w:i/>
              </w:rPr>
              <w:t>"NASA's Artemis II crew completes final launch pad dress rehearsal"</w:t>
            </w:r>
          </w:p>
        </w:tc>
        <w:tc>
          <w:tcPr>
            <w:tcW w:type="dxa" w:w="1560"/>
          </w:tcPr>
          <w:p>
            <w:pPr>
              <w:spacing w:before="60" w:after="60"/>
            </w:pPr>
            <w:r/>
            <w:r>
              <w:rPr>
                <w:i/>
              </w:rPr>
              <w:t>"Astronauts clear major milestone ahead of upcoming lunar flyby mission"</w:t>
            </w:r>
          </w:p>
        </w:tc>
        <w:tc>
          <w:tcPr>
            <w:tcW w:type="dxa" w:w="1560"/>
          </w:tcPr>
          <w:p>
            <w:pPr>
              <w:spacing w:before="60" w:after="60"/>
            </w:pPr>
            <w:r/>
            <w:r>
              <w:rPr>
                <w:b/>
              </w:rPr>
              <w:t>0.0000</w:t>
            </w:r>
            <w:r>
              <w:t xml:space="preserve"> (-0.1200)</w:t>
            </w:r>
          </w:p>
        </w:tc>
        <w:tc>
          <w:tcPr>
            <w:tcW w:type="dxa" w:w="1560"/>
          </w:tcPr>
          <w:p>
            <w:pPr>
              <w:spacing w:before="60" w:after="60"/>
            </w:pPr>
            <w:r/>
            <w:r>
              <w:rPr>
                <w:b/>
              </w:rPr>
              <w:t>0.0738</w:t>
            </w:r>
            <w:r>
              <w:t xml:space="preserve"> (-0.1762)</w:t>
            </w:r>
          </w:p>
        </w:tc>
        <w:tc>
          <w:tcPr>
            <w:tcW w:type="dxa" w:w="1560"/>
          </w:tcPr>
          <w:p>
            <w:pPr>
              <w:spacing w:before="60" w:after="60"/>
            </w:pPr>
            <w:r/>
            <w:r>
              <w:t>Zero Shared Unigrams</w:t>
            </w:r>
          </w:p>
        </w:tc>
      </w:tr>
      <w:tr>
        <w:tc>
          <w:tcPr>
            <w:tcW w:type="dxa" w:w="1560"/>
          </w:tcPr>
          <w:p>
            <w:pPr>
              <w:spacing w:before="60" w:after="60"/>
            </w:pPr>
            <w:r/>
            <w:r>
              <w:rPr>
                <w:b/>
              </w:rPr>
              <w:t>5</w:t>
            </w:r>
          </w:p>
        </w:tc>
        <w:tc>
          <w:tcPr>
            <w:tcW w:type="dxa" w:w="1560"/>
          </w:tcPr>
          <w:p>
            <w:pPr>
              <w:spacing w:before="60" w:after="60"/>
            </w:pPr>
            <w:r/>
            <w:r>
              <w:rPr>
                <w:i/>
              </w:rPr>
              <w:t>"Bitcoin crosses $100,000 mark for the first time in history"</w:t>
            </w:r>
          </w:p>
        </w:tc>
        <w:tc>
          <w:tcPr>
            <w:tcW w:type="dxa" w:w="1560"/>
          </w:tcPr>
          <w:p>
            <w:pPr>
              <w:spacing w:before="60" w:after="60"/>
            </w:pPr>
            <w:r/>
            <w:r>
              <w:rPr>
                <w:i/>
              </w:rPr>
              <w:t>"World's largest cryptocurrency surges past landmark six-figure threshold"</w:t>
            </w:r>
          </w:p>
        </w:tc>
        <w:tc>
          <w:tcPr>
            <w:tcW w:type="dxa" w:w="1560"/>
          </w:tcPr>
          <w:p>
            <w:pPr>
              <w:spacing w:before="60" w:after="60"/>
            </w:pPr>
            <w:r/>
            <w:r>
              <w:rPr>
                <w:b/>
              </w:rPr>
              <w:t>0.0000</w:t>
            </w:r>
            <w:r>
              <w:t xml:space="preserve"> (-0.1200)</w:t>
            </w:r>
          </w:p>
        </w:tc>
        <w:tc>
          <w:tcPr>
            <w:tcW w:type="dxa" w:w="1560"/>
          </w:tcPr>
          <w:p>
            <w:pPr>
              <w:spacing w:before="60" w:after="60"/>
            </w:pPr>
            <w:r/>
            <w:r>
              <w:rPr>
                <w:b/>
              </w:rPr>
              <w:t>0.1156</w:t>
            </w:r>
            <w:r>
              <w:t xml:space="preserve"> (-0.1344)</w:t>
            </w:r>
          </w:p>
        </w:tc>
        <w:tc>
          <w:tcPr>
            <w:tcW w:type="dxa" w:w="1560"/>
          </w:tcPr>
          <w:p>
            <w:pPr>
              <w:spacing w:before="60" w:after="60"/>
            </w:pPr>
            <w:r/>
            <w:r>
              <w:t>Metaphorical Rewriting</w:t>
            </w:r>
          </w:p>
        </w:tc>
      </w:tr>
      <w:tr>
        <w:tc>
          <w:tcPr>
            <w:tcW w:type="dxa" w:w="1560"/>
          </w:tcPr>
          <w:p>
            <w:pPr>
              <w:spacing w:before="60" w:after="60"/>
            </w:pPr>
            <w:r/>
            <w:r>
              <w:rPr>
                <w:b/>
              </w:rPr>
              <w:t>6</w:t>
            </w:r>
          </w:p>
        </w:tc>
        <w:tc>
          <w:tcPr>
            <w:tcW w:type="dxa" w:w="1560"/>
          </w:tcPr>
          <w:p>
            <w:pPr>
              <w:spacing w:before="60" w:after="60"/>
            </w:pPr>
            <w:r/>
            <w:r>
              <w:rPr>
                <w:i/>
              </w:rPr>
              <w:t>"Tesla delivers record 1.8 million electric vehicles in full-year report"</w:t>
            </w:r>
          </w:p>
        </w:tc>
        <w:tc>
          <w:tcPr>
            <w:tcW w:type="dxa" w:w="1560"/>
          </w:tcPr>
          <w:p>
            <w:pPr>
              <w:spacing w:before="60" w:after="60"/>
            </w:pPr>
            <w:r/>
            <w:r>
              <w:rPr>
                <w:i/>
              </w:rPr>
              <w:t>"Musk's EV giant hits annual delivery target despite global market slowdown"</w:t>
            </w:r>
          </w:p>
        </w:tc>
        <w:tc>
          <w:tcPr>
            <w:tcW w:type="dxa" w:w="1560"/>
          </w:tcPr>
          <w:p>
            <w:pPr>
              <w:spacing w:before="60" w:after="60"/>
            </w:pPr>
            <w:r/>
            <w:r>
              <w:rPr>
                <w:b/>
              </w:rPr>
              <w:t>0.0000</w:t>
            </w:r>
            <w:r>
              <w:t xml:space="preserve"> (-0.1200)</w:t>
            </w:r>
          </w:p>
        </w:tc>
        <w:tc>
          <w:tcPr>
            <w:tcW w:type="dxa" w:w="1560"/>
          </w:tcPr>
          <w:p>
            <w:pPr>
              <w:spacing w:before="60" w:after="60"/>
            </w:pPr>
            <w:r/>
            <w:r>
              <w:rPr>
                <w:b/>
              </w:rPr>
              <w:t>0.0960</w:t>
            </w:r>
            <w:r>
              <w:t xml:space="preserve"> (-0.1540)</w:t>
            </w:r>
          </w:p>
        </w:tc>
        <w:tc>
          <w:tcPr>
            <w:tcW w:type="dxa" w:w="1560"/>
          </w:tcPr>
          <w:p>
            <w:pPr>
              <w:spacing w:before="60" w:after="60"/>
            </w:pPr>
            <w:r/>
            <w:r>
              <w:t>Brand Metonymy (</w:t>
            </w:r>
            <w:r>
              <w:rPr>
                <w:i/>
              </w:rPr>
              <w:t>"Musk's EV giant"</w:t>
            </w:r>
            <w:r>
              <w:t>)</w:t>
            </w:r>
          </w:p>
        </w:tc>
      </w:tr>
      <w:tr>
        <w:tc>
          <w:tcPr>
            <w:tcW w:type="dxa" w:w="1560"/>
          </w:tcPr>
          <w:p>
            <w:pPr>
              <w:spacing w:before="60" w:after="60"/>
            </w:pPr>
            <w:r/>
            <w:r>
              <w:rPr>
                <w:b/>
              </w:rPr>
              <w:t>7</w:t>
            </w:r>
          </w:p>
        </w:tc>
        <w:tc>
          <w:tcPr>
            <w:tcW w:type="dxa" w:w="1560"/>
          </w:tcPr>
          <w:p>
            <w:pPr>
              <w:spacing w:before="60" w:after="60"/>
            </w:pPr>
            <w:r/>
            <w:r>
              <w:rPr>
                <w:i/>
              </w:rPr>
              <w:t>"UN Security Council passes resolution demanding immediate ceasefire in Middle East conflict"</w:t>
            </w:r>
          </w:p>
        </w:tc>
        <w:tc>
          <w:tcPr>
            <w:tcW w:type="dxa" w:w="1560"/>
          </w:tcPr>
          <w:p>
            <w:pPr>
              <w:spacing w:before="60" w:after="60"/>
            </w:pPr>
            <w:r/>
            <w:r>
              <w:rPr>
                <w:i/>
              </w:rPr>
              <w:t>"United Nations votes unanimously for emergency cessation of hostilities"</w:t>
            </w:r>
          </w:p>
        </w:tc>
        <w:tc>
          <w:tcPr>
            <w:tcW w:type="dxa" w:w="1560"/>
          </w:tcPr>
          <w:p>
            <w:pPr>
              <w:spacing w:before="60" w:after="60"/>
            </w:pPr>
            <w:r/>
            <w:r>
              <w:rPr>
                <w:b/>
              </w:rPr>
              <w:t>0.0000</w:t>
            </w:r>
            <w:r>
              <w:t xml:space="preserve"> (-0.1200)</w:t>
            </w:r>
          </w:p>
        </w:tc>
        <w:tc>
          <w:tcPr>
            <w:tcW w:type="dxa" w:w="1560"/>
          </w:tcPr>
          <w:p>
            <w:pPr>
              <w:spacing w:before="60" w:after="60"/>
            </w:pPr>
            <w:r/>
            <w:r>
              <w:rPr>
                <w:b/>
              </w:rPr>
              <w:t>0.0958</w:t>
            </w:r>
            <w:r>
              <w:t xml:space="preserve"> (-0.1542)</w:t>
            </w:r>
          </w:p>
        </w:tc>
        <w:tc>
          <w:tcPr>
            <w:tcW w:type="dxa" w:w="1560"/>
          </w:tcPr>
          <w:p>
            <w:pPr>
              <w:spacing w:before="60" w:after="60"/>
            </w:pPr>
            <w:r/>
            <w:r>
              <w:t>Acronym Variation (</w:t>
            </w:r>
            <w:r>
              <w:rPr>
                <w:i/>
              </w:rPr>
              <w:t>"UN" vs "United Nations"</w:t>
            </w:r>
            <w:r>
              <w:t>)</w:t>
            </w:r>
          </w:p>
        </w:tc>
      </w:tr>
      <w:tr>
        <w:tc>
          <w:tcPr>
            <w:tcW w:type="dxa" w:w="1560"/>
          </w:tcPr>
          <w:p>
            <w:pPr>
              <w:spacing w:before="60" w:after="60"/>
            </w:pPr>
            <w:r/>
            <w:r>
              <w:rPr>
                <w:b/>
              </w:rPr>
              <w:t>8</w:t>
            </w:r>
          </w:p>
        </w:tc>
        <w:tc>
          <w:tcPr>
            <w:tcW w:type="dxa" w:w="1560"/>
          </w:tcPr>
          <w:p>
            <w:pPr>
              <w:spacing w:before="60" w:after="60"/>
            </w:pPr>
            <w:r/>
            <w:r>
              <w:rPr>
                <w:i/>
              </w:rPr>
              <w:t>"FDA approves first CRISPR gene-editing therapy for sickle cell disease"</w:t>
            </w:r>
          </w:p>
        </w:tc>
        <w:tc>
          <w:tcPr>
            <w:tcW w:type="dxa" w:w="1560"/>
          </w:tcPr>
          <w:p>
            <w:pPr>
              <w:spacing w:before="60" w:after="60"/>
            </w:pPr>
            <w:r/>
            <w:r>
              <w:rPr>
                <w:i/>
              </w:rPr>
              <w:t>"US health regulators clear landmark gene therapy Casgevy for commercial use"</w:t>
            </w:r>
          </w:p>
        </w:tc>
        <w:tc>
          <w:tcPr>
            <w:tcW w:type="dxa" w:w="1560"/>
          </w:tcPr>
          <w:p>
            <w:pPr>
              <w:spacing w:before="60" w:after="60"/>
            </w:pPr>
            <w:r/>
            <w:r>
              <w:rPr>
                <w:b/>
              </w:rPr>
              <w:t>0.0625</w:t>
            </w:r>
            <w:r>
              <w:t xml:space="preserve"> (-0.0575)</w:t>
            </w:r>
          </w:p>
        </w:tc>
        <w:tc>
          <w:tcPr>
            <w:tcW w:type="dxa" w:w="1560"/>
          </w:tcPr>
          <w:p>
            <w:pPr>
              <w:spacing w:before="60" w:after="60"/>
            </w:pPr>
            <w:r/>
            <w:r>
              <w:rPr>
                <w:b/>
              </w:rPr>
              <w:t>0.2002</w:t>
            </w:r>
            <w:r>
              <w:t xml:space="preserve"> (-0.0498)</w:t>
            </w:r>
          </w:p>
        </w:tc>
        <w:tc>
          <w:tcPr>
            <w:tcW w:type="dxa" w:w="1560"/>
          </w:tcPr>
          <w:p>
            <w:pPr>
              <w:spacing w:before="60" w:after="60"/>
            </w:pPr>
            <w:r/>
            <w:r>
              <w:t>Agency Alias (</w:t>
            </w:r>
            <w:r>
              <w:rPr>
                <w:i/>
              </w:rPr>
              <w:t>"FDA" vs "US health regulators"</w:t>
            </w:r>
            <w:r>
              <w:t>)</w:t>
            </w:r>
          </w:p>
        </w:tc>
      </w:tr>
      <w:tr>
        <w:tc>
          <w:tcPr>
            <w:tcW w:type="dxa" w:w="1560"/>
          </w:tcPr>
          <w:p>
            <w:pPr>
              <w:spacing w:before="60" w:after="60"/>
            </w:pPr>
            <w:r/>
            <w:r>
              <w:rPr>
                <w:b/>
              </w:rPr>
              <w:t>9</w:t>
            </w:r>
          </w:p>
        </w:tc>
        <w:tc>
          <w:tcPr>
            <w:tcW w:type="dxa" w:w="1560"/>
          </w:tcPr>
          <w:p>
            <w:pPr>
              <w:spacing w:before="60" w:after="60"/>
            </w:pPr>
            <w:r/>
            <w:r>
              <w:rPr>
                <w:i/>
              </w:rPr>
              <w:t>"Avatar 3 trailer debuts at CinemaCon ahead of December theatrical release"</w:t>
            </w:r>
          </w:p>
        </w:tc>
        <w:tc>
          <w:tcPr>
            <w:tcW w:type="dxa" w:w="1560"/>
          </w:tcPr>
          <w:p>
            <w:pPr>
              <w:spacing w:before="60" w:after="60"/>
            </w:pPr>
            <w:r/>
            <w:r>
              <w:rPr>
                <w:i/>
              </w:rPr>
              <w:t>"James Cameron previews next Sci-Fi installment during industry showcase"</w:t>
            </w:r>
          </w:p>
        </w:tc>
        <w:tc>
          <w:tcPr>
            <w:tcW w:type="dxa" w:w="1560"/>
          </w:tcPr>
          <w:p>
            <w:pPr>
              <w:spacing w:before="60" w:after="60"/>
            </w:pPr>
            <w:r/>
            <w:r>
              <w:rPr>
                <w:b/>
              </w:rPr>
              <w:t>0.0000</w:t>
            </w:r>
            <w:r>
              <w:t xml:space="preserve"> (-0.1200)</w:t>
            </w:r>
          </w:p>
        </w:tc>
        <w:tc>
          <w:tcPr>
            <w:tcW w:type="dxa" w:w="1560"/>
          </w:tcPr>
          <w:p>
            <w:pPr>
              <w:spacing w:before="60" w:after="60"/>
            </w:pPr>
            <w:r/>
            <w:r>
              <w:rPr>
                <w:b/>
              </w:rPr>
              <w:t>0.0269</w:t>
            </w:r>
            <w:r>
              <w:t xml:space="preserve"> (-0.2231)</w:t>
            </w:r>
          </w:p>
        </w:tc>
        <w:tc>
          <w:tcPr>
            <w:tcW w:type="dxa" w:w="1560"/>
          </w:tcPr>
          <w:p>
            <w:pPr>
              <w:spacing w:before="60" w:after="60"/>
            </w:pPr>
            <w:r/>
            <w:r>
              <w:t>Zero Shared Unigrams</w:t>
            </w:r>
          </w:p>
        </w:tc>
      </w:tr>
      <w:tr>
        <w:tc>
          <w:tcPr>
            <w:tcW w:type="dxa" w:w="1560"/>
          </w:tcPr>
          <w:p>
            <w:pPr>
              <w:spacing w:before="60" w:after="60"/>
            </w:pPr>
            <w:r/>
            <w:r>
              <w:rPr>
                <w:b/>
              </w:rPr>
              <w:t>10</w:t>
            </w:r>
          </w:p>
        </w:tc>
        <w:tc>
          <w:tcPr>
            <w:tcW w:type="dxa" w:w="1560"/>
          </w:tcPr>
          <w:p>
            <w:pPr>
              <w:spacing w:before="60" w:after="60"/>
            </w:pPr>
            <w:r/>
            <w:r>
              <w:rPr>
                <w:i/>
              </w:rPr>
              <w:t>"Global climate summit concludes with historic pledge to transition away from fossil fuels"</w:t>
            </w:r>
          </w:p>
        </w:tc>
        <w:tc>
          <w:tcPr>
            <w:tcW w:type="dxa" w:w="1560"/>
          </w:tcPr>
          <w:p>
            <w:pPr>
              <w:spacing w:before="60" w:after="60"/>
            </w:pPr>
            <w:r/>
            <w:r>
              <w:rPr>
                <w:i/>
              </w:rPr>
              <w:t>"COP delegates reach agreement on renewable energy phase-in at annual conference"</w:t>
            </w:r>
          </w:p>
        </w:tc>
        <w:tc>
          <w:tcPr>
            <w:tcW w:type="dxa" w:w="1560"/>
          </w:tcPr>
          <w:p>
            <w:pPr>
              <w:spacing w:before="60" w:after="60"/>
            </w:pPr>
            <w:r/>
            <w:r>
              <w:rPr>
                <w:b/>
              </w:rPr>
              <w:t>0.0000</w:t>
            </w:r>
            <w:r>
              <w:t xml:space="preserve"> (-0.1200)</w:t>
            </w:r>
          </w:p>
        </w:tc>
        <w:tc>
          <w:tcPr>
            <w:tcW w:type="dxa" w:w="1560"/>
          </w:tcPr>
          <w:p>
            <w:pPr>
              <w:spacing w:before="60" w:after="60"/>
            </w:pPr>
            <w:r/>
            <w:r>
              <w:rPr>
                <w:b/>
              </w:rPr>
              <w:t>0.0947</w:t>
            </w:r>
            <w:r>
              <w:t xml:space="preserve"> (-0.1553)</w:t>
            </w:r>
          </w:p>
        </w:tc>
        <w:tc>
          <w:tcPr>
            <w:tcW w:type="dxa" w:w="1560"/>
          </w:tcPr>
          <w:p>
            <w:pPr>
              <w:spacing w:before="60" w:after="60"/>
            </w:pPr>
            <w:r/>
            <w:r>
              <w:t>Domain Synonymy (</w:t>
            </w:r>
            <w:r>
              <w:rPr>
                <w:i/>
              </w:rPr>
              <w:t>"Climate summit" vs "COP"</w:t>
            </w:r>
            <w:r>
              <w:t>)</w:t>
            </w:r>
          </w:p>
        </w:tc>
      </w:tr>
      <w:tr>
        <w:tc>
          <w:tcPr>
            <w:tcW w:type="dxa" w:w="1560"/>
          </w:tcPr>
          <w:p>
            <w:pPr>
              <w:spacing w:before="60" w:after="60"/>
            </w:pPr>
            <w:r/>
            <w:r>
              <w:rPr>
                <w:b/>
              </w:rPr>
              <w:t>11</w:t>
            </w:r>
          </w:p>
        </w:tc>
        <w:tc>
          <w:tcPr>
            <w:tcW w:type="dxa" w:w="1560"/>
          </w:tcPr>
          <w:p>
            <w:pPr>
              <w:spacing w:before="60" w:after="60"/>
            </w:pPr>
            <w:r/>
            <w:r>
              <w:rPr>
                <w:i/>
              </w:rPr>
              <w:t>"Real Madrid wins Champions League final with dramatic 2-1 victory over Dortmund"</w:t>
            </w:r>
          </w:p>
        </w:tc>
        <w:tc>
          <w:tcPr>
            <w:tcW w:type="dxa" w:w="1560"/>
          </w:tcPr>
          <w:p>
            <w:pPr>
              <w:spacing w:before="60" w:after="60"/>
            </w:pPr>
            <w:r/>
            <w:r>
              <w:rPr>
                <w:i/>
              </w:rPr>
              <w:t>"Spanish giants secure 15th European crown after late goals at Wembley"</w:t>
            </w:r>
          </w:p>
        </w:tc>
        <w:tc>
          <w:tcPr>
            <w:tcW w:type="dxa" w:w="1560"/>
          </w:tcPr>
          <w:p>
            <w:pPr>
              <w:spacing w:before="60" w:after="60"/>
            </w:pPr>
            <w:r/>
            <w:r>
              <w:rPr>
                <w:b/>
              </w:rPr>
              <w:t>0.0000</w:t>
            </w:r>
            <w:r>
              <w:t xml:space="preserve"> (-0.1200)</w:t>
            </w:r>
          </w:p>
        </w:tc>
        <w:tc>
          <w:tcPr>
            <w:tcW w:type="dxa" w:w="1560"/>
          </w:tcPr>
          <w:p>
            <w:pPr>
              <w:spacing w:before="60" w:after="60"/>
            </w:pPr>
            <w:r/>
            <w:r>
              <w:rPr>
                <w:b/>
              </w:rPr>
              <w:t>0.0270</w:t>
            </w:r>
            <w:r>
              <w:t xml:space="preserve"> (-0.2230)</w:t>
            </w:r>
          </w:p>
        </w:tc>
        <w:tc>
          <w:tcPr>
            <w:tcW w:type="dxa" w:w="1560"/>
          </w:tcPr>
          <w:p>
            <w:pPr>
              <w:spacing w:before="60" w:after="60"/>
            </w:pPr>
            <w:r/>
            <w:r>
              <w:t>Metonymy / Periphrasis (</w:t>
            </w:r>
            <w:r>
              <w:rPr>
                <w:i/>
              </w:rPr>
              <w:t>"Spanish giants"</w:t>
            </w:r>
            <w:r>
              <w:t>)</w:t>
            </w:r>
          </w:p>
        </w:tc>
      </w:tr>
    </w:tbl>
    <w:p/>
    <w:p>
      <w:pPr>
        <w:pStyle w:val="Heading4"/>
      </w:pPr>
      <w:r>
        <w:t>Empirical Reproduction of the Dense Embedding Motivation</w:t>
      </w:r>
    </w:p>
    <w:p>
      <w:r>
        <w:t>This diagnostic breakdown provides an empirical reproduction of the exact limitation documented by Reimers &amp; Gurevych [3] when introducing Sentence-BERT. Journalist periphrasis (</w:t>
      </w:r>
      <w:r>
        <w:rPr>
          <w:i/>
        </w:rPr>
        <w:t>"Spanish giants"</w:t>
      </w:r>
      <w:r>
        <w:t xml:space="preserve"> for Real Madrid, </w:t>
      </w:r>
      <w:r>
        <w:rPr>
          <w:i/>
        </w:rPr>
        <w:t>"Musk's EV giant"</w:t>
      </w:r>
      <w:r>
        <w:t xml:space="preserve"> for Tesla, </w:t>
      </w:r>
      <w:r>
        <w:rPr>
          <w:i/>
        </w:rPr>
        <w:t>"six-figure threshold"</w:t>
      </w:r>
      <w:r>
        <w:t xml:space="preserve"> for $100,000) and agency aliases (</w:t>
      </w:r>
      <w:r>
        <w:rPr>
          <w:i/>
        </w:rPr>
        <w:t>"US health regulators"</w:t>
      </w:r>
      <w:r>
        <w:t xml:space="preserve"> for FDA) yield exactly zero unigram token overlap and near-zero character 3-gram overlap. Lexical and character-level TF-IDF pre-filters are fundamentally incapable of bridging these semantic gaps without semantic vector representations.</w:t>
      </w:r>
    </w:p>
    <w:p>
      <w:pPr>
        <w:pStyle w:val="Heading4"/>
      </w:pPr>
      <w:r>
        <w:t>Proposed Local CPU Semantic Embedding Extension (</w:t>
      </w:r>
      <w:r>
        <w:rPr>
          <w:rFonts w:ascii="Consolas" w:hAnsi="Consolas"/>
          <w:color w:val="B42828"/>
          <w:sz w:val="19"/>
        </w:rPr>
        <w:t>testSemanticGate.js</w:t>
      </w:r>
      <w:r>
        <w:t>)</w:t>
      </w:r>
    </w:p>
    <w:p>
      <w:r>
        <w:t>To test recovery without incurring GPU costs or external API latency, we evaluated a third OR-gate condition using a lightweight local CPU sentence transformer model (</w:t>
      </w:r>
      <w:r>
        <w:rPr>
          <w:rFonts w:ascii="Consolas" w:hAnsi="Consolas"/>
          <w:color w:val="B42828"/>
          <w:sz w:val="19"/>
        </w:rPr>
        <w:t>Xenova/all-MiniLM-L6-v2</w:t>
      </w:r>
      <w:r>
        <w:t xml:space="preserve"> via </w:t>
      </w:r>
      <w:r>
        <w:rPr>
          <w:rFonts w:ascii="Consolas" w:hAnsi="Consolas"/>
          <w:color w:val="B42828"/>
          <w:sz w:val="19"/>
        </w:rPr>
        <w:t>@xenova/transformers</w:t>
      </w:r>
      <w:r>
        <w:t>, running in ~1.8 seconds for all 45 pairs on standard CPU hardware).</w:t>
      </w:r>
    </w:p>
    <w:p>
      <w:r>
        <w:t>The full three-stage gating condition is defined as:</w:t>
      </w:r>
    </w:p>
    <w:p>
      <w:r>
        <w:rPr>
          <w:rFonts w:ascii="Cambria Math" w:hAnsi="Cambria Math"/>
          <w:i/>
        </w:rPr>
      </w:r>
      <w:r>
        <w:t>\text{PassesGating} = (J(A,B) \ge 0.12) \lor (\cos_{\text{char}}(V_A, V_B) \ge 0.25) \lor (\cos_{\text{semantic}}(E_A, E_B) \ge T_{\text{sem}})</w:t>
      </w:r>
      <w:r>
        <w:rPr>
          <w:rFonts w:ascii="Cambria Math" w:hAnsi="Cambria Math"/>
          <w:i/>
        </w:rPr>
      </w:r>
    </w:p>
    <w:p>
      <w:r>
        <w:t xml:space="preserve">As detailed in Table VI, setting </w:t>
      </w:r>
      <w:r>
        <w:rPr>
          <w:rFonts w:ascii="Cambria Math" w:hAnsi="Cambria Math"/>
          <w:i/>
        </w:rPr>
        <w:t>T_{\text{sem}} = 0.40</w:t>
      </w:r>
      <w:r>
        <w:t xml:space="preserve"> recovers recall from </w:t>
      </w:r>
      <w:r>
        <w:rPr>
          <w:b/>
        </w:rPr>
        <w:t>35.29% to 76.47%</w:t>
      </w:r>
      <w:r>
        <w:t xml:space="preserve"> (+41.18 percentage points) while maintaining </w:t>
      </w:r>
      <w:r>
        <w:rPr>
          <w:b/>
        </w:rPr>
        <w:t>88.89% Accuracy</w:t>
      </w:r>
      <w:r>
        <w:t xml:space="preserve">, </w:t>
      </w:r>
      <w:r>
        <w:rPr>
          <w:b/>
        </w:rPr>
        <w:t>92.86% Precision</w:t>
      </w:r>
      <w:r>
        <w:t xml:space="preserve">, and a </w:t>
      </w:r>
      <w:r>
        <w:rPr>
          <w:b/>
        </w:rPr>
        <w:t>53.33% LLM call reduction</w:t>
      </w:r>
      <w:r>
        <w:t xml:space="preserve"> (21 of 45 calls). </w:t>
      </w:r>
    </w:p>
    <w:p>
      <w:r>
        <w:rPr>
          <w:i/>
        </w:rPr>
        <w:t>Methodological Caveat:</w:t>
      </w:r>
      <w:r>
        <w:t xml:space="preserve"> The semantic threshold (</w:t>
      </w:r>
      <w:r>
        <w:rPr>
          <w:rFonts w:ascii="Cambria Math" w:hAnsi="Cambria Math"/>
          <w:i/>
        </w:rPr>
        <w:t>T_{\text{sem}} = 0.40</w:t>
      </w:r>
      <w:r>
        <w:t xml:space="preserve">) was selected by inspecting performance on this same 45-pair dataset rather than a separate held-out validation set; the reported recall recovery represents an upper-bound estimate pending validation on unseen wire data. This extension has been experimentally evaluated in </w:t>
      </w:r>
      <w:r>
        <w:rPr>
          <w:rFonts w:ascii="Consolas" w:hAnsi="Consolas"/>
          <w:color w:val="B42828"/>
          <w:sz w:val="19"/>
        </w:rPr>
        <w:t>testFullHybridWithSemantic.js</w:t>
      </w:r>
      <w:r>
        <w:t xml:space="preserve"> but is </w:t>
      </w:r>
      <w:r>
        <w:rPr>
          <w:b/>
        </w:rPr>
        <w:t>not integrated into the deployed production system</w:t>
      </w:r>
      <w:r>
        <w:t>.</w:t>
      </w:r>
    </w:p>
    <w:p>
      <w:pPr>
        <w:jc w:val="center"/>
      </w:pPr>
      <w:r>
        <w:rPr>
          <w:color w:val="969696"/>
        </w:rPr>
        <w:t>─────── ❖ ───────</w:t>
      </w:r>
    </w:p>
    <w:p>
      <w:pPr>
        <w:pStyle w:val="Heading2"/>
      </w:pPr>
      <w:r>
        <w:t>VI. THREATS TO VALIDITY</w:t>
      </w:r>
    </w:p>
    <w:p>
      <w:r>
        <w:t>Before concluding, we explicitly document six methodological and operational threats to validity:</w:t>
      </w:r>
    </w:p>
    <w:p>
      <w:pPr>
        <w:pStyle w:val="ListNumber"/>
      </w:pPr>
      <w:r>
        <w:rPr>
          <w:b/>
        </w:rPr>
        <w:t>Benchmark Scale &amp; Single-Annotator Labeling:</w:t>
      </w:r>
      <w:r>
        <w:t xml:space="preserve"> The </w:t>
      </w:r>
      <w:r>
        <w:rPr>
          <w:rFonts w:ascii="Cambria Math" w:hAnsi="Cambria Math"/>
          <w:i/>
        </w:rPr>
        <w:t>N=45</w:t>
      </w:r>
      <w:r>
        <w:t xml:space="preserve"> evaluation dataset represents a modest, single-annotator-labeled benchmark collected over a 6-week wire window. Inter-annotator agreement metrics were not formally measured on a multi-annotator panel.</w:t>
      </w:r>
    </w:p>
    <w:p>
      <w:pPr>
        <w:pStyle w:val="ListNumber"/>
      </w:pPr>
      <w:r>
        <w:rPr>
          <w:b/>
        </w:rPr>
        <w:t>Evaluation Scale vs. Enterprise Corpora:</w:t>
      </w:r>
      <w:r>
        <w:t xml:space="preserve"> While NISE is evaluated against live RSS wire streams, we do not present direct empirical comparisons against large-scale static databases such as GDELT or Event Registry at their full operating volume (</w:t>
      </w:r>
      <w:r>
        <w:rPr>
          <w:rFonts w:ascii="Cambria Math" w:hAnsi="Cambria Math"/>
          <w:i/>
        </w:rPr>
        <w:t>10^6+</w:t>
      </w:r>
      <w:r>
        <w:t xml:space="preserve"> daily documents).</w:t>
      </w:r>
    </w:p>
    <w:p>
      <w:pPr>
        <w:pStyle w:val="ListNumber"/>
      </w:pPr>
      <w:r>
        <w:rPr>
          <w:b/>
        </w:rPr>
        <w:t>Unvalidated Sub-Components:</w:t>
      </w:r>
      <w:r>
        <w:t xml:space="preserve"> The stance-detection agent and factuality reflection loop are fully implemented and operational in code, but their isolated classification accuracy has not been benchmarked against dedicated domain datasets (e.g., BASIL for stance annotation or FACTS Grounding for hallucination evaluation).</w:t>
      </w:r>
    </w:p>
    <w:p>
      <w:pPr>
        <w:pStyle w:val="ListNumber"/>
      </w:pPr>
      <w:r>
        <w:rPr>
          <w:b/>
        </w:rPr>
        <w:t>Legal Status of Transformative Rewriting:</w:t>
      </w:r>
      <w:r>
        <w:t xml:space="preserve"> The copyright reduction strategy is a software design goal intended to minimize exposure through transformative rewriting. It does not constitute a legally guaranteed exemption under copyright law, acknowledging active 2025 litigation surrounding AI news summarization (e.g., </w:t>
      </w:r>
      <w:r>
        <w:rPr>
          <w:i/>
        </w:rPr>
        <w:t>Advance Local Media LLC v. Cohere Inc.</w:t>
      </w:r>
      <w:r>
        <w:t>).</w:t>
      </w:r>
    </w:p>
    <w:p>
      <w:pPr>
        <w:pStyle w:val="ListNumber"/>
      </w:pPr>
      <w:r>
        <w:rPr>
          <w:b/>
        </w:rPr>
        <w:t>Experimental Threshold Selection on Evaluation Set:</w:t>
      </w:r>
      <w:r>
        <w:t xml:space="preserve"> The semantic gate threshold (</w:t>
      </w:r>
      <w:r>
        <w:rPr>
          <w:rFonts w:ascii="Cambria Math" w:hAnsi="Cambria Math"/>
          <w:i/>
        </w:rPr>
        <w:t>T_{\text{sem}} = 0.40</w:t>
      </w:r>
      <w:r>
        <w:t xml:space="preserve">) evaluated in Section 5.5 was selected via inspection of performance on the same </w:t>
      </w:r>
      <w:r>
        <w:rPr>
          <w:rFonts w:ascii="Cambria Math" w:hAnsi="Cambria Math"/>
          <w:i/>
        </w:rPr>
        <w:t>N=45</w:t>
      </w:r>
      <w:r>
        <w:t xml:space="preserve"> evaluation dataset rather than a separate held-out validation set; the reported recall recovery should be treated as an upper estimate pending validation on unseen data.</w:t>
      </w:r>
    </w:p>
    <w:p>
      <w:pPr>
        <w:pStyle w:val="ListNumber"/>
      </w:pPr>
      <w:r>
        <w:rPr>
          <w:b/>
        </w:rPr>
        <w:t>Non-Uniform Credibility Suppression in DPCS:</w:t>
      </w:r>
      <w:r>
        <w:t xml:space="preserve"> Dynamic publisher credibility weighting is not uniformly beneficial across all operating points. For example, at threshold </w:t>
      </w:r>
      <w:r>
        <w:rPr>
          <w:rFonts w:ascii="Cambria Math" w:hAnsi="Cambria Math"/>
          <w:i/>
        </w:rPr>
        <w:t>\tau = 0.18</w:t>
      </w:r>
      <w:r>
        <w:t>, integrating DPCS into EFSA reduces recall from 52.94% to 41.18% (true positives drop from 9 to 7 out of 17), because credibility suppression filters out genuine same-event pairs from lower-scoring publisher feeds before they reach LLM verification, trading real recall for a modest reduction in LLM calls (25 to 22 calls). This represents an explicit, acknowledged limitation of the current static-factor DPCS weighting scheme under lower gate operating thresholds.</w:t>
      </w:r>
    </w:p>
    <w:p>
      <w:pPr>
        <w:jc w:val="center"/>
      </w:pPr>
      <w:r>
        <w:rPr>
          <w:color w:val="969696"/>
        </w:rPr>
        <w:t>─────── ❖ ───────</w:t>
      </w:r>
    </w:p>
    <w:p>
      <w:pPr>
        <w:pStyle w:val="Heading2"/>
      </w:pPr>
      <w:r>
        <w:t>VII. CONCLUSION &amp; FUTURE WORK</w:t>
      </w:r>
    </w:p>
    <w:p>
      <w:r>
        <w:t xml:space="preserve">This paper presented </w:t>
      </w:r>
      <w:r>
        <w:rPr>
          <w:b/>
        </w:rPr>
        <w:t>NISE</w:t>
      </w:r>
      <w:r>
        <w:t xml:space="preserve"> alongside two novel algorithmic contributions: the </w:t>
      </w:r>
      <w:r>
        <w:rPr>
          <w:b/>
        </w:rPr>
        <w:t>Enhanced Fusion Scoring Algorithm (EFSA)</w:t>
      </w:r>
      <w:r>
        <w:t xml:space="preserve"> and </w:t>
      </w:r>
      <w:r>
        <w:rPr>
          <w:b/>
        </w:rPr>
        <w:t>Dynamic Publisher Credibility Scoring (DPCS)</w:t>
      </w:r>
      <w:r>
        <w:t xml:space="preserve">. EFSA and DPCS provide a dependency-free, pure-heuristic strategy with a fully characterized cost/accuracy tradeoff curve, achieving </w:t>
      </w:r>
      <w:r>
        <w:rPr>
          <w:b/>
        </w:rPr>
        <w:t>73.33% Accuracy</w:t>
      </w:r>
      <w:r>
        <w:t xml:space="preserve">, </w:t>
      </w:r>
      <w:r>
        <w:rPr>
          <w:b/>
        </w:rPr>
        <w:t>50.00% F1-Score</w:t>
      </w:r>
      <w:r>
        <w:t xml:space="preserve">, and </w:t>
      </w:r>
      <w:r>
        <w:rPr>
          <w:b/>
        </w:rPr>
        <w:t>77.78% LLM Call Savings</w:t>
      </w:r>
      <w:r>
        <w:t xml:space="preserve"> (10 calls of 45 pairs) at the current production threshold (</w:t>
      </w:r>
      <w:r>
        <w:rPr>
          <w:rFonts w:ascii="Cambria Math" w:hAnsi="Cambria Math"/>
          <w:i/>
        </w:rPr>
        <w:t>\tau=0.22</w:t>
      </w:r>
      <w:r>
        <w:t>). Experimental benchmark comparisons demonstrate that while the local semantic embedding extension (</w:t>
      </w:r>
      <w:r>
        <w:rPr>
          <w:rFonts w:ascii="Consolas" w:hAnsi="Consolas"/>
          <w:color w:val="B42828"/>
          <w:sz w:val="19"/>
        </w:rPr>
        <w:t>Xenova/all-MiniLM-L6-v2</w:t>
      </w:r>
      <w:r>
        <w:t xml:space="preserve"> at </w:t>
      </w:r>
      <w:r>
        <w:rPr>
          <w:rFonts w:ascii="Cambria Math" w:hAnsi="Cambria Math"/>
          <w:i/>
        </w:rPr>
        <w:t>T_{\text{sem}}=0.40</w:t>
      </w:r>
      <w:r>
        <w:t>) delivers the strongest overall performance (88.89% Accuracy, 76.47% Recall, 83.87% F1-Score at 21 calls), EFSA and DPCS offer an effective zero-dependency alternative for resource-constrained deployments where loading neural transformer models is undesirable or infeasible. Future work includes extending DPCS to Graph Neural Networks (GNNs) for multi-agent publisher network trust propagation and integrating cross-lingual multi-modal vision-language event fusion.</w:t>
      </w:r>
    </w:p>
    <w:p>
      <w:pPr>
        <w:jc w:val="center"/>
      </w:pPr>
      <w:r>
        <w:rPr>
          <w:color w:val="969696"/>
        </w:rPr>
        <w:t>─────── ❖ ───────</w:t>
      </w:r>
    </w:p>
    <w:p>
      <w:pPr>
        <w:pStyle w:val="Heading2"/>
      </w:pPr>
      <w:r>
        <w:t>VIII. REFERENCES</w:t>
      </w:r>
    </w:p>
    <w:p>
      <w:pPr>
        <w:pStyle w:val="ListNumber"/>
      </w:pPr>
      <w:r>
        <w:t xml:space="preserve">G. Salton and C. Buckley, "Term-weighting approaches in automatic text retrieval," </w:t>
      </w:r>
      <w:r>
        <w:rPr>
          <w:i/>
        </w:rPr>
        <w:t>Information Processing &amp; Management</w:t>
      </w:r>
      <w:r>
        <w:t>, vol. 24, no. 5, pp. 513–523, 1988.</w:t>
      </w:r>
    </w:p>
    <w:p>
      <w:pPr>
        <w:pStyle w:val="ListNumber"/>
      </w:pPr>
      <w:r>
        <w:t xml:space="preserve">P. Jaccard, "Étude comparative de la distribution florale dans une portion des Alpes et du Jura," </w:t>
      </w:r>
      <w:r>
        <w:rPr>
          <w:i/>
        </w:rPr>
        <w:t>Bulletin de la Société Vaudoise des Sciences Naturelles</w:t>
      </w:r>
      <w:r>
        <w:t>, vol. 37, pp. 547–579, 1901.</w:t>
      </w:r>
    </w:p>
    <w:p>
      <w:pPr>
        <w:pStyle w:val="ListNumber"/>
      </w:pPr>
      <w:r>
        <w:t xml:space="preserve">N. Reimers and I. Gurevych, "Sentence-BERT: Sentence Embeddings using Siamese BERT-Networks," in </w:t>
      </w:r>
      <w:r>
        <w:rPr>
          <w:i/>
        </w:rPr>
        <w:t>Proc. EMNLP-IJCNLP</w:t>
      </w:r>
      <w:r>
        <w:t>, 2019, pp. 3982–3992.</w:t>
      </w:r>
    </w:p>
    <w:p>
      <w:pPr>
        <w:pStyle w:val="ListNumber"/>
      </w:pPr>
      <w:r>
        <w:t xml:space="preserve">L. McInnes, J. Healy, and J. Melville, "UMAP: Uniform Manifold Approximation and Projection for Dimension Reduction," </w:t>
      </w:r>
      <w:r>
        <w:rPr>
          <w:i/>
        </w:rPr>
        <w:t>arXiv preprint arXiv:1802.03426</w:t>
      </w:r>
      <w:r>
        <w:t>, 2018.</w:t>
      </w:r>
    </w:p>
    <w:p>
      <w:pPr>
        <w:pStyle w:val="ListNumber"/>
      </w:pPr>
      <w:r>
        <w:t xml:space="preserve">R. J. G. B. Campello, D. Moulavi, and J. Sander, "Density-Based Clustering Based on Hierarchical Density Estimates," in </w:t>
      </w:r>
      <w:r>
        <w:rPr>
          <w:i/>
        </w:rPr>
        <w:t>Proc. PAKDD</w:t>
      </w:r>
      <w:r>
        <w:t>, 2013, pp. 160–172.</w:t>
      </w:r>
    </w:p>
    <w:p>
      <w:pPr>
        <w:pStyle w:val="ListNumber"/>
      </w:pPr>
      <w:r>
        <w:t xml:space="preserve">A. N. Tarekegn, M. Rabbi, and S. Tessem, "Large Language Model Enhanced Clustering for News Event Detection," </w:t>
      </w:r>
      <w:r>
        <w:rPr>
          <w:i/>
        </w:rPr>
        <w:t>arXiv preprint arXiv:2406.10552</w:t>
      </w:r>
      <w:r>
        <w:t>, 2024.</w:t>
      </w:r>
    </w:p>
    <w:p>
      <w:pPr>
        <w:pStyle w:val="ListNumber"/>
      </w:pPr>
      <w:r>
        <w:t xml:space="preserve">S. Nakshatri, Y. Liu, C. Chen, D. Roth, D. Goldwasser, and M. Hopkins, "Using LLM for Improving Key Event Discovery: Temporal-Guided News Stream Clustering with Event Summaries," in </w:t>
      </w:r>
      <w:r>
        <w:rPr>
          <w:i/>
        </w:rPr>
        <w:t>Findings of the Association for Computational Linguistics: EMNLP 2023</w:t>
      </w:r>
      <w:r>
        <w:t>, pp. 4510–4525, 2023.</w:t>
      </w:r>
    </w:p>
    <w:p>
      <w:pPr>
        <w:pStyle w:val="ListNumber"/>
      </w:pPr>
      <w:r>
        <w:t xml:space="preserve">ACL Anthology, "Enhancing Event-centric News Cluster Summarization via Multi-stage Extraction," </w:t>
      </w:r>
      <w:r>
        <w:rPr>
          <w:i/>
        </w:rPr>
        <w:t>Proc. ACL 2025</w:t>
      </w:r>
      <w:r>
        <w:t>, 2025.acl-long.801, 2025.</w:t>
      </w:r>
    </w:p>
    <w:p>
      <w:pPr>
        <w:pStyle w:val="ListNumber"/>
      </w:pPr>
      <w:r>
        <w:t xml:space="preserve">L. Fan et al., "BASIL: Bias Annotation Spans on the Informational Level," in </w:t>
      </w:r>
      <w:r>
        <w:rPr>
          <w:i/>
        </w:rPr>
        <w:t>Proc. EMNLP-IJCNLP</w:t>
      </w:r>
      <w:r>
        <w:t>, 2019, pp. 2410–2420.</w:t>
      </w:r>
    </w:p>
    <w:p>
      <w:pPr>
        <w:pStyle w:val="ListNumber"/>
      </w:pPr>
      <w:r>
        <w:t xml:space="preserve">Z. Ji et al., "Survey of Hallucination in Natural Language Generation," </w:t>
      </w:r>
      <w:r>
        <w:rPr>
          <w:i/>
        </w:rPr>
        <w:t>ACM Computing Surveys</w:t>
      </w:r>
      <w:r>
        <w:t>, vol. 55, no. 12, pp. 1–38, 2023.</w:t>
      </w:r>
    </w:p>
    <w:p>
      <w:pPr>
        <w:pStyle w:val="ListNumber"/>
      </w:pPr>
      <w:r>
        <w:t xml:space="preserve">Y. Zhang et al., "Siren's Song in the AI Ocean: A Survey on Hallucination in Large Language Models," </w:t>
      </w:r>
      <w:r>
        <w:rPr>
          <w:i/>
        </w:rPr>
        <w:t>arXiv preprint arXiv:2309.01219</w:t>
      </w:r>
      <w:r>
        <w:t>, 2023.</w:t>
      </w:r>
    </w:p>
    <w:p>
      <w:pPr>
        <w:pStyle w:val="ListNumber"/>
      </w:pPr>
      <w:r>
        <w:t xml:space="preserve">N. Shinn et al., "Reflexion: Language Agents with Verbal Reinforcement Learning," in </w:t>
      </w:r>
      <w:r>
        <w:rPr>
          <w:i/>
        </w:rPr>
        <w:t>Proc. NeurIPS</w:t>
      </w:r>
      <w:r>
        <w:t>, 2023.</w:t>
      </w:r>
    </w:p>
    <w:p>
      <w:pPr>
        <w:pStyle w:val="ListNumber"/>
      </w:pPr>
      <w:r>
        <w:t xml:space="preserve">F. Atefeh and W. Khreich, "A Survey of Techniques for Event Detection in Twitter," </w:t>
      </w:r>
      <w:r>
        <w:rPr>
          <w:i/>
        </w:rPr>
        <w:t>Computational Intelligence</w:t>
      </w:r>
      <w:r>
        <w:t>, vol. 31, no. 1, pp. 132–164, 2015.</w:t>
      </w:r>
    </w:p>
    <w:p>
      <w:pPr>
        <w:pStyle w:val="ListNumber"/>
      </w:pPr>
      <w:r>
        <w:t xml:space="preserve">H. Touvron et al., "Llama 2: Open Foundation and Fine-Tuned Chat Models," </w:t>
      </w:r>
      <w:r>
        <w:rPr>
          <w:i/>
        </w:rPr>
        <w:t>arXiv preprint arXiv:2307.09288</w:t>
      </w:r>
      <w:r>
        <w:t>, 2023.</w:t>
      </w:r>
    </w:p>
    <w:p>
      <w:pPr>
        <w:pStyle w:val="ListNumber"/>
      </w:pPr>
      <w:r>
        <w:t>Meta AI Research, "Llama 3 Model Card," Meta AI, 2024.</w:t>
      </w:r>
    </w:p>
    <w:p>
      <w:pPr>
        <w:pStyle w:val="ListNumber"/>
      </w:pPr>
      <w:r>
        <w:t>Groq Inc., "Groq LPU Inference Engine Architecture Overview," Groq Technical Whitepaper, 2024.</w:t>
      </w:r>
    </w:p>
    <w:p>
      <w:pPr>
        <w:pStyle w:val="ListNumber"/>
      </w:pPr>
      <w:r>
        <w:t>Pollinations.ai, "FLUX Realism Image Generation API Documentation," 2024.</w:t>
      </w:r>
    </w:p>
    <w:p>
      <w:pPr>
        <w:pStyle w:val="ListNumber"/>
      </w:pPr>
      <w:r>
        <w:t xml:space="preserve">F. Sufi, "Just-in-Time News: An AI Chatbot for the Modern Information Age," </w:t>
      </w:r>
      <w:r>
        <w:rPr>
          <w:i/>
        </w:rPr>
        <w:t>AI (MDPI)</w:t>
      </w:r>
      <w:r>
        <w:t>, vol. 6, no. 2, article 22, 2025.</w:t>
      </w:r>
    </w:p>
    <w:p>
      <w:pPr>
        <w:pStyle w:val="ListNumber"/>
      </w:pPr>
      <w:r>
        <w:t xml:space="preserve">C. D. Manning, P. Raghavan, and H. Schütze, </w:t>
      </w:r>
      <w:r>
        <w:rPr>
          <w:i/>
        </w:rPr>
        <w:t>Introduction to Information Retrieval</w:t>
      </w:r>
      <w:r>
        <w:t>, Cambridge University Press, 2008.</w:t>
      </w:r>
    </w:p>
    <w:p>
      <w:pPr>
        <w:pStyle w:val="ListNumber"/>
      </w:pPr>
      <w:r>
        <w:t xml:space="preserve">V. Christophides, V. Efthymiou, T. Palpanas, G. Papadakis, and K. Stefanidis, "An Overview of End-to-End Entity Resolution for Big Data," </w:t>
      </w:r>
      <w:r>
        <w:rPr>
          <w:i/>
        </w:rPr>
        <w:t>ACM Computing Surveys</w:t>
      </w:r>
      <w:r>
        <w:t>, vol. 53, no. 6, Article 127, 2020.</w:t>
      </w:r>
    </w:p>
    <w:p>
      <w:pPr>
        <w:pStyle w:val="ListNumber"/>
      </w:pPr>
      <w:r>
        <w:t xml:space="preserve">K.-C. Yang and F. Menczer, "Accuracy and Political Bias of News Source Credibility Ratings by Large Language Models," </w:t>
      </w:r>
      <w:r>
        <w:rPr>
          <w:i/>
        </w:rPr>
        <w:t>arXiv preprint arXiv:2304.00228</w:t>
      </w:r>
      <w:r>
        <w:t>, 2023.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