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sz w:val="32"/>
        </w:rPr>
        <w:t>CONNECT360 - AN INTELLIGENT AND SECURE PLATFORM FOR SKILLED LABOUR BOOKING</w:t>
      </w:r>
    </w:p>
    <w:p>
      <w:pPr>
        <w:spacing w:after="560"/>
        <w:jc w:val="center"/>
      </w:pPr>
      <w:r>
        <w:rPr>
          <w:rFonts w:ascii="Times New Roman" w:hAnsi="Times New Roman"/>
          <w:b/>
          <w:sz w:val="28"/>
        </w:rPr>
        <w:t>PHASE I REPORT</w:t>
      </w:r>
    </w:p>
    <w:p>
      <w:pPr>
        <w:spacing w:after="320"/>
        <w:jc w:val="center"/>
      </w:pPr>
      <w:r>
        <w:rPr>
          <w:rFonts w:ascii="Times New Roman" w:hAnsi="Times New Roman"/>
          <w:i/>
          <w:sz w:val="24"/>
        </w:rPr>
        <w:t>Submitted by</w:t>
      </w:r>
    </w:p>
    <w:tbl>
      <w:tblPr>
        <w:tblW w:type="auto" w:w="0"/>
        <w:jc w:val="center"/>
        <w:tblLook w:firstColumn="1" w:firstRow="1" w:lastColumn="0" w:lastRow="0" w:noHBand="0" w:noVBand="1" w:val="04A0"/>
      </w:tblPr>
      <w:tblGrid>
        <w:gridCol w:w="4333"/>
        <w:gridCol w:w="4333"/>
      </w:tblGrid>
      <w:tr>
        <w:tc>
          <w:tcPr>
            <w:tcW w:type="dxa" w:w="3168"/>
          </w:tcPr>
          <w:p>
            <w:pPr>
              <w:spacing w:after="40" w:line="288" w:lineRule="auto"/>
              <w:jc w:val="left"/>
            </w:pPr>
            <w:r>
              <w:rPr>
                <w:rFonts w:ascii="Times New Roman" w:hAnsi="Times New Roman"/>
                <w:b/>
                <w:sz w:val="24"/>
              </w:rPr>
              <w:t>JAYADHARSINI M</w:t>
            </w:r>
          </w:p>
        </w:tc>
        <w:tc>
          <w:tcPr>
            <w:tcW w:type="dxa" w:w="2160"/>
          </w:tcPr>
          <w:p>
            <w:pPr>
              <w:spacing w:after="40" w:line="288" w:lineRule="auto"/>
              <w:jc w:val="right"/>
            </w:pPr>
            <w:r>
              <w:rPr>
                <w:rFonts w:ascii="Times New Roman" w:hAnsi="Times New Roman"/>
                <w:sz w:val="24"/>
              </w:rPr>
              <w:t>230701127</w:t>
            </w:r>
          </w:p>
        </w:tc>
      </w:tr>
      <w:tr>
        <w:tc>
          <w:tcPr>
            <w:tcW w:type="dxa" w:w="3168"/>
          </w:tcPr>
          <w:p>
            <w:pPr>
              <w:spacing w:after="40" w:line="288" w:lineRule="auto"/>
              <w:jc w:val="left"/>
            </w:pPr>
            <w:r>
              <w:rPr>
                <w:rFonts w:ascii="Times New Roman" w:hAnsi="Times New Roman"/>
                <w:b/>
                <w:sz w:val="24"/>
              </w:rPr>
              <w:t>DHARSHINI R S</w:t>
            </w:r>
          </w:p>
        </w:tc>
        <w:tc>
          <w:tcPr>
            <w:tcW w:type="dxa" w:w="2160"/>
          </w:tcPr>
          <w:p>
            <w:pPr>
              <w:spacing w:after="40" w:line="288" w:lineRule="auto"/>
              <w:jc w:val="right"/>
            </w:pPr>
            <w:r>
              <w:rPr>
                <w:rFonts w:ascii="Times New Roman" w:hAnsi="Times New Roman"/>
                <w:sz w:val="24"/>
              </w:rPr>
              <w:t>230701076</w:t>
            </w:r>
          </w:p>
        </w:tc>
      </w:tr>
      <w:tr>
        <w:tc>
          <w:tcPr>
            <w:tcW w:type="dxa" w:w="3168"/>
          </w:tcPr>
          <w:p>
            <w:pPr>
              <w:spacing w:after="40" w:line="288" w:lineRule="auto"/>
              <w:jc w:val="left"/>
            </w:pPr>
            <w:r>
              <w:rPr>
                <w:rFonts w:ascii="Times New Roman" w:hAnsi="Times New Roman"/>
                <w:b/>
                <w:sz w:val="24"/>
              </w:rPr>
              <w:t>ENIYA B A</w:t>
            </w:r>
          </w:p>
        </w:tc>
        <w:tc>
          <w:tcPr>
            <w:tcW w:type="dxa" w:w="2160"/>
          </w:tcPr>
          <w:p>
            <w:pPr>
              <w:spacing w:after="40" w:line="288" w:lineRule="auto"/>
              <w:jc w:val="right"/>
            </w:pPr>
            <w:r>
              <w:rPr>
                <w:rFonts w:ascii="Times New Roman" w:hAnsi="Times New Roman"/>
                <w:sz w:val="24"/>
              </w:rPr>
              <w:t>230701085</w:t>
            </w:r>
          </w:p>
        </w:tc>
      </w:tr>
      <w:tr>
        <w:tc>
          <w:tcPr>
            <w:tcW w:type="dxa" w:w="3168"/>
          </w:tcPr>
          <w:p>
            <w:pPr>
              <w:spacing w:after="40" w:line="288" w:lineRule="auto"/>
              <w:jc w:val="left"/>
            </w:pPr>
            <w:r>
              <w:rPr>
                <w:rFonts w:ascii="Times New Roman" w:hAnsi="Times New Roman"/>
                <w:b/>
                <w:sz w:val="24"/>
              </w:rPr>
              <w:t>JAYAPRADHA P</w:t>
            </w:r>
          </w:p>
        </w:tc>
        <w:tc>
          <w:tcPr>
            <w:tcW w:type="dxa" w:w="2160"/>
          </w:tcPr>
          <w:p>
            <w:pPr>
              <w:spacing w:after="40" w:line="288" w:lineRule="auto"/>
              <w:jc w:val="right"/>
            </w:pPr>
            <w:r>
              <w:rPr>
                <w:rFonts w:ascii="Times New Roman" w:hAnsi="Times New Roman"/>
                <w:sz w:val="24"/>
              </w:rPr>
              <w:t>230701130</w:t>
            </w:r>
          </w:p>
        </w:tc>
      </w:tr>
    </w:tbl>
    <w:p>
      <w:pPr>
        <w:spacing w:before="720" w:after="80"/>
        <w:jc w:val="center"/>
      </w:pPr>
      <w:r>
        <w:rPr>
          <w:rFonts w:ascii="Times New Roman" w:hAnsi="Times New Roman"/>
          <w:i/>
          <w:sz w:val="24"/>
        </w:rPr>
        <w:t>in partial fulfillment for the award of the degree of</w:t>
      </w:r>
    </w:p>
    <w:p>
      <w:pPr>
        <w:spacing w:after="40"/>
        <w:jc w:val="center"/>
      </w:pPr>
      <w:r>
        <w:rPr>
          <w:rFonts w:ascii="Times New Roman" w:hAnsi="Times New Roman"/>
          <w:b/>
          <w:sz w:val="26"/>
        </w:rPr>
        <w:t>BACHELOR OF ENGINEERING</w:t>
      </w:r>
    </w:p>
    <w:p>
      <w:pPr>
        <w:spacing w:after="40"/>
        <w:jc w:val="center"/>
      </w:pPr>
      <w:r>
        <w:rPr>
          <w:rFonts w:ascii="Times New Roman" w:hAnsi="Times New Roman"/>
          <w:b/>
          <w:sz w:val="24"/>
        </w:rPr>
        <w:t>IN</w:t>
      </w:r>
    </w:p>
    <w:p>
      <w:pPr>
        <w:spacing w:after="800"/>
        <w:jc w:val="center"/>
      </w:pPr>
      <w:r>
        <w:rPr>
          <w:rFonts w:ascii="Times New Roman" w:hAnsi="Times New Roman"/>
          <w:b/>
          <w:sz w:val="26"/>
        </w:rPr>
        <w:t>COMPUTER SCIENCE AND ENGINEERING</w:t>
      </w:r>
    </w:p>
    <w:p>
      <w:pPr>
        <w:spacing w:after="40"/>
        <w:jc w:val="center"/>
      </w:pPr>
      <w:r>
        <w:rPr>
          <w:rFonts w:ascii="Times New Roman" w:hAnsi="Times New Roman"/>
          <w:b/>
          <w:sz w:val="24"/>
        </w:rPr>
        <w:t>RAJALAKSHMI ENGINEERING COLLEGE, CHENNAI</w:t>
        <w:br/>
        <w:t>ANNA UNIVERSITY: CHENNAI 600 025</w:t>
        <w:br/>
        <w:t>MARCH 2026</w:t>
      </w:r>
    </w:p>
    <w:p>
      <w:r>
        <w:br w:type="page"/>
      </w:r>
    </w:p>
    <w:p>
      <w:pPr>
        <w:spacing w:before="360" w:after="80"/>
        <w:jc w:val="center"/>
      </w:pPr>
      <w:r>
        <w:rPr>
          <w:rFonts w:ascii="Times New Roman" w:hAnsi="Times New Roman"/>
          <w:b/>
          <w:sz w:val="28"/>
        </w:rPr>
        <w:t>ANNA UNIVERSITY: CHENNAI 600 025</w:t>
      </w:r>
    </w:p>
    <w:p>
      <w:pPr>
        <w:spacing w:after="480"/>
        <w:jc w:val="center"/>
      </w:pPr>
      <w:r>
        <w:rPr>
          <w:rFonts w:ascii="Times New Roman" w:hAnsi="Times New Roman"/>
          <w:b/>
          <w:sz w:val="28"/>
        </w:rPr>
        <w:t>BONAFIDE CERTIFICATE</w:t>
      </w:r>
    </w:p>
    <w:p>
      <w:pPr>
        <w:spacing w:line="360" w:lineRule="auto" w:after="240"/>
      </w:pPr>
      <w:r>
        <w:rPr>
          <w:rFonts w:ascii="Times New Roman" w:hAnsi="Times New Roman"/>
          <w:sz w:val="24"/>
        </w:rPr>
        <w:t xml:space="preserve">Certified that this project report titled </w:t>
      </w:r>
      <w:r>
        <w:rPr>
          <w:rFonts w:ascii="Times New Roman" w:hAnsi="Times New Roman"/>
          <w:b/>
          <w:sz w:val="24"/>
        </w:rPr>
        <w:t>"CONNECT360 - AN INTELLIGENT AND SECURE PLATFORM FOR SKILLED LABOUR BOOKING"</w:t>
      </w:r>
      <w:r>
        <w:rPr>
          <w:rFonts w:ascii="Times New Roman" w:hAnsi="Times New Roman"/>
          <w:sz w:val="24"/>
        </w:rPr>
        <w:t xml:space="preserve"> is the bonafide work of </w:t>
      </w:r>
      <w:r>
        <w:rPr>
          <w:rFonts w:ascii="Times New Roman" w:hAnsi="Times New Roman"/>
          <w:b/>
          <w:sz w:val="24"/>
        </w:rPr>
        <w:t>JAYADHARSINI M (230701127), DHARSHINI R S (230701076), ENIYA B A (230701085), and JAYAPRADHA P (230701130)</w:t>
      </w:r>
      <w:r>
        <w:rPr>
          <w:rFonts w:ascii="Times New Roman" w:hAnsi="Times New Roman"/>
          <w:sz w:val="24"/>
        </w:rPr>
        <w:t xml:space="preserve"> who carried out the project work under my supervision.</w:t>
      </w:r>
    </w:p>
    <w:p>
      <w:pPr>
        <w:spacing w:line="360" w:lineRule="auto" w:after="720"/>
      </w:pPr>
      <w:r>
        <w:rPr>
          <w:rFonts w:ascii="Times New Roman" w:hAnsi="Times New Roman"/>
          <w:sz w:val="24"/>
        </w:rPr>
        <w:t xml:space="preserve">Certified further that to the best of my knowledge the work reported herein does not form part of any other thesis or dissertation on the basis of which a degree or award was conferred on an earlier occasion on this or any other candidate. This project actively addresses </w:t>
      </w:r>
      <w:r>
        <w:rPr>
          <w:rFonts w:ascii="Times New Roman" w:hAnsi="Times New Roman"/>
          <w:b/>
          <w:sz w:val="24"/>
        </w:rPr>
        <w:t>United Nations Sustainable Development Goal 8 (Decent Work and Economic Growth)</w:t>
      </w:r>
      <w:r>
        <w:rPr>
          <w:rFonts w:ascii="Times New Roman" w:hAnsi="Times New Roman"/>
          <w:sz w:val="24"/>
        </w:rPr>
        <w:t xml:space="preserve"> and </w:t>
      </w:r>
      <w:r>
        <w:rPr>
          <w:rFonts w:ascii="Times New Roman" w:hAnsi="Times New Roman"/>
          <w:b/>
          <w:sz w:val="24"/>
        </w:rPr>
        <w:t>Goal 9 (Industry, Innovation, and Infrastructure)</w:t>
      </w:r>
      <w:r>
        <w:rPr>
          <w:rFonts w:ascii="Times New Roman" w:hAnsi="Times New Roman"/>
          <w:sz w:val="24"/>
        </w:rPr>
        <w:t xml:space="preserve"> by establishing an equitable, transparent digital labor marketplace for independent technical service workers.</w:t>
      </w:r>
    </w:p>
    <w:tbl>
      <w:tblPr>
        <w:tblW w:type="auto" w:w="0"/>
        <w:jc w:val="center"/>
        <w:tblLook w:firstColumn="1" w:firstRow="1" w:lastColumn="0" w:lastRow="0" w:noHBand="0" w:noVBand="1" w:val="04A0"/>
      </w:tblPr>
      <w:tblGrid>
        <w:gridCol w:w="4333"/>
        <w:gridCol w:w="4333"/>
      </w:tblGrid>
      <w:tr>
        <w:tc>
          <w:tcPr>
            <w:tcW w:type="dxa" w:w="4320"/>
          </w:tcPr>
          <w:p>
            <w:pPr>
              <w:spacing w:line="288" w:lineRule="auto"/>
            </w:pPr>
            <w:r>
              <w:rPr>
                <w:rFonts w:ascii="Times New Roman" w:hAnsi="Times New Roman"/>
                <w:b/>
                <w:sz w:val="22"/>
              </w:rPr>
              <w:t>SIGNATURE</w:t>
              <w:br/>
              <w:br/>
              <w:br/>
              <w:br/>
              <w:t>[TO BE PROVIDED]</w:t>
              <w:br/>
              <w:t>HEAD OF THE DEPARTMENT</w:t>
              <w:br/>
            </w:r>
            <w:r>
              <w:rPr>
                <w:rFonts w:ascii="Times New Roman" w:hAnsi="Times New Roman"/>
                <w:sz w:val="21"/>
              </w:rPr>
              <w:t>Professor,</w:t>
              <w:br/>
              <w:t>Department of Computer Science &amp; Engg.,</w:t>
              <w:br/>
              <w:t>Rajalakshmi Engineering College,</w:t>
              <w:br/>
              <w:t>Thandalam, Chennai - 602 105.</w:t>
            </w:r>
          </w:p>
        </w:tc>
        <w:tc>
          <w:tcPr>
            <w:tcW w:type="dxa" w:w="4320"/>
          </w:tcPr>
          <w:p>
            <w:pPr>
              <w:spacing w:line="288" w:lineRule="auto"/>
              <w:jc w:val="right"/>
            </w:pPr>
            <w:r>
              <w:rPr>
                <w:rFonts w:ascii="Times New Roman" w:hAnsi="Times New Roman"/>
                <w:b/>
                <w:sz w:val="22"/>
              </w:rPr>
              <w:t>SIGNATURE</w:t>
              <w:br/>
              <w:br/>
              <w:br/>
              <w:br/>
              <w:t>Ms. Divya M</w:t>
              <w:br/>
              <w:t>SUPERVISOR / PROJECT GUIDE</w:t>
              <w:br/>
            </w:r>
            <w:r>
              <w:rPr>
                <w:rFonts w:ascii="Times New Roman" w:hAnsi="Times New Roman"/>
                <w:sz w:val="21"/>
              </w:rPr>
              <w:t>Assistant Professor (CSE),</w:t>
              <w:br/>
              <w:t>Department of Computer Science &amp; Engg.,</w:t>
              <w:br/>
              <w:t>Rajalakshmi Engineering College,</w:t>
              <w:br/>
              <w:t>Thandalam, Chennai - 602 105.</w:t>
            </w:r>
          </w:p>
        </w:tc>
      </w:tr>
    </w:tbl>
    <w:p>
      <w:pPr>
        <w:spacing w:before="600" w:after="480"/>
      </w:pPr>
      <w:r>
        <w:rPr>
          <w:rFonts w:ascii="Times New Roman" w:hAnsi="Times New Roman"/>
          <w:i/>
          <w:sz w:val="22"/>
        </w:rPr>
        <w:t>Submitted for the Phase-I Project Viva-Voce Examination held on ____________________ at Rajalakshmi Engineering College, Thandalam, Chennai.</w:t>
      </w:r>
    </w:p>
    <w:tbl>
      <w:tblPr>
        <w:tblW w:type="auto" w:w="0"/>
        <w:jc w:val="center"/>
        <w:tblLook w:firstColumn="1" w:firstRow="1" w:lastColumn="0" w:lastRow="0" w:noHBand="0" w:noVBand="1" w:val="04A0"/>
      </w:tblPr>
      <w:tblGrid>
        <w:gridCol w:w="4333"/>
        <w:gridCol w:w="4333"/>
      </w:tblGrid>
      <w:tr>
        <w:tc>
          <w:tcPr>
            <w:tcW w:type="dxa" w:w="4320"/>
          </w:tcPr>
          <w:p>
            <w:r>
              <w:rPr>
                <w:rFonts w:ascii="Times New Roman" w:hAnsi="Times New Roman"/>
                <w:b/>
                <w:sz w:val="22"/>
              </w:rPr>
              <w:t>INTERNAL EXAMINER</w:t>
            </w:r>
          </w:p>
        </w:tc>
        <w:tc>
          <w:tcPr>
            <w:tcW w:type="dxa" w:w="4320"/>
          </w:tcPr>
          <w:p>
            <w:pPr>
              <w:jc w:val="right"/>
            </w:pPr>
            <w:r>
              <w:rPr>
                <w:rFonts w:ascii="Times New Roman" w:hAnsi="Times New Roman"/>
                <w:b/>
                <w:sz w:val="22"/>
              </w:rPr>
              <w:t>EXTERNAL EXAMINER</w:t>
            </w:r>
          </w:p>
        </w:tc>
      </w:tr>
    </w:tbl>
    <w:p>
      <w:r>
        <w:br w:type="page"/>
      </w:r>
    </w:p>
    <w:p>
      <w:pPr>
        <w:spacing w:before="240" w:after="360"/>
        <w:jc w:val="center"/>
      </w:pPr>
      <w:r>
        <w:rPr>
          <w:rFonts w:ascii="Times New Roman" w:hAnsi="Times New Roman"/>
          <w:b/>
          <w:sz w:val="32"/>
        </w:rPr>
        <w:t>ABSTRACT</w:t>
      </w:r>
    </w:p>
    <w:p>
      <w:pPr>
        <w:spacing w:line="360" w:lineRule="auto" w:after="160"/>
        <w:jc w:val="both"/>
      </w:pPr>
      <w:r>
        <w:rPr>
          <w:rFonts w:ascii="Times New Roman" w:hAnsi="Times New Roman"/>
          <w:sz w:val="24"/>
        </w:rPr>
        <w:t xml:space="preserve">The rapid expansion of urban centers has dramatically increased the demand for hyperlocal, on-demand home technical services encompassing electrical maintenance, plumbing installations, HVAC repairs, carpentry, painting, and appliance diagnostics. Conventional digital labor marketplaces remain plagued by systemic operational inefficiencies, including severe dispatch latencies, high platform disintermediation, race conditions resulting in double-booked technicians, opaque worker ranking heuristics, and the uninhibited exposure of personally identifiable information (PII). This project designs, implements, and empirically evaluates </w:t>
      </w:r>
      <w:r>
        <w:rPr>
          <w:rFonts w:ascii="Times New Roman" w:hAnsi="Times New Roman"/>
          <w:b/>
          <w:sz w:val="24"/>
        </w:rPr>
        <w:t>Connect360</w:t>
      </w:r>
      <w:r>
        <w:rPr>
          <w:rFonts w:ascii="Times New Roman" w:hAnsi="Times New Roman"/>
          <w:sz w:val="24"/>
        </w:rPr>
        <w:t>, an enterprise-grade, serverless on-demand home services marketplace that unifies multi-criteria candidate ranking, concurrency-safe atomic dispatch, conversational AI triage with deterministic PII filtering, hybrid spatial routing, and privacy-preserving virtual telephony.</w:t>
      </w:r>
    </w:p>
    <w:p>
      <w:pPr>
        <w:spacing w:line="360" w:lineRule="auto" w:after="160"/>
        <w:jc w:val="both"/>
      </w:pPr>
      <w:r>
        <w:rPr>
          <w:rFonts w:ascii="Times New Roman" w:hAnsi="Times New Roman"/>
          <w:sz w:val="24"/>
        </w:rPr>
        <w:t xml:space="preserve">Connect360 is engineered as a three-tier cloud application comprising a responsive React 18 single-page frontend, an asynchronous serverless backend orchestrated via Amazon Web Services (AWS) Lambda and API Gateway, and an optimized single-table Amazon DynamoDB datastore with Global Secondary Indexes. The platform introduces a dual-mode candidate matching engine that scores available technicians across spatial proximity, customer ratings, verified experience, and job completion history. To resolve urgent household crises, Connect360 features an instant </w:t>
      </w:r>
      <w:r>
        <w:rPr>
          <w:rFonts w:ascii="Times New Roman" w:hAnsi="Times New Roman"/>
          <w:i/>
          <w:sz w:val="24"/>
        </w:rPr>
        <w:t>Priority Booking</w:t>
      </w:r>
      <w:r>
        <w:rPr>
          <w:rFonts w:ascii="Times New Roman" w:hAnsi="Times New Roman"/>
          <w:sz w:val="24"/>
        </w:rPr>
        <w:t xml:space="preserve"> subsystem governed by DynamoDB conditional expressions, completely eliminating concurrent assignment conflicts. Furthermore, an integrated conversational AI assistant provides multilingual natural language diagnosis and triage, backed by an air-gapped deterministic regex filter that redacts contact channels to prevent off-platform platform leakage while preserving vital operational pricing and postal tokens.</w:t>
      </w:r>
    </w:p>
    <w:p>
      <w:pPr>
        <w:spacing w:line="360" w:lineRule="auto" w:after="160"/>
        <w:jc w:val="both"/>
      </w:pPr>
      <w:r>
        <w:rPr>
          <w:rFonts w:ascii="Times New Roman" w:hAnsi="Times New Roman"/>
          <w:sz w:val="24"/>
        </w:rPr>
        <w:t xml:space="preserve">A comprehensive empirical evaluation of the production codebase was conducted across six core performance dimensions. The candidate matching engine demonstrated strict </w:t>
      </w:r>
      <w:r>
        <w:rPr>
          <w:rFonts w:ascii="Times New Roman" w:hAnsi="Times New Roman"/>
          <w:i/>
          <w:sz w:val="24"/>
        </w:rPr>
        <w:t>O</w:t>
      </w:r>
      <w:r>
        <w:rPr>
          <w:rFonts w:ascii="Times New Roman" w:hAnsi="Times New Roman"/>
          <w:sz w:val="24"/>
        </w:rPr>
        <w:t>(</w:t>
      </w:r>
      <w:r>
        <w:rPr>
          <w:rFonts w:ascii="Times New Roman" w:hAnsi="Times New Roman"/>
          <w:i/>
          <w:sz w:val="24"/>
        </w:rPr>
        <w:t>N</w:t>
      </w:r>
      <w:r>
        <w:rPr>
          <w:rFonts w:ascii="Times New Roman" w:hAnsi="Times New Roman"/>
          <w:sz w:val="24"/>
        </w:rPr>
        <w:t>) linear scalability, processing a candidate pool of 5,000 workers in just 3.89 ms (0.78 μs per worker). Rank sensitivity analysis revealed a Spearman correlation of $</w:t>
        <w:br/>
        <w:t>ho = 0.836$ and Kendall $</w:t>
        <w:tab/>
        <w:t>au = 0.650$, validating that Priority Booking dynamically reallocates weight to promote 66.7% of nearby workers. Concurrency stress tests across 9,400 simultaneous worker acceptance requests demonstrated zero double bookings (0 / 9,400), with conflict fast-fail aborts executing in 0.024–0.052 ms. Spatial routing analysis across 50 metropolitan routes revealed a mean road network tortuosity of $</w:t>
        <w:tab/>
        <w:t>au = 1.285$, justifying Connect360's hybrid spatial architecture of utilizing in-memory Haversine distance (0.03 ms) for millisecond candidate ranking while reserving Open Source Routing Machine (OSRM) road polylines (1036.9 ms) for live client-side dispatch tracking. Finally, AI safety and structured output benchmarks established 99.20% PII detection recall with sub-microsecond latency (1.92 μs), alongside 100% schema conformity and emergency urgency detection (</w:t>
      </w:r>
      <w:r>
        <w:rPr>
          <w:rFonts w:ascii="Times New Roman" w:hAnsi="Times New Roman"/>
          <w:i/>
          <w:sz w:val="24"/>
        </w:rPr>
        <w:t>F</w:t>
      </w:r>
      <w:r>
        <w:rPr>
          <w:rFonts w:ascii="Times New Roman" w:hAnsi="Times New Roman"/>
          <w:sz w:val="24"/>
        </w:rPr>
        <w:t>1</w:t>
      </w:r>
      <w:r>
        <w:rPr>
          <w:rFonts w:ascii="Times New Roman" w:hAnsi="Times New Roman"/>
          <w:sz w:val="24"/>
        </w:rPr>
        <w:t xml:space="preserve"> = 1.000). These empirical findings confirm that Connect360 delivers an ultra-low latency, robust, and privacy-preserving architecture for next-generation urban labor platforms.</w:t>
      </w:r>
    </w:p>
    <w:p>
      <w:r>
        <w:br w:type="page"/>
      </w:r>
    </w:p>
    <w:p>
      <w:pPr>
        <w:spacing w:before="240" w:after="360"/>
        <w:jc w:val="center"/>
      </w:pPr>
      <w:r>
        <w:rPr>
          <w:rFonts w:ascii="Times New Roman" w:hAnsi="Times New Roman"/>
          <w:b/>
          <w:sz w:val="32"/>
        </w:rPr>
        <w:t>ACKNOWLEDGEMENT</w:t>
      </w:r>
    </w:p>
    <w:p>
      <w:pPr>
        <w:spacing w:line="360" w:lineRule="auto" w:after="160"/>
        <w:jc w:val="both"/>
      </w:pPr>
      <w:r>
        <w:rPr>
          <w:rFonts w:ascii="Times New Roman" w:hAnsi="Times New Roman"/>
          <w:sz w:val="24"/>
        </w:rPr>
        <w:t xml:space="preserve">We express our deepest gratitude to our respected Chairperson, </w:t>
      </w:r>
      <w:r>
        <w:rPr>
          <w:rFonts w:ascii="Times New Roman" w:hAnsi="Times New Roman"/>
          <w:b/>
          <w:sz w:val="24"/>
        </w:rPr>
        <w:t>Dr. (Mrs.) Thangam Meganathan</w:t>
      </w:r>
      <w:r>
        <w:rPr>
          <w:rFonts w:ascii="Times New Roman" w:hAnsi="Times New Roman"/>
          <w:sz w:val="24"/>
        </w:rPr>
        <w:t xml:space="preserve">, and our Vice Chairperson, </w:t>
      </w:r>
      <w:r>
        <w:rPr>
          <w:rFonts w:ascii="Times New Roman" w:hAnsi="Times New Roman"/>
          <w:b/>
          <w:sz w:val="24"/>
        </w:rPr>
        <w:t>Mr. Abhay Shankar Meganathan</w:t>
      </w:r>
      <w:r>
        <w:rPr>
          <w:rFonts w:ascii="Times New Roman" w:hAnsi="Times New Roman"/>
          <w:sz w:val="24"/>
        </w:rPr>
        <w:t>, for their visionary guidance, continuous encouragement, and for providing state-of-the-art infrastructural and computing facilities to carry out this project work successfully.</w:t>
      </w:r>
    </w:p>
    <w:p>
      <w:pPr>
        <w:spacing w:line="360" w:lineRule="auto" w:after="160"/>
        <w:jc w:val="both"/>
      </w:pPr>
      <w:r>
        <w:rPr>
          <w:rFonts w:ascii="Times New Roman" w:hAnsi="Times New Roman"/>
          <w:sz w:val="24"/>
        </w:rPr>
        <w:t xml:space="preserve">We extend our sincere thanks to our Principal, </w:t>
      </w:r>
      <w:r>
        <w:rPr>
          <w:rFonts w:ascii="Times New Roman" w:hAnsi="Times New Roman"/>
          <w:b/>
          <w:sz w:val="24"/>
        </w:rPr>
        <w:t>Dr. [TO BE PROVIDED]</w:t>
      </w:r>
      <w:r>
        <w:rPr>
          <w:rFonts w:ascii="Times New Roman" w:hAnsi="Times New Roman"/>
          <w:sz w:val="24"/>
        </w:rPr>
        <w:t>, for providing an academically stimulating environment and the required institutional resources throughout the course of our undergraduate study.</w:t>
      </w:r>
    </w:p>
    <w:p>
      <w:pPr>
        <w:spacing w:line="360" w:lineRule="auto" w:after="160"/>
        <w:jc w:val="both"/>
      </w:pPr>
      <w:r>
        <w:rPr>
          <w:rFonts w:ascii="Times New Roman" w:hAnsi="Times New Roman"/>
          <w:sz w:val="24"/>
        </w:rPr>
        <w:t xml:space="preserve">We express our heartfelt gratitude to </w:t>
      </w:r>
      <w:r>
        <w:rPr>
          <w:rFonts w:ascii="Times New Roman" w:hAnsi="Times New Roman"/>
          <w:b/>
          <w:sz w:val="24"/>
        </w:rPr>
        <w:t>Dr. [TO BE PROVIDED]</w:t>
      </w:r>
      <w:r>
        <w:rPr>
          <w:rFonts w:ascii="Times New Roman" w:hAnsi="Times New Roman"/>
          <w:sz w:val="24"/>
        </w:rPr>
        <w:t>, Professor and Head of the Department of Computer Science and Engineering, for his/her inspiring leadership, constructive support, and valuable guidance during every stage of our Phase-I curriculum.</w:t>
      </w:r>
    </w:p>
    <w:p>
      <w:pPr>
        <w:spacing w:line="360" w:lineRule="auto" w:after="160"/>
        <w:jc w:val="both"/>
      </w:pPr>
      <w:r>
        <w:rPr>
          <w:rFonts w:ascii="Times New Roman" w:hAnsi="Times New Roman"/>
          <w:sz w:val="24"/>
        </w:rPr>
        <w:t xml:space="preserve">We are profoundly indebted to our esteemed Supervisor and Project Guide, </w:t>
      </w:r>
      <w:r>
        <w:rPr>
          <w:rFonts w:ascii="Times New Roman" w:hAnsi="Times New Roman"/>
          <w:b/>
          <w:sz w:val="24"/>
        </w:rPr>
        <w:t>Ms. Divya M</w:t>
      </w:r>
      <w:r>
        <w:rPr>
          <w:rFonts w:ascii="Times New Roman" w:hAnsi="Times New Roman"/>
          <w:sz w:val="24"/>
        </w:rPr>
        <w:t>, Assistant Professor (CSE), for his/her invaluable mentorship, insightful suggestions, critical technical reviews, and constant encouragement, which steered this research and implementation toward completion.</w:t>
      </w:r>
    </w:p>
    <w:p>
      <w:pPr>
        <w:spacing w:line="360" w:lineRule="auto" w:after="160"/>
        <w:jc w:val="both"/>
      </w:pPr>
      <w:r>
        <w:rPr>
          <w:rFonts w:ascii="Times New Roman" w:hAnsi="Times New Roman"/>
          <w:sz w:val="24"/>
        </w:rPr>
        <w:t xml:space="preserve">We also express our appreciation to the Phase-I Project Coordinators, </w:t>
      </w:r>
      <w:r>
        <w:rPr>
          <w:rFonts w:ascii="Times New Roman" w:hAnsi="Times New Roman"/>
          <w:b/>
          <w:sz w:val="24"/>
        </w:rPr>
        <w:t>[TO BE PROVIDED]</w:t>
      </w:r>
      <w:r>
        <w:rPr>
          <w:rFonts w:ascii="Times New Roman" w:hAnsi="Times New Roman"/>
          <w:sz w:val="24"/>
        </w:rPr>
        <w:t>, and all the faculty and non-teaching staff members of the Department of Computer Science and Engineering for their direct and indirect support.</w:t>
      </w:r>
    </w:p>
    <w:p>
      <w:pPr>
        <w:spacing w:line="360" w:lineRule="auto" w:after="160"/>
        <w:jc w:val="both"/>
      </w:pPr>
      <w:r>
        <w:rPr>
          <w:rFonts w:ascii="Times New Roman" w:hAnsi="Times New Roman"/>
          <w:sz w:val="24"/>
        </w:rPr>
        <w:t>Finally, we express our profound gratitude to our parents, family members, and friends for their enduring patience, moral support, and motivation throughout our academic journey.</w:t>
      </w:r>
    </w:p>
    <w:p>
      <w:r>
        <w:br w:type="page"/>
      </w:r>
    </w:p>
    <w:p>
      <w:pPr>
        <w:spacing w:before="240" w:after="36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889"/>
        <w:gridCol w:w="2889"/>
        <w:gridCol w:w="2889"/>
      </w:tblGrid>
      <w:tr>
        <w:trPr>
          <w:cantSplit/>
          <w:tblHeader/>
        </w:trPr>
        <w:tc>
          <w:tcPr>
            <w:tcW w:type="dxa" w:w="187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CHAPTER NO.</w:t>
            </w:r>
          </w:p>
        </w:tc>
        <w:tc>
          <w:tcPr>
            <w:tcW w:type="dxa" w:w="5645"/>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TITLE</w:t>
            </w:r>
          </w:p>
        </w:tc>
        <w:tc>
          <w:tcPr>
            <w:tcW w:type="dxa" w:w="1152"/>
            <w:shd w:fill="F2F2F2"/>
            <w:tcMar>
              <w:top w:w="70" w:type="dxa"/>
              <w:bottom w:w="70" w:type="dxa"/>
              <w:left w:w="100" w:type="dxa"/>
              <w:right w:w="100" w:type="dxa"/>
            </w:tcMar>
          </w:tcPr>
          <w:p>
            <w:pPr>
              <w:spacing w:line="276" w:lineRule="auto" w:before="0" w:after="0"/>
              <w:jc w:val="right"/>
            </w:pPr>
            <w:r>
              <w:rPr>
                <w:rFonts w:ascii="Times New Roman" w:hAnsi="Times New Roman"/>
                <w:b/>
                <w:sz w:val="21"/>
              </w:rPr>
              <w:t>PAGE NO.</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ABSTRACT</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iii</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ACKNOWLEDGEMENT</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iv</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LIST OF TABLES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vii</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LIST OF FIGURES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viii</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LIST OF ABBREVIATIONS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ix</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INTRODUCTION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1</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1.1 GENERAL</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1.2 OBJECTIVE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1.3 EXISTING SYSTEM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1.4 PROPOSED SYSTEM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2</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LITERATURE SURVEY</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2.1 LITERATURE REVIEW</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2.2 COMPARISON AND DISCUSSION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5</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2.3 CONCLUSION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5</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3</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SYSTEM DESIGN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3.1 SYSTEM ARCHITECTURE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3.2 SYSTEM REQUIREMENTS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3.2.1 SOFTWARE REQUIREMENTS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3.2.2 HARDWARE REQUIREMENTS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3.2.3 DATABASE / DATA REQUIREMENTS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3.2.4 DEPLOYMENT AND SCALING</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8</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3.3 SYSTEM DESIGN DIAGRAMS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8</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3.3.1 USE CASE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8</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3.3.2 ACTIVITY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9</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3.3.3 DATA FLOW DIAGRAM (LEVEL 0 &amp; LEVEL 1)</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10</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3.3.4 SEQUENCE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11</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4</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PROJECT DESCRIPTION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4.1 METHODOLOGIES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4.2 MODULES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4.2.1 MODULE 1: AUTHENTICATION AND RBAC CONTROL</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4.2.2 MODULE 2: WORKER PROFILE &amp; GEOSPATIAL REGISTRATION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4.2.3 MODULE 3: INTELLIGENT MATCHING ENGINE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13</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4.2.4 MODULE 4: TRANSACTIONAL PRIORITY DISPATCH</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4.2.5 MODULE 5: HYBRID SPATIAL ROUTING &amp; LIVE TRACKING</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4.2.6 MODULE 6: CONVERSATIONAL AI ASSISTANT &amp; PII DEFENSE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4.2.7 MODULE 7: PRIVACY-PRESERVING TELEPHONY &amp; NUMBER MASKING</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15</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5</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IMPLEMENTATION AND RESULT DISCUSSION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16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5.1 IMPLEMENTATION RESULTS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5.2 EVALUATION AND PERFORMANCE ANALYSIS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5.2.1 METRIC 1: MATCHING ALGORITHM EXECUTION LATENCY</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16</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5.2.2 METRIC 2: MATCHING ENGINE RANK SENSITIVITY &amp; INVERSION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17</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5.2.3 METRIC 3: TRANSACTIONAL CONCURRENCY &amp; RACE PREVENTION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18</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5.2.4 METRIC 4: ROAD DISTANCE VS. HAVERSINE DISPARITY</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19</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5.2.5 METRIC 5: AI ASSISTANT SAFETY &amp; PII REDACTION EFFICACY</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20</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 xml:space="preserve">    5.2.6 METRIC 6: STRUCTURED OUTPUT JSON SCHEMA CONFORMITY</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22</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b/>
                <w:sz w:val="20"/>
              </w:rPr>
              <w:t>6</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CONCLUSION AND FUTURE WORK</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24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6.1 CONCLUSION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6.2 FUTURE WORK</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24</w:t>
            </w:r>
          </w:p>
        </w:tc>
      </w:tr>
      <w:tr>
        <w:trPr>
          <w:cantSplit/>
        </w:trPr>
        <w:tc>
          <w:tcPr>
            <w:tcW w:type="dxa" w:w="1872"/>
            <w:tcMar>
              <w:top w:w="70" w:type="dxa"/>
              <w:bottom w:w="70" w:type="dxa"/>
              <w:left w:w="100" w:type="dxa"/>
              <w:right w:w="100" w:type="dxa"/>
            </w:tcMar>
          </w:tcPr>
          <w:p>
            <w:pPr>
              <w:spacing w:line="276" w:lineRule="auto" w:before="0" w:after="0"/>
              <w:jc w:val="center"/>
            </w:pP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b/>
                <w:sz w:val="20"/>
              </w:rPr>
              <w:t>REFERENCES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b/>
                <w:sz w:val="20"/>
              </w:rPr>
              <w:t>26</w:t>
            </w:r>
          </w:p>
        </w:tc>
      </w:tr>
    </w:tbl>
    <w:p>
      <w:pPr>
        <w:spacing w:after="120"/>
      </w:pPr>
    </w:p>
    <w:p>
      <w:r>
        <w:br w:type="page"/>
      </w:r>
    </w:p>
    <w:p>
      <w:pPr>
        <w:spacing w:before="240" w:after="36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889"/>
        <w:gridCol w:w="2889"/>
        <w:gridCol w:w="2889"/>
      </w:tblGrid>
      <w:tr>
        <w:trPr>
          <w:cantSplit/>
          <w:tblHeader/>
        </w:trPr>
        <w:tc>
          <w:tcPr>
            <w:tcW w:type="dxa" w:w="187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TABLE NO.</w:t>
            </w:r>
          </w:p>
        </w:tc>
        <w:tc>
          <w:tcPr>
            <w:tcW w:type="dxa" w:w="5645"/>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TABLE NAME</w:t>
            </w:r>
          </w:p>
        </w:tc>
        <w:tc>
          <w:tcPr>
            <w:tcW w:type="dxa" w:w="1152"/>
            <w:shd w:fill="F2F2F2"/>
            <w:tcMar>
              <w:top w:w="70" w:type="dxa"/>
              <w:bottom w:w="70" w:type="dxa"/>
              <w:left w:w="100" w:type="dxa"/>
              <w:right w:w="100" w:type="dxa"/>
            </w:tcMar>
          </w:tcPr>
          <w:p>
            <w:pPr>
              <w:spacing w:line="276" w:lineRule="auto" w:before="0" w:after="0"/>
              <w:jc w:val="right"/>
            </w:pPr>
            <w:r>
              <w:rPr>
                <w:rFonts w:ascii="Times New Roman" w:hAnsi="Times New Roman"/>
                <w:b/>
                <w:sz w:val="21"/>
              </w:rPr>
              <w:t>PAGE NO.</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2.1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Comparative Evaluation of Service Marketplace Architectures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5</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3.1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Software Requirements of the Proposed Connect360 System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3.2</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Hardware Requirements of the Proposed Connect360 System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7</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3.3</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Amazon DynamoDB Single-Table Schema Entities &amp; Index Design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8</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4.1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Multi-Criteria Weighting Configurations for Normal vs. Priority Booking</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14</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Matching Algorithm Execution Latency Across Candidate Pool Sizes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16</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5.2</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Rank Inversion &amp; Sensitivity Analysis Under Weight Reallocation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17</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5.3</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Transactional Concurrency &amp; Conflict Abort Latency Across Thread Loads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19</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5.4</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Haversine vs. OSRM Road Distance Disparity Across Distance Tiers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19</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5.5</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AI Assistant Defensive PII Redaction Performance Across 10 Categories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20</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Table 5.6</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Structured Output Schema Conformity &amp; Urgency Classification Across Dimensions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22</w:t>
            </w:r>
          </w:p>
        </w:tc>
      </w:tr>
    </w:tbl>
    <w:p>
      <w:pPr>
        <w:spacing w:after="120"/>
      </w:pPr>
    </w:p>
    <w:p>
      <w:r>
        <w:br w:type="page"/>
      </w:r>
    </w:p>
    <w:p>
      <w:pPr>
        <w:spacing w:before="240" w:after="36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889"/>
        <w:gridCol w:w="2889"/>
        <w:gridCol w:w="2889"/>
      </w:tblGrid>
      <w:tr>
        <w:trPr>
          <w:cantSplit/>
          <w:tblHeader/>
        </w:trPr>
        <w:tc>
          <w:tcPr>
            <w:tcW w:type="dxa" w:w="187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FIGURE NO.</w:t>
            </w:r>
          </w:p>
        </w:tc>
        <w:tc>
          <w:tcPr>
            <w:tcW w:type="dxa" w:w="5645"/>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FIGURE NAME</w:t>
            </w:r>
          </w:p>
        </w:tc>
        <w:tc>
          <w:tcPr>
            <w:tcW w:type="dxa" w:w="1152"/>
            <w:shd w:fill="F2F2F2"/>
            <w:tcMar>
              <w:top w:w="70" w:type="dxa"/>
              <w:bottom w:w="70" w:type="dxa"/>
              <w:left w:w="100" w:type="dxa"/>
              <w:right w:w="100" w:type="dxa"/>
            </w:tcMar>
          </w:tcPr>
          <w:p>
            <w:pPr>
              <w:spacing w:line="276" w:lineRule="auto" w:before="0" w:after="0"/>
              <w:jc w:val="right"/>
            </w:pPr>
            <w:r>
              <w:rPr>
                <w:rFonts w:ascii="Times New Roman" w:hAnsi="Times New Roman"/>
                <w:b/>
                <w:sz w:val="21"/>
              </w:rPr>
              <w:t>PAGE NO.</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Connect360 Three-Tier Cloud &amp; Serverless System Architecture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6</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3.2</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Connect360 Use Case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8</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3.3</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Connect360 Priority Booking Activity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9</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3.4</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Connect360 Data Flow Diagram (DFD Level 0 - Context Diagram)</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10</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3.5</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Connect360 Data Flow Diagram (DFD Level 1 - Modular Decomposition)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10</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3.6</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Sequence Diagram: Priority Booking Atomic Acceptance &amp; Commit</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11</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5.1</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Matching Algorithm Execution Latency vs. Candidate Pool Size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17</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5.2</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Matching Engine Rank Sensitivity &amp; Inversion Analysis</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18</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5.3</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Transactional Concurrency &amp; Race Condition Prevention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19</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5.4</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Road Distance vs. Haversine Disparity &amp; Tortuosity Factor Distribution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20</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5.5</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AI Assistant Safety &amp; Contact Redaction Efficacy (PII Defense)</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21</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Figure 5.6</w:t>
            </w:r>
          </w:p>
        </w:tc>
        <w:tc>
          <w:tcPr>
            <w:tcW w:type="dxa" w:w="5645"/>
            <w:tcMar>
              <w:top w:w="70" w:type="dxa"/>
              <w:bottom w:w="70" w:type="dxa"/>
              <w:left w:w="100" w:type="dxa"/>
              <w:right w:w="100" w:type="dxa"/>
            </w:tcMar>
          </w:tcPr>
          <w:p>
            <w:pPr>
              <w:spacing w:line="276" w:lineRule="auto" w:before="0" w:after="0"/>
              <w:jc w:val="left"/>
            </w:pPr>
            <w:r>
              <w:rPr>
                <w:rFonts w:ascii="Times New Roman" w:hAnsi="Times New Roman"/>
                <w:sz w:val="20"/>
              </w:rPr>
              <w:t>Structured Output JSON Schema Conformity &amp; Urgency Classification</w:t>
            </w:r>
          </w:p>
        </w:tc>
        <w:tc>
          <w:tcPr>
            <w:tcW w:type="dxa" w:w="1152"/>
            <w:tcMar>
              <w:top w:w="70" w:type="dxa"/>
              <w:bottom w:w="70" w:type="dxa"/>
              <w:left w:w="100" w:type="dxa"/>
              <w:right w:w="100" w:type="dxa"/>
            </w:tcMar>
          </w:tcPr>
          <w:p>
            <w:pPr>
              <w:spacing w:line="276" w:lineRule="auto" w:before="0" w:after="0"/>
              <w:jc w:val="right"/>
            </w:pPr>
            <w:r>
              <w:rPr>
                <w:rFonts w:ascii="Times New Roman" w:hAnsi="Times New Roman"/>
                <w:sz w:val="20"/>
              </w:rPr>
              <w:t>23</w:t>
            </w:r>
          </w:p>
        </w:tc>
      </w:tr>
    </w:tbl>
    <w:p>
      <w:pPr>
        <w:spacing w:after="120"/>
      </w:pPr>
    </w:p>
    <w:p>
      <w:r>
        <w:br w:type="page"/>
      </w:r>
    </w:p>
    <w:p>
      <w:pPr>
        <w:spacing w:before="24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4333"/>
        <w:gridCol w:w="4333"/>
      </w:tblGrid>
      <w:tr>
        <w:trPr>
          <w:cantSplit/>
          <w:tblHeader/>
        </w:trPr>
        <w:tc>
          <w:tcPr>
            <w:tcW w:type="dxa" w:w="216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ABBREVIATION</w:t>
            </w:r>
          </w:p>
        </w:tc>
        <w:tc>
          <w:tcPr>
            <w:tcW w:type="dxa" w:w="5357"/>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DESCRIPTION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API</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Application Programming Interface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AWS</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Amazon Web Services</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CDF</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Cumulative Distribution Function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CDN</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Content Delivery Network</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CORS</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Cross-Origin Resource Sharing</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DDB</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Amazon DynamoDB</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DFD</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Data Flow Diagram</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E.164</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International Public Telecommunication Numbering Plan Format</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ETA</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Estimated Time of Arrival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F1</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Harmonic Mean of Precision and Recall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FN</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False Negative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FP</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False Positive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GSI</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Global Secondary Index</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HTTP</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Hypertext Transfer Protocol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HTTPS</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Hypertext Transfer Protocol Secure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HVAC</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Heating, Ventilation, and Air Conditioning</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IAM</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Identity and Access Management</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ISO</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International Organization for Standardization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JSON</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JavaScript Object Notation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JWT</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JSON Web Token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LLM</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Large Language Model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MCB</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Miniature Circuit Breaker</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OSRM</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Open Source Routing Machine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P50 / P90 / P99</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50th, 90th, and 99th Percentiles</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PII</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Personally Identifiable Information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RBAC</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Role-Based Access Control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REST</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Representational State Transfer</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SDG</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Sustainable Development Goal</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SPA</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Single Page Application</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TN</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True Negative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TP</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True Positive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UI / UX</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User Interface / User Experience</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UUID</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Universally Unique Identifier</w:t>
            </w:r>
          </w:p>
        </w:tc>
      </w:tr>
      <w:tr>
        <w:trPr>
          <w:cantSplit/>
        </w:trPr>
        <w:tc>
          <w:tcPr>
            <w:tcW w:type="dxa" w:w="2160"/>
            <w:tcMar>
              <w:top w:w="70" w:type="dxa"/>
              <w:bottom w:w="70" w:type="dxa"/>
              <w:left w:w="100" w:type="dxa"/>
              <w:right w:w="100" w:type="dxa"/>
            </w:tcMar>
          </w:tcPr>
          <w:p>
            <w:pPr>
              <w:spacing w:line="276" w:lineRule="auto" w:before="0" w:after="0"/>
              <w:jc w:val="left"/>
            </w:pPr>
            <w:r>
              <w:rPr>
                <w:rFonts w:ascii="Times New Roman" w:hAnsi="Times New Roman"/>
                <w:b/>
                <w:sz w:val="20"/>
              </w:rPr>
              <w:t>VPC</w:t>
            </w:r>
          </w:p>
        </w:tc>
        <w:tc>
          <w:tcPr>
            <w:tcW w:type="dxa" w:w="5357"/>
            <w:tcMar>
              <w:top w:w="70" w:type="dxa"/>
              <w:bottom w:w="70" w:type="dxa"/>
              <w:left w:w="100" w:type="dxa"/>
              <w:right w:w="100" w:type="dxa"/>
            </w:tcMar>
          </w:tcPr>
          <w:p>
            <w:pPr>
              <w:spacing w:line="276" w:lineRule="auto" w:before="0" w:after="0"/>
              <w:jc w:val="left"/>
            </w:pPr>
            <w:r>
              <w:rPr>
                <w:rFonts w:ascii="Times New Roman" w:hAnsi="Times New Roman"/>
                <w:sz w:val="20"/>
              </w:rPr>
              <w:t>Virtual Private Cloud</w:t>
            </w:r>
          </w:p>
        </w:tc>
      </w:tr>
    </w:tbl>
    <w:p>
      <w:pPr>
        <w:spacing w:after="120"/>
      </w:pPr>
    </w:p>
    <w:p>
      <w:r>
        <w:br w:type="page"/>
      </w:r>
    </w:p>
    <w:p>
      <w:pPr>
        <w:sectPr>
          <w:footerReference w:type="default" r:id="rId9"/>
          <w:pgSz w:w="11906" w:h="16838"/>
          <w:pgMar w:top="1440" w:right="1440" w:bottom="1440" w:left="1800" w:header="720" w:footer="720" w:gutter="0"/>
          <w:cols w:space="720"/>
          <w:titlePg/>
          <w:docGrid w:linePitch="360"/>
          <w:pgNumType w:fmt="lowerRoman" w:start="1"/>
        </w:sectPr>
      </w:pPr>
    </w:p>
    <w:p>
      <w:pPr>
        <w:keepNext/>
        <w:spacing w:before="360" w:after="80"/>
        <w:jc w:val="center"/>
      </w:pPr>
      <w:r>
        <w:rPr>
          <w:rFonts w:ascii="Times New Roman" w:hAnsi="Times New Roman"/>
          <w:b/>
          <w:sz w:val="32"/>
        </w:rPr>
        <w:t>CHAPTER 1</w:t>
      </w:r>
    </w:p>
    <w:p>
      <w:pPr>
        <w:keepNext/>
        <w:spacing w:before="80" w:after="400"/>
        <w:jc w:val="center"/>
      </w:pPr>
      <w:r>
        <w:rPr>
          <w:rFonts w:ascii="Times New Roman" w:hAnsi="Times New Roman"/>
          <w:b/>
          <w:sz w:val="32"/>
        </w:rPr>
        <w:t>INTRODUCTION</w:t>
      </w:r>
    </w:p>
    <w:p>
      <w:pPr>
        <w:keepNext/>
        <w:spacing w:before="280" w:after="120"/>
        <w:jc w:val="left"/>
      </w:pPr>
      <w:r>
        <w:rPr>
          <w:rFonts w:ascii="Times New Roman" w:hAnsi="Times New Roman"/>
          <w:b/>
          <w:sz w:val="27"/>
        </w:rPr>
        <w:t>1.1 GENERAL</w:t>
      </w:r>
    </w:p>
    <w:p>
      <w:pPr>
        <w:spacing w:line="360" w:lineRule="auto" w:after="120"/>
        <w:jc w:val="both"/>
      </w:pPr>
      <w:r>
        <w:rPr>
          <w:rFonts w:ascii="Times New Roman" w:hAnsi="Times New Roman"/>
          <w:sz w:val="24"/>
        </w:rPr>
        <w:t>In modern metropolitan economies, the rapid pace of urbanization, dual-income households, and dense residential infrastructure have created an unprecedented reliance on on-demand home maintenance and repair services. Routine domestic operations frequently require specialized technical interventions spanning electrical diagnostics, plumbing repairs, carpentry, HVAC servicing, masonry, and consumer appliance troubleshooting. Historically, urban residents secured these domestic services through informal word-of-mouth networks, fragmented local trade directories, or roadside contractor hubs. However, these traditional mechanisms suffer from pervasive structural deficiencies: consumers endure unpredictable pricing, lack transparent quality guarantees, face substantial delays in securing qualified labor during emergencies, and have no institutional mechanisms for background verification or dispute resolution. Conversely, independent blue-collar service professionals operate in highly precarious economic conditions, characterized by severe revenue volatility, restricted geographic discovery, and extortionate intermediary commissions.</w:t>
      </w:r>
    </w:p>
    <w:p>
      <w:pPr>
        <w:spacing w:line="360" w:lineRule="auto" w:after="120"/>
        <w:jc w:val="both"/>
      </w:pPr>
      <w:r>
        <w:rPr>
          <w:rFonts w:ascii="Times New Roman" w:hAnsi="Times New Roman"/>
          <w:sz w:val="24"/>
        </w:rPr>
        <w:t>The emergence of digital on-demand labor platforms over the past decade sought to formalize this ecosystem through centralized booking platforms. However, existing market offerings exhibit critical architectural and economic bottlenecks. Dominant corporate aggregators operate as centralized rent-seeking intermediaries, extracting between 20% to 35% of technician billings while imposing rigid dispatch quotas. Furthermore, existing platforms often exhibit opaque algorithmic dispatch, wherein work assignments are dictated by black-box metrics rather than transparent spatial proximity, professional competency, and verified historical completion rates. When domestic emergencies arise—such as an active pipe rupture or an electrical short-circuit—conventional manual browsing mechanisms force distressed homeowners through multi-step scheduling workflows, resulting in dispatch delays ranging from hours to days.</w:t>
      </w:r>
    </w:p>
    <w:p>
      <w:pPr>
        <w:spacing w:line="360" w:lineRule="auto" w:after="120"/>
        <w:jc w:val="both"/>
      </w:pPr>
      <w:r>
        <w:rPr>
          <w:rFonts w:ascii="Times New Roman" w:hAnsi="Times New Roman"/>
          <w:sz w:val="24"/>
        </w:rPr>
        <w:t xml:space="preserve">In parallel, the operational realities of peer-to-peer service marketplaces introduce acute architectural challenges in cloud engineering. A critical vulnerability in decentralized marketplaces is </w:t>
      </w:r>
      <w:r>
        <w:rPr>
          <w:rFonts w:ascii="Times New Roman" w:hAnsi="Times New Roman"/>
          <w:i/>
          <w:sz w:val="24"/>
        </w:rPr>
        <w:t>platform disintermediation</w:t>
      </w:r>
      <w:r>
        <w:rPr>
          <w:rFonts w:ascii="Times New Roman" w:hAnsi="Times New Roman"/>
          <w:sz w:val="24"/>
        </w:rPr>
        <w:t>, wherein customers and service providers exchange personal telephone numbers or email addresses through messaging interfaces to bypass platform fees for subsequent jobs. This practice not only destabilizes platform revenue but also strips consumers of insurance coverage and background-check safeguards. Additionally, high-contention dispatch models are prone to severe concurrency race conditions: when an urgent service job is broadcast to nearby technicians, simultaneous acceptance requests frequently cause double bookings or database deadlocks unless guarded by strict atomic transaction primitives.</w:t>
      </w:r>
    </w:p>
    <w:p>
      <w:pPr>
        <w:spacing w:line="360" w:lineRule="auto" w:after="120"/>
        <w:jc w:val="both"/>
      </w:pPr>
      <w:r>
        <w:rPr>
          <w:rFonts w:ascii="Times New Roman" w:hAnsi="Times New Roman"/>
          <w:sz w:val="24"/>
        </w:rPr>
        <w:t xml:space="preserve">To overcome these systemic challenges, </w:t>
      </w:r>
      <w:r>
        <w:rPr>
          <w:rFonts w:ascii="Times New Roman" w:hAnsi="Times New Roman"/>
          <w:b/>
          <w:sz w:val="24"/>
        </w:rPr>
        <w:t>Connect360</w:t>
      </w:r>
      <w:r>
        <w:rPr>
          <w:rFonts w:ascii="Times New Roman" w:hAnsi="Times New Roman"/>
          <w:sz w:val="24"/>
        </w:rPr>
        <w:t xml:space="preserve"> is conceptualized and implemented as an enterprise-grade, serverless on-demand home services platform. Connect360 integrates multi-criteria worker ranking, atomic concurrency-safe dispatch, conversational AI triage with deterministic PII filtering, hybrid spatial routing, and privacy-preserving virtual telephony into a unified, ultra-low-latency architecture.</w:t>
      </w:r>
    </w:p>
    <w:p>
      <w:pPr>
        <w:keepNext/>
        <w:spacing w:before="280" w:after="120"/>
        <w:jc w:val="left"/>
      </w:pPr>
      <w:r>
        <w:rPr>
          <w:rFonts w:ascii="Times New Roman" w:hAnsi="Times New Roman"/>
          <w:b/>
          <w:sz w:val="27"/>
        </w:rPr>
        <w:t>1.2 OBJECTIVE</w:t>
      </w:r>
    </w:p>
    <w:p>
      <w:pPr>
        <w:spacing w:line="360" w:lineRule="auto" w:after="120"/>
        <w:jc w:val="both"/>
      </w:pPr>
      <w:r>
        <w:rPr>
          <w:rFonts w:ascii="Times New Roman" w:hAnsi="Times New Roman"/>
          <w:sz w:val="24"/>
        </w:rPr>
        <w:t>The primary objective of this project is to architect, build, and empirically benchmark an enterprise-grade, transparent, and privacy-preserving hyperlocal service marketplace. Specifically, Connect360 aims to:</w:t>
      </w:r>
    </w:p>
    <w:p>
      <w:pPr>
        <w:spacing w:line="360" w:lineRule="auto" w:after="80"/>
        <w:ind w:left="504"/>
        <w:jc w:val="both"/>
      </w:pPr>
      <w:r>
        <w:rPr>
          <w:rFonts w:ascii="Times New Roman" w:hAnsi="Times New Roman"/>
          <w:b/>
          <w:sz w:val="24"/>
        </w:rPr>
        <w:t xml:space="preserve">•  </w:t>
      </w:r>
      <w:r>
        <w:rPr>
          <w:rFonts w:ascii="Times New Roman" w:hAnsi="Times New Roman"/>
          <w:b/>
          <w:sz w:val="24"/>
        </w:rPr>
        <w:t>Formulate an O(N) Multi-Criteria Matching Engine:</w:t>
      </w:r>
      <w:r>
        <w:rPr>
          <w:rFonts w:ascii="Times New Roman" w:hAnsi="Times New Roman"/>
          <w:sz w:val="24"/>
        </w:rPr>
        <w:t xml:space="preserve"> Develop an ultra-low-latency scoring algorithm that dynamically evaluates candidate service professionals across spatial distance, verified ratings, experience tier, and historical completion rates, supporting both standard browsing and rapid-dispatch configurations.</w:t>
      </w:r>
    </w:p>
    <w:p>
      <w:pPr>
        <w:spacing w:line="360" w:lineRule="auto" w:after="80"/>
        <w:ind w:left="504"/>
        <w:jc w:val="both"/>
      </w:pPr>
      <w:r>
        <w:rPr>
          <w:rFonts w:ascii="Times New Roman" w:hAnsi="Times New Roman"/>
          <w:b/>
          <w:sz w:val="24"/>
        </w:rPr>
        <w:t xml:space="preserve">•  </w:t>
      </w:r>
      <w:r>
        <w:rPr>
          <w:rFonts w:ascii="Times New Roman" w:hAnsi="Times New Roman"/>
          <w:b/>
          <w:sz w:val="24"/>
        </w:rPr>
        <w:t>Eliminate Concurrency Race Conditions via Serverless Atomic Commits:</w:t>
      </w:r>
      <w:r>
        <w:rPr>
          <w:rFonts w:ascii="Times New Roman" w:hAnsi="Times New Roman"/>
          <w:sz w:val="24"/>
        </w:rPr>
        <w:t xml:space="preserve"> Design an optimistic concurrency control protocol utilizing Amazon DynamoDB conditional expressions to guarantee zero double bookings (0% conflict rate) during high-contention Priority Booking broadcasts.</w:t>
      </w:r>
    </w:p>
    <w:p>
      <w:pPr>
        <w:spacing w:line="360" w:lineRule="auto" w:after="80"/>
        <w:ind w:left="504"/>
        <w:jc w:val="both"/>
      </w:pPr>
      <w:r>
        <w:rPr>
          <w:rFonts w:ascii="Times New Roman" w:hAnsi="Times New Roman"/>
          <w:b/>
          <w:sz w:val="24"/>
        </w:rPr>
        <w:t xml:space="preserve">•  </w:t>
      </w:r>
      <w:r>
        <w:rPr>
          <w:rFonts w:ascii="Times New Roman" w:hAnsi="Times New Roman"/>
          <w:b/>
          <w:sz w:val="24"/>
        </w:rPr>
        <w:t>Implement an Air-Gapped Multi-Tier AI Safety Architecture:</w:t>
      </w:r>
      <w:r>
        <w:rPr>
          <w:rFonts w:ascii="Times New Roman" w:hAnsi="Times New Roman"/>
          <w:sz w:val="24"/>
        </w:rPr>
        <w:t xml:space="preserve"> Build a conversational AI assistant capable of natural language service triage and slot filling, fortified by a deterministic post-generation regular expression barrier that intercepts contact channels (phone numbers and emails) to prevent platform disintermediation without degrading operational tokens (prices and postal codes).</w:t>
      </w:r>
    </w:p>
    <w:p>
      <w:pPr>
        <w:spacing w:line="360" w:lineRule="auto" w:after="80"/>
        <w:ind w:left="504"/>
        <w:jc w:val="both"/>
      </w:pPr>
      <w:r>
        <w:rPr>
          <w:rFonts w:ascii="Times New Roman" w:hAnsi="Times New Roman"/>
          <w:b/>
          <w:sz w:val="24"/>
        </w:rPr>
        <w:t xml:space="preserve">•  </w:t>
      </w:r>
      <w:r>
        <w:rPr>
          <w:rFonts w:ascii="Times New Roman" w:hAnsi="Times New Roman"/>
          <w:b/>
          <w:sz w:val="24"/>
        </w:rPr>
        <w:t>Establish a Hybrid Spatial Routing Framework:</w:t>
      </w:r>
      <w:r>
        <w:rPr>
          <w:rFonts w:ascii="Times New Roman" w:hAnsi="Times New Roman"/>
          <w:sz w:val="24"/>
        </w:rPr>
        <w:t xml:space="preserve"> Resolve the computational trade-off between straight-line Euclidean distance and physical road networks by utilizing millisecond-scale Haversine calculations for candidate pool ranking while reserving full Open Source Routing Machine (OSRM) road polylines for live client-side dispatch navigation.</w:t>
      </w:r>
    </w:p>
    <w:p>
      <w:pPr>
        <w:spacing w:line="360" w:lineRule="auto" w:after="80"/>
        <w:ind w:left="504"/>
        <w:jc w:val="both"/>
      </w:pPr>
      <w:r>
        <w:rPr>
          <w:rFonts w:ascii="Times New Roman" w:hAnsi="Times New Roman"/>
          <w:b/>
          <w:sz w:val="24"/>
        </w:rPr>
        <w:t xml:space="preserve">•  </w:t>
      </w:r>
      <w:r>
        <w:rPr>
          <w:rFonts w:ascii="Times New Roman" w:hAnsi="Times New Roman"/>
          <w:b/>
          <w:sz w:val="24"/>
        </w:rPr>
        <w:t>Preserve Telephony Privacy via Phone Number Masking:</w:t>
      </w:r>
      <w:r>
        <w:rPr>
          <w:rFonts w:ascii="Times New Roman" w:hAnsi="Times New Roman"/>
          <w:sz w:val="24"/>
        </w:rPr>
        <w:t xml:space="preserve"> Enforce strict phone number masking across all platform interfaces and transcripts. Enable secure direct calling via device dialers exclusively for active bookings, ensuring personal contact numbers are never rendered in plaintext or exposed to scraping.</w:t>
      </w:r>
    </w:p>
    <w:p>
      <w:pPr>
        <w:spacing w:line="360" w:lineRule="auto" w:after="80"/>
        <w:ind w:left="504"/>
        <w:jc w:val="both"/>
      </w:pPr>
      <w:r>
        <w:rPr>
          <w:rFonts w:ascii="Times New Roman" w:hAnsi="Times New Roman"/>
          <w:b/>
          <w:sz w:val="24"/>
        </w:rPr>
        <w:t xml:space="preserve">•  </w:t>
      </w:r>
      <w:r>
        <w:rPr>
          <w:rFonts w:ascii="Times New Roman" w:hAnsi="Times New Roman"/>
          <w:b/>
          <w:sz w:val="24"/>
        </w:rPr>
        <w:t>Conduct Rigorous Empirical Benchmarking:</w:t>
      </w:r>
      <w:r>
        <w:rPr>
          <w:rFonts w:ascii="Times New Roman" w:hAnsi="Times New Roman"/>
          <w:sz w:val="24"/>
        </w:rPr>
        <w:t xml:space="preserve"> Evaluate the production implementation across latency, correlation, concurrency, spatial disparity, redaction precision/recall, and schema conformity using high-resolution hardware timers, generating reproducible research-grade datasets.</w:t>
      </w:r>
    </w:p>
    <w:p>
      <w:pPr>
        <w:keepNext/>
        <w:spacing w:before="280" w:after="120"/>
        <w:jc w:val="left"/>
      </w:pPr>
      <w:r>
        <w:rPr>
          <w:rFonts w:ascii="Times New Roman" w:hAnsi="Times New Roman"/>
          <w:b/>
          <w:sz w:val="27"/>
        </w:rPr>
        <w:t>1.3 EXISTING SYSTEM</w:t>
      </w:r>
    </w:p>
    <w:p>
      <w:pPr>
        <w:spacing w:line="360" w:lineRule="auto" w:after="120"/>
        <w:jc w:val="both"/>
      </w:pPr>
      <w:r>
        <w:rPr>
          <w:rFonts w:ascii="Times New Roman" w:hAnsi="Times New Roman"/>
          <w:sz w:val="24"/>
        </w:rPr>
        <w:t>Conventional on-demand home services platforms and traditional dispatch mechanisms are characterized by several structural, architectural, and operational limitations:</w:t>
      </w:r>
    </w:p>
    <w:p>
      <w:pPr>
        <w:spacing w:line="360" w:lineRule="auto" w:after="80"/>
        <w:ind w:left="504"/>
        <w:jc w:val="both"/>
      </w:pPr>
      <w:r>
        <w:rPr>
          <w:rFonts w:ascii="Times New Roman" w:hAnsi="Times New Roman"/>
          <w:b/>
          <w:sz w:val="24"/>
        </w:rPr>
        <w:t xml:space="preserve">•  </w:t>
      </w:r>
      <w:r>
        <w:rPr>
          <w:rFonts w:ascii="Times New Roman" w:hAnsi="Times New Roman"/>
          <w:b/>
          <w:sz w:val="24"/>
        </w:rPr>
        <w:t>Centralized and Opaque Dispatch Heuristics:</w:t>
      </w:r>
      <w:r>
        <w:rPr>
          <w:rFonts w:ascii="Times New Roman" w:hAnsi="Times New Roman"/>
          <w:sz w:val="24"/>
        </w:rPr>
        <w:t xml:space="preserve"> Existing platforms (e.g., Urban Company, TaskRabbit, Angie's List) employ proprietary, centralized dispatch algorithms that prioritize platform margin optimization over geographic proximity or fair worker distribution. Independent service partners have no visibility into ranking criteria, leading to algorithmic disenfranchisement.</w:t>
      </w:r>
    </w:p>
    <w:p>
      <w:pPr>
        <w:spacing w:line="360" w:lineRule="auto" w:after="80"/>
        <w:ind w:left="504"/>
        <w:jc w:val="both"/>
      </w:pPr>
      <w:r>
        <w:rPr>
          <w:rFonts w:ascii="Times New Roman" w:hAnsi="Times New Roman"/>
          <w:b/>
          <w:sz w:val="24"/>
        </w:rPr>
        <w:t xml:space="preserve">•  </w:t>
      </w:r>
      <w:r>
        <w:rPr>
          <w:rFonts w:ascii="Times New Roman" w:hAnsi="Times New Roman"/>
          <w:b/>
          <w:sz w:val="24"/>
        </w:rPr>
        <w:t>Vulnerability to Concurrency Race Conditions:</w:t>
      </w:r>
      <w:r>
        <w:rPr>
          <w:rFonts w:ascii="Times New Roman" w:hAnsi="Times New Roman"/>
          <w:sz w:val="24"/>
        </w:rPr>
        <w:t xml:space="preserve"> In conventional relational database implementations using row-level locking or optimistic timestamps without strict conditional atomic updates, high-contention broadcasts frequently suffer from race conditions. When multiple service technicians tap "Accept" on a high-value emergency booking within milliseconds, systems either experience database deadlocks, sluggish response times, or catastrophic double bookings.</w:t>
      </w:r>
    </w:p>
    <w:p>
      <w:pPr>
        <w:spacing w:line="360" w:lineRule="auto" w:after="80"/>
        <w:ind w:left="504"/>
        <w:jc w:val="both"/>
      </w:pPr>
      <w:r>
        <w:rPr>
          <w:rFonts w:ascii="Times New Roman" w:hAnsi="Times New Roman"/>
          <w:b/>
          <w:sz w:val="24"/>
        </w:rPr>
        <w:t xml:space="preserve">•  </w:t>
      </w:r>
      <w:r>
        <w:rPr>
          <w:rFonts w:ascii="Times New Roman" w:hAnsi="Times New Roman"/>
          <w:b/>
          <w:sz w:val="24"/>
        </w:rPr>
        <w:t>Severe Platform Disintermediation &amp; Unsanitized Chat Interfaces:</w:t>
      </w:r>
      <w:r>
        <w:rPr>
          <w:rFonts w:ascii="Times New Roman" w:hAnsi="Times New Roman"/>
          <w:sz w:val="24"/>
        </w:rPr>
        <w:t xml:space="preserve"> Most modern service platforms incorporate chat interfaces powered by standard rule-based bots or large language models. However, these systems lack air-gapped deterministic output sanitization. Users easily circumvent platform fees by sharing obfuscated phone numbers or email addresses, exposing the platform to massive revenue leakage and exposing users to unvetted safety risks.</w:t>
      </w:r>
    </w:p>
    <w:p>
      <w:pPr>
        <w:spacing w:line="360" w:lineRule="auto" w:after="80"/>
        <w:ind w:left="504"/>
        <w:jc w:val="both"/>
      </w:pPr>
      <w:r>
        <w:rPr>
          <w:rFonts w:ascii="Times New Roman" w:hAnsi="Times New Roman"/>
          <w:b/>
          <w:sz w:val="24"/>
        </w:rPr>
        <w:t xml:space="preserve">•  </w:t>
      </w:r>
      <w:r>
        <w:rPr>
          <w:rFonts w:ascii="Times New Roman" w:hAnsi="Times New Roman"/>
          <w:b/>
          <w:sz w:val="24"/>
        </w:rPr>
        <w:t>Computational Inefficiencies in Spatial Routing:</w:t>
      </w:r>
      <w:r>
        <w:rPr>
          <w:rFonts w:ascii="Times New Roman" w:hAnsi="Times New Roman"/>
          <w:sz w:val="24"/>
        </w:rPr>
        <w:t xml:space="preserve"> Conventional systems either rely naively on straight-line Euclidean distance (ignoring urban topological barriers such as rivers, railway lines, and restricted highways) or incur massive computational and financial overhead by invoking paid commercial mapping APIs (e.g., Google Maps Distance Matrix) for every candidate in a large worker pool.</w:t>
      </w:r>
    </w:p>
    <w:p>
      <w:pPr>
        <w:spacing w:line="360" w:lineRule="auto" w:after="80"/>
        <w:ind w:left="504"/>
        <w:jc w:val="both"/>
      </w:pPr>
      <w:r>
        <w:rPr>
          <w:rFonts w:ascii="Times New Roman" w:hAnsi="Times New Roman"/>
          <w:b/>
          <w:sz w:val="24"/>
        </w:rPr>
        <w:t xml:space="preserve">•  </w:t>
      </w:r>
      <w:r>
        <w:rPr>
          <w:rFonts w:ascii="Times New Roman" w:hAnsi="Times New Roman"/>
          <w:b/>
          <w:sz w:val="24"/>
        </w:rPr>
        <w:t>Direct Telephony Exposure:</w:t>
      </w:r>
      <w:r>
        <w:rPr>
          <w:rFonts w:ascii="Times New Roman" w:hAnsi="Times New Roman"/>
          <w:sz w:val="24"/>
        </w:rPr>
        <w:t xml:space="preserve"> In many localized trade directories and marketplace apps, customer and technician phone numbers are exposed directly in plain text, leading to unwanted marketing calls, harassment, and off-platform cash transactions.</w:t>
      </w:r>
    </w:p>
    <w:p>
      <w:pPr>
        <w:keepNext/>
        <w:spacing w:before="280" w:after="120"/>
        <w:jc w:val="left"/>
      </w:pPr>
      <w:r>
        <w:rPr>
          <w:rFonts w:ascii="Times New Roman" w:hAnsi="Times New Roman"/>
          <w:b/>
          <w:sz w:val="27"/>
        </w:rPr>
        <w:t>1.4 PROPOSED SYSTEM</w:t>
      </w:r>
    </w:p>
    <w:p>
      <w:pPr>
        <w:spacing w:line="360" w:lineRule="auto" w:after="120"/>
        <w:jc w:val="both"/>
      </w:pPr>
      <w:r>
        <w:rPr>
          <w:rFonts w:ascii="Times New Roman" w:hAnsi="Times New Roman"/>
          <w:sz w:val="24"/>
        </w:rPr>
        <w:t xml:space="preserve">The proposed </w:t>
      </w:r>
      <w:r>
        <w:rPr>
          <w:rFonts w:ascii="Times New Roman" w:hAnsi="Times New Roman"/>
          <w:b/>
          <w:sz w:val="24"/>
        </w:rPr>
        <w:t>Connect360</w:t>
      </w:r>
      <w:r>
        <w:rPr>
          <w:rFonts w:ascii="Times New Roman" w:hAnsi="Times New Roman"/>
          <w:sz w:val="24"/>
        </w:rPr>
        <w:t xml:space="preserve"> architecture directly resolves the limitations of existing systems through a modular, serverless cloud implementation. The core innovations of Connect360 include:</w:t>
      </w:r>
    </w:p>
    <w:p>
      <w:pPr>
        <w:spacing w:line="360" w:lineRule="auto" w:after="80"/>
        <w:ind w:left="504"/>
        <w:jc w:val="both"/>
      </w:pPr>
      <w:r>
        <w:rPr>
          <w:rFonts w:ascii="Times New Roman" w:hAnsi="Times New Roman"/>
          <w:b/>
          <w:sz w:val="24"/>
        </w:rPr>
        <w:t xml:space="preserve">•  </w:t>
      </w:r>
      <w:r>
        <w:rPr>
          <w:rFonts w:ascii="Times New Roman" w:hAnsi="Times New Roman"/>
          <w:b/>
          <w:sz w:val="24"/>
        </w:rPr>
        <w:t>Dual-Mode Linear Ranking Engine:</w:t>
      </w:r>
      <w:r>
        <w:rPr>
          <w:rFonts w:ascii="Times New Roman" w:hAnsi="Times New Roman"/>
          <w:sz w:val="24"/>
        </w:rPr>
        <w:t xml:space="preserve"> Defined in </w:t>
      </w:r>
      <w:r>
        <w:rPr>
          <w:rFonts w:ascii="Consolas" w:hAnsi="Consolas"/>
          <w:sz w:val="23"/>
        </w:rPr>
        <w:t>Candidate Matching Engine</w:t>
      </w:r>
      <w:r>
        <w:rPr>
          <w:rFonts w:ascii="Times New Roman" w:hAnsi="Times New Roman"/>
          <w:sz w:val="24"/>
        </w:rPr>
        <w:t xml:space="preserve">, the algorithm executes in strict </w:t>
      </w:r>
      <w:r>
        <w:rPr>
          <w:rFonts w:ascii="Times New Roman" w:hAnsi="Times New Roman"/>
          <w:i/>
          <w:sz w:val="24"/>
        </w:rPr>
        <w:t>O</w:t>
      </w:r>
      <w:r>
        <w:rPr>
          <w:rFonts w:ascii="Times New Roman" w:hAnsi="Times New Roman"/>
          <w:sz w:val="24"/>
        </w:rPr>
        <w:t>(</w:t>
      </w:r>
      <w:r>
        <w:rPr>
          <w:rFonts w:ascii="Times New Roman" w:hAnsi="Times New Roman"/>
          <w:i/>
          <w:sz w:val="24"/>
        </w:rPr>
        <w:t>N</w:t>
      </w:r>
      <w:r>
        <w:rPr>
          <w:rFonts w:ascii="Times New Roman" w:hAnsi="Times New Roman"/>
          <w:sz w:val="24"/>
        </w:rPr>
        <w:t xml:space="preserve">) time. In </w:t>
      </w:r>
      <w:r>
        <w:rPr>
          <w:rFonts w:ascii="Times New Roman" w:hAnsi="Times New Roman"/>
          <w:i/>
          <w:sz w:val="24"/>
        </w:rPr>
        <w:t>Normal Booking</w:t>
      </w:r>
      <w:r>
        <w:rPr>
          <w:rFonts w:ascii="Times New Roman" w:hAnsi="Times New Roman"/>
          <w:sz w:val="24"/>
        </w:rPr>
        <w:t xml:space="preserve">, candidate workers are ranked with heavy emphasis on reputation (40% rating, 35% distance). In </w:t>
      </w:r>
      <w:r>
        <w:rPr>
          <w:rFonts w:ascii="Times New Roman" w:hAnsi="Times New Roman"/>
          <w:i/>
          <w:sz w:val="24"/>
        </w:rPr>
        <w:t>Priority Booking</w:t>
      </w:r>
      <w:r>
        <w:rPr>
          <w:rFonts w:ascii="Times New Roman" w:hAnsi="Times New Roman"/>
          <w:sz w:val="24"/>
        </w:rPr>
        <w:t>, the weights dynamically shift toward spatial immediacy (50% distance, 20% rating), ensuring that urgent crises are assigned to the closest verified professional.</w:t>
      </w:r>
    </w:p>
    <w:p>
      <w:pPr>
        <w:spacing w:line="360" w:lineRule="auto" w:after="80"/>
        <w:ind w:left="504"/>
        <w:jc w:val="both"/>
      </w:pPr>
      <w:r>
        <w:rPr>
          <w:rFonts w:ascii="Times New Roman" w:hAnsi="Times New Roman"/>
          <w:b/>
          <w:sz w:val="24"/>
        </w:rPr>
        <w:t xml:space="preserve">•  </w:t>
      </w:r>
      <w:r>
        <w:rPr>
          <w:rFonts w:ascii="Times New Roman" w:hAnsi="Times New Roman"/>
          <w:b/>
          <w:sz w:val="24"/>
        </w:rPr>
        <w:t>Transactional Concurrency Lock:</w:t>
      </w:r>
      <w:r>
        <w:rPr>
          <w:rFonts w:ascii="Times New Roman" w:hAnsi="Times New Roman"/>
          <w:sz w:val="24"/>
        </w:rPr>
        <w:t xml:space="preserve"> Implemented in </w:t>
      </w:r>
      <w:r>
        <w:rPr>
          <w:rFonts w:ascii="Consolas" w:hAnsi="Consolas"/>
          <w:sz w:val="23"/>
        </w:rPr>
        <w:t>Priority Dispatch Handler</w:t>
      </w:r>
      <w:r>
        <w:rPr>
          <w:rFonts w:ascii="Times New Roman" w:hAnsi="Times New Roman"/>
          <w:sz w:val="24"/>
        </w:rPr>
        <w:t xml:space="preserve">, the system leverages Amazon DynamoDB's native conditional writes (requiring that the booking exists and remains in a pending unassigned state). When a job is accepted, the winning technician's commit succeeds atomically, while all concurrent attempts immediately fail with </w:t>
      </w:r>
      <w:r>
        <w:rPr>
          <w:rFonts w:ascii="Consolas" w:hAnsi="Consolas"/>
          <w:sz w:val="23"/>
        </w:rPr>
        <w:t>ConditionalCheckFailedException</w:t>
      </w:r>
      <w:r>
        <w:rPr>
          <w:rFonts w:ascii="Times New Roman" w:hAnsi="Times New Roman"/>
          <w:sz w:val="24"/>
        </w:rPr>
        <w:t xml:space="preserve"> (HTTP 409 Conflict) in under 0.05 ms, mathematically guaranteeing zero double bookings.</w:t>
      </w:r>
    </w:p>
    <w:p>
      <w:pPr>
        <w:spacing w:line="360" w:lineRule="auto" w:after="80"/>
        <w:ind w:left="504"/>
        <w:jc w:val="both"/>
      </w:pPr>
      <w:r>
        <w:rPr>
          <w:rFonts w:ascii="Times New Roman" w:hAnsi="Times New Roman"/>
          <w:b/>
          <w:sz w:val="24"/>
        </w:rPr>
        <w:t xml:space="preserve">•  </w:t>
      </w:r>
      <w:r>
        <w:rPr>
          <w:rFonts w:ascii="Times New Roman" w:hAnsi="Times New Roman"/>
          <w:b/>
          <w:sz w:val="24"/>
        </w:rPr>
        <w:t>Multi-Tier AI Safety &amp; Defensive Redaction:</w:t>
      </w:r>
      <w:r>
        <w:rPr>
          <w:rFonts w:ascii="Times New Roman" w:hAnsi="Times New Roman"/>
          <w:sz w:val="24"/>
        </w:rPr>
        <w:t xml:space="preserve"> Defined in </w:t>
      </w:r>
      <w:r>
        <w:rPr>
          <w:rFonts w:ascii="Consolas" w:hAnsi="Consolas"/>
          <w:sz w:val="23"/>
        </w:rPr>
        <w:t>Conversational AI Assistant Module</w:t>
      </w:r>
      <w:r>
        <w:rPr>
          <w:rFonts w:ascii="Times New Roman" w:hAnsi="Times New Roman"/>
          <w:sz w:val="24"/>
        </w:rPr>
        <w:t xml:space="preserve"> and </w:t>
      </w:r>
      <w:r>
        <w:rPr>
          <w:rFonts w:ascii="Consolas" w:hAnsi="Consolas"/>
          <w:sz w:val="23"/>
        </w:rPr>
        <w:t>Assistant Knowledge Base</w:t>
      </w:r>
      <w:r>
        <w:rPr>
          <w:rFonts w:ascii="Times New Roman" w:hAnsi="Times New Roman"/>
          <w:sz w:val="24"/>
        </w:rPr>
        <w:t>, Connect360 combines system prompt behavioral bounds with upstream context isolation and a deterministic post-generation regex filter (deterministic contact redaction filter). The filter intercepts standard, prefixed, and international phone numbers and email addresses (99.20% recall) while preserving domestic service prices, technical dimensions, and 6-digit postal PIN codes.</w:t>
      </w:r>
    </w:p>
    <w:p>
      <w:pPr>
        <w:spacing w:line="360" w:lineRule="auto" w:after="80"/>
        <w:ind w:left="504"/>
        <w:jc w:val="both"/>
      </w:pPr>
      <w:r>
        <w:rPr>
          <w:rFonts w:ascii="Times New Roman" w:hAnsi="Times New Roman"/>
          <w:b/>
          <w:sz w:val="24"/>
        </w:rPr>
        <w:t xml:space="preserve">•  </w:t>
      </w:r>
      <w:r>
        <w:rPr>
          <w:rFonts w:ascii="Times New Roman" w:hAnsi="Times New Roman"/>
          <w:b/>
          <w:sz w:val="24"/>
        </w:rPr>
        <w:t>Hybrid Spatial Routing Engine:</w:t>
      </w:r>
      <w:r>
        <w:rPr>
          <w:rFonts w:ascii="Times New Roman" w:hAnsi="Times New Roman"/>
          <w:sz w:val="24"/>
        </w:rPr>
        <w:t xml:space="preserve"> Connect360 implements a dual spatial strategy. Candidate ranking executes in sub-millisecond time (0.03 ms) via in-memory Haversine calculations. Once dispatched, the client-side routing service (</w:t>
      </w:r>
      <w:r>
        <w:rPr>
          <w:rFonts w:ascii="Consolas" w:hAnsi="Consolas"/>
          <w:sz w:val="23"/>
        </w:rPr>
        <w:t>Client Spatial Routing Service</w:t>
      </w:r>
      <w:r>
        <w:rPr>
          <w:rFonts w:ascii="Times New Roman" w:hAnsi="Times New Roman"/>
          <w:sz w:val="24"/>
        </w:rPr>
        <w:t xml:space="preserve">) asynchronously queries a high-performance Open Source Routing Machine (OSRM) engine to render accurate road network polylines and physical ETAs, accommodating urban road tortuosity (tortuosity factor </w:t>
      </w:r>
      <w:r>
        <w:rPr>
          <w:rFonts w:ascii="Times New Roman" w:hAnsi="Times New Roman"/>
          <w:i/>
          <w:sz w:val="24"/>
        </w:rPr>
        <w:t>τ</w:t>
      </w:r>
      <w:r>
        <w:rPr>
          <w:rFonts w:ascii="Times New Roman" w:hAnsi="Times New Roman"/>
          <w:sz w:val="24"/>
        </w:rPr>
        <w:t xml:space="preserve"> = 1.285).</w:t>
      </w:r>
    </w:p>
    <w:p>
      <w:pPr>
        <w:spacing w:line="360" w:lineRule="auto" w:after="80"/>
        <w:ind w:left="504"/>
        <w:jc w:val="both"/>
      </w:pPr>
      <w:r>
        <w:rPr>
          <w:rFonts w:ascii="Times New Roman" w:hAnsi="Times New Roman"/>
          <w:b/>
          <w:sz w:val="24"/>
        </w:rPr>
        <w:t xml:space="preserve">•  </w:t>
      </w:r>
      <w:r>
        <w:rPr>
          <w:rFonts w:ascii="Times New Roman" w:hAnsi="Times New Roman"/>
          <w:b/>
          <w:sz w:val="24"/>
        </w:rPr>
        <w:t>E.164 Telephony Virtual Bridging:</w:t>
      </w:r>
      <w:r>
        <w:rPr>
          <w:rFonts w:ascii="Times New Roman" w:hAnsi="Times New Roman"/>
          <w:sz w:val="24"/>
        </w:rPr>
        <w:t xml:space="preserve"> Supported by </w:t>
      </w:r>
      <w:r>
        <w:rPr>
          <w:rFonts w:ascii="Consolas" w:hAnsi="Consolas"/>
          <w:sz w:val="23"/>
        </w:rPr>
        <w:t>Virtual Telephony Module</w:t>
      </w:r>
      <w:r>
        <w:rPr>
          <w:rFonts w:ascii="Times New Roman" w:hAnsi="Times New Roman"/>
          <w:sz w:val="24"/>
        </w:rPr>
        <w:t>, phone numbers are standardized to international E.164 format and connected via ephemeral masked bridge sessions, completely shielding personal contact details from both parties.</w:t>
      </w:r>
    </w:p>
    <w:p>
      <w:r>
        <w:br w:type="page"/>
      </w:r>
    </w:p>
    <w:p>
      <w:r>
        <w:br w:type="page"/>
      </w:r>
    </w:p>
    <w:p>
      <w:pPr>
        <w:keepNext/>
        <w:spacing w:before="360" w:after="80"/>
        <w:jc w:val="center"/>
      </w:pPr>
      <w:r>
        <w:rPr>
          <w:rFonts w:ascii="Times New Roman" w:hAnsi="Times New Roman"/>
          <w:b/>
          <w:sz w:val="32"/>
        </w:rPr>
        <w:t>CHAPTER 2</w:t>
      </w:r>
    </w:p>
    <w:p>
      <w:pPr>
        <w:keepNext/>
        <w:spacing w:before="80" w:after="400"/>
        <w:jc w:val="center"/>
      </w:pPr>
      <w:r>
        <w:rPr>
          <w:rFonts w:ascii="Times New Roman" w:hAnsi="Times New Roman"/>
          <w:b/>
          <w:sz w:val="32"/>
        </w:rPr>
        <w:t>LITERATURE SURVEY</w:t>
      </w:r>
    </w:p>
    <w:p>
      <w:pPr>
        <w:keepNext/>
        <w:spacing w:before="280" w:after="120"/>
        <w:jc w:val="left"/>
      </w:pPr>
      <w:r>
        <w:rPr>
          <w:rFonts w:ascii="Times New Roman" w:hAnsi="Times New Roman"/>
          <w:b/>
          <w:sz w:val="27"/>
        </w:rPr>
        <w:t>2.1 LITERATURE REVIEW</w:t>
      </w:r>
    </w:p>
    <w:p>
      <w:pPr>
        <w:spacing w:line="360" w:lineRule="auto" w:after="120"/>
        <w:jc w:val="both"/>
      </w:pPr>
      <w:r>
        <w:rPr>
          <w:rFonts w:ascii="Times New Roman" w:hAnsi="Times New Roman"/>
          <w:sz w:val="24"/>
        </w:rPr>
        <w:t>The development of Connect360 synthesizes foundational research across dynamic bipartite matching, serverless transaction concurrency, spatial road network modeling, and conversational AI safety.</w:t>
      </w:r>
    </w:p>
    <w:p>
      <w:pPr>
        <w:spacing w:line="360" w:lineRule="auto" w:after="120"/>
        <w:jc w:val="both"/>
      </w:pPr>
      <w:r>
        <w:rPr>
          <w:rFonts w:ascii="Times New Roman" w:hAnsi="Times New Roman"/>
          <w:b/>
          <w:sz w:val="24"/>
        </w:rPr>
        <w:t>1. Dynamic Bipartite Matching and On-Demand Dispatch:</w:t>
      </w:r>
      <w:r>
        <w:rPr>
          <w:rFonts w:ascii="Times New Roman" w:hAnsi="Times New Roman"/>
          <w:sz w:val="24"/>
        </w:rPr>
        <w:br/>
        <w:t xml:space="preserve">Agatz et al. (2012) established foundational optimization models for dynamic ride-sharing and on-demand dispatch, demonstrating that greedy nearest-neighbor heuristics often lead to spatial sub-optimality compared to batch matching. Bertsimas et al. (2019) expanded this framework to high-frequency urban platforms, proving that linear multi-criteria objective functions combining spatial distance, worker reliability, and historical fulfillment achieve near-optimal customer satisfaction while maintaining polynomial-time tractability. Connect360 builds upon these insights by implementing an explicit </w:t>
      </w:r>
      <w:r>
        <w:rPr>
          <w:rFonts w:ascii="Times New Roman" w:hAnsi="Times New Roman"/>
          <w:i/>
          <w:sz w:val="24"/>
        </w:rPr>
        <w:t>O</w:t>
      </w:r>
      <w:r>
        <w:rPr>
          <w:rFonts w:ascii="Times New Roman" w:hAnsi="Times New Roman"/>
          <w:sz w:val="24"/>
        </w:rPr>
        <w:t>(</w:t>
      </w:r>
      <w:r>
        <w:rPr>
          <w:rFonts w:ascii="Times New Roman" w:hAnsi="Times New Roman"/>
          <w:i/>
          <w:sz w:val="24"/>
        </w:rPr>
        <w:t>N</w:t>
      </w:r>
      <w:r>
        <w:rPr>
          <w:rFonts w:ascii="Times New Roman" w:hAnsi="Times New Roman"/>
          <w:sz w:val="24"/>
        </w:rPr>
        <w:t>) multi-criteria scoring algorithm that dynamically adjusts weight vectors between standard quality-centric browsing and emergency proximity-centric dispatch.</w:t>
      </w:r>
    </w:p>
    <w:p>
      <w:pPr>
        <w:spacing w:line="360" w:lineRule="auto" w:after="120"/>
        <w:jc w:val="both"/>
      </w:pPr>
      <w:r>
        <w:rPr>
          <w:rFonts w:ascii="Times New Roman" w:hAnsi="Times New Roman"/>
          <w:b/>
          <w:sz w:val="24"/>
        </w:rPr>
        <w:t>2. Transactional Concurrency in Distributed NoSQL Systems:</w:t>
      </w:r>
      <w:r>
        <w:rPr>
          <w:rFonts w:ascii="Times New Roman" w:hAnsi="Times New Roman"/>
          <w:sz w:val="24"/>
        </w:rPr>
        <w:br/>
        <w:t>DeCandia et al. (2007) introduced Amazon Dynamo, highlighting the trade-offs between high availability, eventual consistency, and transactional guarantees in distributed datastores. Sivasubramanian (2012) detailed the evolution of Amazon DynamoDB, emphasizing single-digit millisecond performance at scale through partitioned hash-key indexing. Bailis et al. (2014) analyzed highly available transactions, demonstrating that conditional state transitions (such as compare-and-swap) provide linearizable safety guarantees for individual entity records without requiring distributed lock managers. Connect360 applies these principles by using DynamoDB conditional write expressions to achieve atomic worker assignment during concurrent priority booking broadcasts.</w:t>
      </w:r>
    </w:p>
    <w:p>
      <w:pPr>
        <w:spacing w:line="360" w:lineRule="auto" w:after="120"/>
        <w:jc w:val="both"/>
      </w:pPr>
      <w:r>
        <w:rPr>
          <w:rFonts w:ascii="Times New Roman" w:hAnsi="Times New Roman"/>
          <w:b/>
          <w:sz w:val="24"/>
        </w:rPr>
        <w:t>3. Spatial Routing, Road Network Topology, and Tortuosity:</w:t>
      </w:r>
      <w:r>
        <w:rPr>
          <w:rFonts w:ascii="Times New Roman" w:hAnsi="Times New Roman"/>
          <w:sz w:val="24"/>
        </w:rPr>
        <w:br/>
        <w:t>Luxen and Vetter (2011) designed the Open Source Routing Machine (OSRM), demonstrating that contraction hierarchies enable millisecond-level shortest-path queries across continental road networks. Barthélemy (2011) provided rigorous mathematical formulations of spatial network tortuosity, defined as the ratio of physical network distance to Euclidean distance ($</w:t>
        <w:tab/>
        <w:t>au = D_{</w:t>
        <w:tab/>
        <w:t>ext{network} / D_{</w:t>
        <w:tab/>
        <w:t>ext{Euclidean}$), showing that dense urban street grids exhibit characteristic tortuosity factors ranging between 1.2 and 1.4. Connect360 validates this topological phenomenon empirically across Chennai's road network, confirming that Haversine distance underestimates physical travel by 28.5% and establishing a hybrid architecture that balances computational speed with routing fidelity.</w:t>
      </w:r>
    </w:p>
    <w:p>
      <w:pPr>
        <w:spacing w:line="360" w:lineRule="auto" w:after="120"/>
        <w:jc w:val="both"/>
      </w:pPr>
      <w:r>
        <w:rPr>
          <w:rFonts w:ascii="Times New Roman" w:hAnsi="Times New Roman"/>
          <w:b/>
          <w:sz w:val="24"/>
        </w:rPr>
        <w:t>4. Conversational AI Safety and Defensive PII Redaction:</w:t>
      </w:r>
      <w:r>
        <w:rPr>
          <w:rFonts w:ascii="Times New Roman" w:hAnsi="Times New Roman"/>
          <w:sz w:val="24"/>
        </w:rPr>
        <w:br/>
        <w:t>Weidinger et al. (2021) surveyed ethical and social risks associated with large language models, identifying unintended memorization and private data leakage as primary safety vulnerabilities. Carlini et al. (2021) demonstrated that neural language models can be prompted to extract training PII and reflect user-supplied sensitive data. Lison et al. (2021) analyzed named entity recognition (NER) for privacy-preserving text sanitization, noting that while deep learning models achieve high semantic recall, deterministic regular expression post-processors offer crucial guarantees of sub-millisecond execution latency and zero catastrophic forgetting. Connect360 operationalizes a defense-in-depth framework combining prompt-level boundaries with an air-gapped regular expression post-processor.</w:t>
      </w:r>
    </w:p>
    <w:p>
      <w:pPr>
        <w:keepNext/>
        <w:spacing w:before="280" w:after="120"/>
        <w:jc w:val="left"/>
      </w:pPr>
      <w:r>
        <w:rPr>
          <w:rFonts w:ascii="Times New Roman" w:hAnsi="Times New Roman"/>
          <w:b/>
          <w:sz w:val="27"/>
        </w:rPr>
        <w:t>2.2 COMPARISON AND DISCUSSION</w:t>
      </w:r>
    </w:p>
    <w:p>
      <w:pPr>
        <w:spacing w:line="360" w:lineRule="auto" w:after="120"/>
        <w:jc w:val="both"/>
      </w:pPr>
      <w:r>
        <w:rPr>
          <w:rFonts w:ascii="Times New Roman" w:hAnsi="Times New Roman"/>
          <w:sz w:val="24"/>
        </w:rPr>
        <w:t>To contextualize Connect360's architectural contributions, Table 2.1 presents a structured comparative analysis against existing commercial and academic service marketplace systems.</w:t>
      </w:r>
    </w:p>
    <w:p>
      <w:pPr>
        <w:keepNext/>
        <w:spacing w:before="200" w:after="80"/>
        <w:jc w:val="center"/>
      </w:pPr>
      <w:r>
        <w:rPr>
          <w:rFonts w:ascii="Times New Roman" w:hAnsi="Times New Roman"/>
          <w:b/>
          <w:sz w:val="22"/>
        </w:rPr>
        <w:t>Table 2.1: Comparative Evaluation of Service Marketplace Architectures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733"/>
        <w:gridCol w:w="1733"/>
        <w:gridCol w:w="1733"/>
        <w:gridCol w:w="1733"/>
        <w:gridCol w:w="1733"/>
      </w:tblGrid>
      <w:tr>
        <w:trPr>
          <w:cantSplit/>
          <w:tblHeader/>
        </w:trPr>
        <w:tc>
          <w:tcPr>
            <w:tcW w:type="dxa" w:w="172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Evaluation Dimension</w:t>
            </w:r>
          </w:p>
        </w:tc>
        <w:tc>
          <w:tcPr>
            <w:tcW w:type="dxa" w:w="172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Urban Company</w:t>
            </w:r>
          </w:p>
        </w:tc>
        <w:tc>
          <w:tcPr>
            <w:tcW w:type="dxa" w:w="172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TaskRabbit</w:t>
            </w:r>
          </w:p>
        </w:tc>
        <w:tc>
          <w:tcPr>
            <w:tcW w:type="dxa" w:w="172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Traditional Relational Dispatch</w:t>
            </w:r>
          </w:p>
        </w:tc>
        <w:tc>
          <w:tcPr>
            <w:tcW w:type="dxa" w:w="1757"/>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Connect360 (Proposed)</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Matching Heuristic</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Centralized black-box dispatch</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Manual profile browsing</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Greedy SQL query (nearest available)</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Transparent Dual-Mode O(N) Multi-Criteria Ranking</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Dispatch Latency</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Batch intervals (2–15 mins)</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Asynchronous (hours)</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Relational lock contention (50–500 ms)</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Sub-4 ms (O(N) candidate ranking)</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Concurrency Control</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Centralized message queue</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Calendar slot reservation</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Row-level locking (pessimistic)</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DynamoDB Conditional Atomic Writes (0% double bookings)</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Spatial Routing</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Commercial Map APIs (High cost)</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Static postal code radius</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Euclidean straight-line only</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Hybrid: Haversine (0.03 ms) + OSRM Polylines</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AI Assistance &amp; Triage</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Static decision tree bot</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None / Basic search</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Keyword search</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LLM Triage with Strict JSON Schema Conformity</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PII Redaction Defense</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Masked chat (delayed moderation)</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Keyword filtering</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None</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Air-Gapped Regex Post-Filter (99.20% Recall, 1.92 μs)</w:t>
            </w:r>
          </w:p>
        </w:tc>
      </w:tr>
      <w:tr>
        <w:trPr>
          <w:cantSplit/>
        </w:trPr>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Telephony Privacy</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Virtual number bridge</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Direct phone sharing</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Direct phone sharing</w:t>
            </w:r>
          </w:p>
        </w:tc>
        <w:tc>
          <w:tcPr>
            <w:tcW w:type="dxa" w:w="1757"/>
            <w:tcMar>
              <w:top w:w="70" w:type="dxa"/>
              <w:bottom w:w="70" w:type="dxa"/>
              <w:left w:w="100" w:type="dxa"/>
              <w:right w:w="100" w:type="dxa"/>
            </w:tcMar>
          </w:tcPr>
          <w:p>
            <w:pPr>
              <w:spacing w:line="276" w:lineRule="auto" w:before="0" w:after="0"/>
              <w:jc w:val="left"/>
            </w:pPr>
            <w:r>
              <w:rPr>
                <w:rFonts w:ascii="Times New Roman" w:hAnsi="Times New Roman"/>
                <w:b/>
                <w:sz w:val="20"/>
              </w:rPr>
              <w:t>E.164 Normalization + Ephemeral Masked Bridging</w:t>
            </w:r>
          </w:p>
        </w:tc>
      </w:tr>
    </w:tbl>
    <w:p>
      <w:pPr>
        <w:spacing w:after="120"/>
      </w:pPr>
    </w:p>
    <w:p>
      <w:pPr>
        <w:keepNext/>
        <w:spacing w:before="280" w:after="120"/>
        <w:jc w:val="left"/>
      </w:pPr>
      <w:r>
        <w:rPr>
          <w:rFonts w:ascii="Times New Roman" w:hAnsi="Times New Roman"/>
          <w:b/>
          <w:sz w:val="27"/>
        </w:rPr>
        <w:t>2.3 CONCLUSION</w:t>
      </w:r>
    </w:p>
    <w:p>
      <w:pPr>
        <w:spacing w:line="360" w:lineRule="auto" w:after="120"/>
        <w:jc w:val="both"/>
      </w:pPr>
      <w:r>
        <w:rPr>
          <w:rFonts w:ascii="Times New Roman" w:hAnsi="Times New Roman"/>
          <w:sz w:val="24"/>
        </w:rPr>
        <w:t>The literature survey and comparative analysis reveal that while individual components—such as bipartite matching, distributed databases, spatial routing engines, and language models—have matured independently, existing commercial systems fail to integrate them into a cohesive, low-latency, and privacy-preserving architecture. Most platforms trade off transparency for centralized margin extraction and remain vulnerable to disintermediation and concurrency bottlenecks. Connect360 bridges this gap by demonstrating that a serverless architecture combining DynamoDB conditional writes, dual-mode multi-criteria ranking, hybrid spatial routing, and air-gapped regex filtering can deliver an ultra-responsive, secure, and equitable marketplace ecosystem.</w:t>
      </w:r>
    </w:p>
    <w:p>
      <w:r>
        <w:br w:type="page"/>
      </w:r>
    </w:p>
    <w:p>
      <w:r>
        <w:br w:type="page"/>
      </w:r>
    </w:p>
    <w:p>
      <w:pPr>
        <w:keepNext/>
        <w:spacing w:before="360" w:after="80"/>
        <w:jc w:val="center"/>
      </w:pPr>
      <w:r>
        <w:rPr>
          <w:rFonts w:ascii="Times New Roman" w:hAnsi="Times New Roman"/>
          <w:b/>
          <w:sz w:val="32"/>
        </w:rPr>
        <w:t>CHAPTER 3</w:t>
      </w:r>
    </w:p>
    <w:p>
      <w:pPr>
        <w:keepNext/>
        <w:spacing w:before="80" w:after="400"/>
        <w:jc w:val="center"/>
      </w:pPr>
      <w:r>
        <w:rPr>
          <w:rFonts w:ascii="Times New Roman" w:hAnsi="Times New Roman"/>
          <w:b/>
          <w:sz w:val="32"/>
        </w:rPr>
        <w:t>SYSTEM DESIGN</w:t>
      </w:r>
    </w:p>
    <w:p>
      <w:pPr>
        <w:keepNext/>
        <w:spacing w:before="280" w:after="120"/>
        <w:jc w:val="left"/>
      </w:pPr>
      <w:r>
        <w:rPr>
          <w:rFonts w:ascii="Times New Roman" w:hAnsi="Times New Roman"/>
          <w:b/>
          <w:sz w:val="27"/>
        </w:rPr>
        <w:t>3.1 SYSTEM ARCHITECTURE</w:t>
      </w:r>
    </w:p>
    <w:p>
      <w:pPr>
        <w:spacing w:line="360" w:lineRule="auto" w:after="120"/>
        <w:jc w:val="both"/>
      </w:pPr>
      <w:r>
        <w:rPr>
          <w:rFonts w:ascii="Times New Roman" w:hAnsi="Times New Roman"/>
          <w:sz w:val="24"/>
        </w:rPr>
        <w:t xml:space="preserve">Connect360 is engineered as a decoupled, cloud-native three-tier architecture optimized for horizontal scalability, sub-second response times, and zero single points of failure. The three tiers comprise the </w:t>
      </w:r>
      <w:r>
        <w:rPr>
          <w:rFonts w:ascii="Times New Roman" w:hAnsi="Times New Roman"/>
          <w:b/>
          <w:sz w:val="24"/>
        </w:rPr>
        <w:t>Client Tier</w:t>
      </w:r>
      <w:r>
        <w:rPr>
          <w:rFonts w:ascii="Times New Roman" w:hAnsi="Times New Roman"/>
          <w:sz w:val="24"/>
        </w:rPr>
        <w:t xml:space="preserve">, the </w:t>
      </w:r>
      <w:r>
        <w:rPr>
          <w:rFonts w:ascii="Times New Roman" w:hAnsi="Times New Roman"/>
          <w:b/>
          <w:sz w:val="24"/>
        </w:rPr>
        <w:t>Serverless Compute Tier</w:t>
      </w:r>
      <w:r>
        <w:rPr>
          <w:rFonts w:ascii="Times New Roman" w:hAnsi="Times New Roman"/>
          <w:sz w:val="24"/>
        </w:rPr>
        <w:t xml:space="preserve">, and the </w:t>
      </w:r>
      <w:r>
        <w:rPr>
          <w:rFonts w:ascii="Times New Roman" w:hAnsi="Times New Roman"/>
          <w:b/>
          <w:sz w:val="24"/>
        </w:rPr>
        <w:t>Data and External Services Tier</w:t>
      </w:r>
      <w:r>
        <w:rPr>
          <w:rFonts w:ascii="Times New Roman" w:hAnsi="Times New Roman"/>
          <w:sz w:val="24"/>
        </w:rPr>
        <w:t>, as illustrated in Figure 3.1.</w:t>
      </w:r>
    </w:p>
    <w:p>
      <w:pPr>
        <w:spacing w:before="240" w:after="80"/>
        <w:jc w:val="center"/>
      </w:pPr>
      <w:r>
        <w:drawing>
          <wp:inline xmlns:a="http://schemas.openxmlformats.org/drawingml/2006/main" xmlns:pic="http://schemas.openxmlformats.org/drawingml/2006/picture">
            <wp:extent cx="5303520" cy="296496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12"/>
                    <a:stretch>
                      <a:fillRect/>
                    </a:stretch>
                  </pic:blipFill>
                  <pic:spPr>
                    <a:xfrm>
                      <a:off x="0" y="0"/>
                      <a:ext cx="5303520" cy="2964960"/>
                    </a:xfrm>
                    <a:prstGeom prst="rect"/>
                  </pic:spPr>
                </pic:pic>
              </a:graphicData>
            </a:graphic>
          </wp:inline>
        </w:drawing>
      </w:r>
    </w:p>
    <w:p>
      <w:pPr>
        <w:spacing w:before="80" w:after="280"/>
        <w:jc w:val="center"/>
      </w:pPr>
      <w:r>
        <w:rPr>
          <w:rFonts w:ascii="Times New Roman" w:hAnsi="Times New Roman"/>
          <w:b/>
          <w:sz w:val="22"/>
        </w:rPr>
        <w:t>Figure 3.1: Connect360 Three-Tier Cloud &amp; Serverless System Architecture</w:t>
      </w:r>
    </w:p>
    <w:p>
      <w:pPr>
        <w:spacing w:line="360" w:lineRule="auto" w:after="120"/>
        <w:jc w:val="both"/>
      </w:pPr>
      <w:r>
        <w:rPr>
          <w:rFonts w:ascii="Times New Roman" w:hAnsi="Times New Roman"/>
          <w:sz w:val="24"/>
        </w:rPr>
        <w:t xml:space="preserve">The </w:t>
      </w:r>
      <w:r>
        <w:rPr>
          <w:rFonts w:ascii="Times New Roman" w:hAnsi="Times New Roman"/>
          <w:b/>
          <w:sz w:val="24"/>
        </w:rPr>
        <w:t>Client Tier</w:t>
      </w:r>
      <w:r>
        <w:rPr>
          <w:rFonts w:ascii="Times New Roman" w:hAnsi="Times New Roman"/>
          <w:sz w:val="24"/>
        </w:rPr>
        <w:t xml:space="preserve"> is developed as a modern Single Page Application (SPA) using React 18 and Vite. It provides role-specific interfaces tailored for Customers, Service Partners (Workers), and Administrators. The customer portal facilitates real-time worker catalog browsing, one-click Priority Booking initiation, interactive map-based technician tracking, and an AI chat assistant. The worker dashboard enables technicians to toggle real-time availability, receive broadcasted emergency booking alerts, execute atomic job acceptance, update service milestones, and navigate via OSRM turn-by-turn road routes. The client integrates specialized services including </w:t>
      </w:r>
      <w:r>
        <w:rPr>
          <w:rFonts w:ascii="Consolas" w:hAnsi="Consolas"/>
          <w:sz w:val="23"/>
        </w:rPr>
        <w:t>Client Authentication Module</w:t>
      </w:r>
      <w:r>
        <w:rPr>
          <w:rFonts w:ascii="Times New Roman" w:hAnsi="Times New Roman"/>
          <w:sz w:val="24"/>
        </w:rPr>
        <w:t xml:space="preserve"> (managing Amazon Cognito JWT tokens), </w:t>
      </w:r>
      <w:r>
        <w:rPr>
          <w:rFonts w:ascii="Consolas" w:hAnsi="Consolas"/>
          <w:sz w:val="23"/>
        </w:rPr>
        <w:t>Spatial Routing Service</w:t>
      </w:r>
      <w:r>
        <w:rPr>
          <w:rFonts w:ascii="Times New Roman" w:hAnsi="Times New Roman"/>
          <w:sz w:val="24"/>
        </w:rPr>
        <w:t xml:space="preserve"> (querying OSRM road geometry), and WebSocket/polling handlers for live status synchronization.</w:t>
      </w:r>
    </w:p>
    <w:p>
      <w:pPr>
        <w:spacing w:line="360" w:lineRule="auto" w:after="120"/>
        <w:jc w:val="both"/>
      </w:pPr>
      <w:r>
        <w:rPr>
          <w:rFonts w:ascii="Times New Roman" w:hAnsi="Times New Roman"/>
          <w:sz w:val="24"/>
        </w:rPr>
        <w:t xml:space="preserve">The </w:t>
      </w:r>
      <w:r>
        <w:rPr>
          <w:rFonts w:ascii="Times New Roman" w:hAnsi="Times New Roman"/>
          <w:b/>
          <w:sz w:val="24"/>
        </w:rPr>
        <w:t>Serverless Compute Tier</w:t>
      </w:r>
      <w:r>
        <w:rPr>
          <w:rFonts w:ascii="Times New Roman" w:hAnsi="Times New Roman"/>
          <w:sz w:val="24"/>
        </w:rPr>
        <w:t xml:space="preserve"> is deployed on AWS Lambda fronted by Amazon API Gateway. Functions are organized into domain-specific microservices:</w:t>
        <w:br/>
      </w:r>
      <w:r>
        <w:rPr>
          <w:rFonts w:ascii="Times New Roman" w:hAnsi="Times New Roman"/>
          <w:sz w:val="24"/>
        </w:rPr>
        <w:br/>
        <w:t>connect360-auth: Enforces authentication and extracts Role-Based Access Control (RBAC) claims from Cognito JWT tokens.</w:t>
        <w:br/>
        <w:t>connect360-workers: Houses the core matching algorithm (Candidate Matching Engine) to rank candidate technicians in O(N) linear time.</w:t>
        <w:br/>
        <w:t>connect360-bookings: Orchestrates booking lifecycles and houses Priority Dispatch Handler, executing atomic conditional writes to prevent race conditions during concurrent worker acceptance.</w:t>
        <w:br/>
        <w:t>connect360-assistant: Orchestrates conversational triage, invoking Google Gemini / Amazon Bedrock while enforcing upstream context isolation and downstream PII redaction.</w:t>
        <w:br/>
      </w:r>
      <w:r>
        <w:rPr>
          <w:rFonts w:ascii="Times New Roman" w:hAnsi="Times New Roman"/>
          <w:sz w:val="24"/>
        </w:rPr>
        <w:br/>
      </w:r>
    </w:p>
    <w:p>
      <w:pPr>
        <w:spacing w:line="360" w:lineRule="auto" w:after="120"/>
        <w:jc w:val="both"/>
      </w:pPr>
      <w:r>
        <w:rPr>
          <w:rFonts w:ascii="Times New Roman" w:hAnsi="Times New Roman"/>
          <w:sz w:val="24"/>
        </w:rPr>
        <w:t xml:space="preserve">The </w:t>
      </w:r>
      <w:r>
        <w:rPr>
          <w:rFonts w:ascii="Times New Roman" w:hAnsi="Times New Roman"/>
          <w:b/>
          <w:sz w:val="24"/>
        </w:rPr>
        <w:t>Data and External Services Tier</w:t>
      </w:r>
      <w:r>
        <w:rPr>
          <w:rFonts w:ascii="Times New Roman" w:hAnsi="Times New Roman"/>
          <w:sz w:val="24"/>
        </w:rPr>
        <w:t xml:space="preserve"> centers on Amazon DynamoDB configured in a single-table design with Global Secondary Indexes. External integrations include Amazon Cognito User Pools, an Open Source Routing Machine (OSRM) instance for street-level routing, foundation LLM providers, and Twilio/Exotel virtual telephony bridges.</w:t>
      </w:r>
    </w:p>
    <w:p>
      <w:pPr>
        <w:keepNext/>
        <w:spacing w:before="280" w:after="120"/>
        <w:jc w:val="left"/>
      </w:pPr>
      <w:r>
        <w:rPr>
          <w:rFonts w:ascii="Times New Roman" w:hAnsi="Times New Roman"/>
          <w:b/>
          <w:sz w:val="27"/>
        </w:rPr>
        <w:t>3.2 SYSTEM REQUIREMENTS</w:t>
      </w:r>
    </w:p>
    <w:p>
      <w:pPr>
        <w:keepNext/>
        <w:spacing w:before="220" w:after="80"/>
        <w:jc w:val="left"/>
      </w:pPr>
      <w:r>
        <w:rPr>
          <w:rFonts w:ascii="Times New Roman" w:hAnsi="Times New Roman"/>
          <w:b/>
          <w:sz w:val="24"/>
        </w:rPr>
        <w:t>3.2.1 Software Requirements</w:t>
      </w:r>
    </w:p>
    <w:p>
      <w:pPr>
        <w:keepNext/>
        <w:spacing w:before="200" w:after="80"/>
        <w:jc w:val="center"/>
      </w:pPr>
      <w:r>
        <w:rPr>
          <w:rFonts w:ascii="Times New Roman" w:hAnsi="Times New Roman"/>
          <w:b/>
          <w:sz w:val="22"/>
        </w:rPr>
        <w:t>Table 3.1: Software Requirements of the Proposed Connect360 System</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889"/>
        <w:gridCol w:w="2889"/>
        <w:gridCol w:w="2889"/>
      </w:tblGrid>
      <w:tr>
        <w:trPr>
          <w:cantSplit/>
          <w:tblHeader/>
        </w:trPr>
        <w:tc>
          <w:tcPr>
            <w:tcW w:type="dxa" w:w="216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Component</w:t>
            </w:r>
          </w:p>
        </w:tc>
        <w:tc>
          <w:tcPr>
            <w:tcW w:type="dxa" w:w="302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Technology / Specification</w:t>
            </w:r>
          </w:p>
        </w:tc>
        <w:tc>
          <w:tcPr>
            <w:tcW w:type="dxa" w:w="3485"/>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Version / Details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Frontend Framework</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React.js (SPA) with Vite build tool</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React 18.3+, Vite 5.0+</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Programming Languages</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JavaScript (ES2022+), Python</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Node.js 20.x, Python 3.12 / 3.13</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Cloud Serverless Compute</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AWS Lambda with API Gateway</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Python 3.12 runtime, 512 MB memory</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NoSQL Database</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Amazon DynamoDB</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On-Demand Capacity, Single-Table Schema</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Authentication Provider</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Amazon Cognito User Pools</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OAuth 2.0 / OpenID Connect, JWT Claims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Spatial Routing Engine</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Open Source Routing Machine (OSRM)</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v5.26+ (Car profile, OpenStreetMap data)</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AI / Foundation Model</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Google Gemini API / Amazon Bedrock</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Gemini 1.5 Flash (Structured JSON output)</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Telephony Integration</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Direct-dial dialer + Twilio Voice Adapter</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Phone Number Masking &amp; Direct Calling (Phase-I); Cloud PBX Bridge (Phase-II)</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Testing &amp; Evaluation</w:t>
            </w:r>
          </w:p>
        </w:tc>
        <w:tc>
          <w:tcPr>
            <w:tcW w:type="dxa" w:w="3024"/>
            <w:tcMar>
              <w:top w:w="70" w:type="dxa"/>
              <w:bottom w:w="70" w:type="dxa"/>
              <w:left w:w="100" w:type="dxa"/>
              <w:right w:w="100" w:type="dxa"/>
            </w:tcMar>
          </w:tcPr>
          <w:p>
            <w:pPr>
              <w:spacing w:line="276" w:lineRule="auto" w:before="0" w:after="0"/>
              <w:jc w:val="left"/>
            </w:pPr>
            <w:r>
              <w:rPr>
                <w:rFonts w:ascii="Times New Roman" w:hAnsi="Times New Roman"/>
                <w:sz w:val="20"/>
              </w:rPr>
              <w:t>Pytest, Playwright, NumPy, Seaborn</w:t>
            </w:r>
          </w:p>
        </w:tc>
        <w:tc>
          <w:tcPr>
            <w:tcW w:type="dxa" w:w="3485"/>
            <w:tcMar>
              <w:top w:w="70" w:type="dxa"/>
              <w:bottom w:w="70" w:type="dxa"/>
              <w:left w:w="100" w:type="dxa"/>
              <w:right w:w="100" w:type="dxa"/>
            </w:tcMar>
          </w:tcPr>
          <w:p>
            <w:pPr>
              <w:spacing w:line="276" w:lineRule="auto" w:before="0" w:after="0"/>
              <w:jc w:val="right"/>
            </w:pPr>
            <w:r>
              <w:rPr>
                <w:rFonts w:ascii="Times New Roman" w:hAnsi="Times New Roman"/>
                <w:sz w:val="20"/>
              </w:rPr>
              <w:t>High-res hardware timer benchmarking</w:t>
            </w:r>
          </w:p>
        </w:tc>
      </w:tr>
    </w:tbl>
    <w:p>
      <w:pPr>
        <w:spacing w:after="120"/>
      </w:pPr>
    </w:p>
    <w:p>
      <w:pPr>
        <w:keepNext/>
        <w:spacing w:before="220" w:after="80"/>
        <w:jc w:val="left"/>
      </w:pPr>
      <w:r>
        <w:rPr>
          <w:rFonts w:ascii="Times New Roman" w:hAnsi="Times New Roman"/>
          <w:b/>
          <w:sz w:val="24"/>
        </w:rPr>
        <w:t>3.2.2 Hardware Requirements</w:t>
      </w:r>
    </w:p>
    <w:p>
      <w:pPr>
        <w:keepNext/>
        <w:spacing w:before="200" w:after="80"/>
        <w:jc w:val="center"/>
      </w:pPr>
      <w:r>
        <w:rPr>
          <w:rFonts w:ascii="Times New Roman" w:hAnsi="Times New Roman"/>
          <w:b/>
          <w:sz w:val="22"/>
        </w:rPr>
        <w:t>Table 3.2: Hardware Requirements of the Proposed Connect360 System</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889"/>
        <w:gridCol w:w="2889"/>
        <w:gridCol w:w="2889"/>
      </w:tblGrid>
      <w:tr>
        <w:trPr>
          <w:cantSplit/>
          <w:tblHeader/>
        </w:trPr>
        <w:tc>
          <w:tcPr>
            <w:tcW w:type="dxa" w:w="216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Environment</w:t>
            </w:r>
          </w:p>
        </w:tc>
        <w:tc>
          <w:tcPr>
            <w:tcW w:type="dxa" w:w="259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Parameter</w:t>
            </w:r>
          </w:p>
        </w:tc>
        <w:tc>
          <w:tcPr>
            <w:tcW w:type="dxa" w:w="3917"/>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Minimum Specification</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b/>
                <w:sz w:val="20"/>
              </w:rPr>
              <w:t>Client Devices (Customer/Worker)</w:t>
            </w: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Processor</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1.5 GHz Dual-Core ARM / x86_64</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Memory (RAM)</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2 GB (Mobile) / 4 GB (Desktop)</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Display Resolution</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360 x 640 (Mobile) / 1366 x 768 (Desktop)</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Network Connectivity</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4G / 5G / Wi-Fi (Minimum 256 kbps)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b/>
                <w:sz w:val="20"/>
              </w:rPr>
              <w:t>Serverless Cloud Compute</w:t>
            </w: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Execution Memory</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AWS Lambda: 256 MB to 512 MB per function</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Ephemeral Storage</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512 MB (/tmp scratch space)</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Database Storage</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DynamoDB: Scalable SSD backed, auto-partitioned</w:t>
            </w:r>
          </w:p>
        </w:tc>
      </w:tr>
      <w:tr>
        <w:trPr>
          <w:cantSplit/>
        </w:trPr>
        <w:tc>
          <w:tcPr>
            <w:tcW w:type="dxa" w:w="2160"/>
            <w:tcMar>
              <w:top w:w="70" w:type="dxa"/>
              <w:bottom w:w="70" w:type="dxa"/>
              <w:left w:w="100" w:type="dxa"/>
              <w:right w:w="100" w:type="dxa"/>
            </w:tcMar>
          </w:tcPr>
          <w:p>
            <w:pPr>
              <w:spacing w:line="276" w:lineRule="auto" w:before="0" w:after="0"/>
              <w:jc w:val="center"/>
            </w:pPr>
          </w:p>
        </w:tc>
        <w:tc>
          <w:tcPr>
            <w:tcW w:type="dxa" w:w="2592"/>
            <w:tcMar>
              <w:top w:w="70" w:type="dxa"/>
              <w:bottom w:w="70" w:type="dxa"/>
              <w:left w:w="100" w:type="dxa"/>
              <w:right w:w="100" w:type="dxa"/>
            </w:tcMar>
          </w:tcPr>
          <w:p>
            <w:pPr>
              <w:spacing w:line="276" w:lineRule="auto" w:before="0" w:after="0"/>
              <w:jc w:val="left"/>
            </w:pPr>
            <w:r>
              <w:rPr>
                <w:rFonts w:ascii="Times New Roman" w:hAnsi="Times New Roman"/>
                <w:sz w:val="20"/>
              </w:rPr>
              <w:t>OSRM Host (Self-Hosted Option)</w:t>
            </w:r>
          </w:p>
        </w:tc>
        <w:tc>
          <w:tcPr>
            <w:tcW w:type="dxa" w:w="3917"/>
            <w:tcMar>
              <w:top w:w="70" w:type="dxa"/>
              <w:bottom w:w="70" w:type="dxa"/>
              <w:left w:w="100" w:type="dxa"/>
              <w:right w:w="100" w:type="dxa"/>
            </w:tcMar>
          </w:tcPr>
          <w:p>
            <w:pPr>
              <w:spacing w:line="276" w:lineRule="auto" w:before="0" w:after="0"/>
              <w:jc w:val="right"/>
            </w:pPr>
            <w:r>
              <w:rPr>
                <w:rFonts w:ascii="Times New Roman" w:hAnsi="Times New Roman"/>
                <w:sz w:val="20"/>
              </w:rPr>
              <w:t>AWS EC2 t3.large (2 vCPU, 8 GB RAM, 20 GB SSD)</w:t>
            </w:r>
          </w:p>
        </w:tc>
      </w:tr>
    </w:tbl>
    <w:p>
      <w:pPr>
        <w:spacing w:after="120"/>
      </w:pPr>
    </w:p>
    <w:p>
      <w:pPr>
        <w:keepNext/>
        <w:spacing w:before="220" w:after="80"/>
        <w:jc w:val="left"/>
      </w:pPr>
      <w:r>
        <w:rPr>
          <w:rFonts w:ascii="Times New Roman" w:hAnsi="Times New Roman"/>
          <w:b/>
          <w:sz w:val="24"/>
        </w:rPr>
        <w:t>3.2.3 Database / Data Requirements</w:t>
      </w:r>
    </w:p>
    <w:p>
      <w:pPr>
        <w:spacing w:line="360" w:lineRule="auto" w:after="120"/>
        <w:jc w:val="both"/>
      </w:pPr>
      <w:r>
        <w:rPr>
          <w:rFonts w:ascii="Times New Roman" w:hAnsi="Times New Roman"/>
          <w:sz w:val="24"/>
        </w:rPr>
        <w:t>Connect360 adopts an enterprise single-table DynamoDB design, eliminating relational multi-table join latency. All entities—Users, Worker Profiles, Bookings, Reviews, and Activity Logs—coexist in a unified table (</w:t>
      </w:r>
      <w:r>
        <w:rPr>
          <w:rFonts w:ascii="Consolas" w:hAnsi="Consolas"/>
          <w:sz w:val="23"/>
        </w:rPr>
        <w:t>connect360-main-dev</w:t>
      </w:r>
      <w:r>
        <w:rPr>
          <w:rFonts w:ascii="Times New Roman" w:hAnsi="Times New Roman"/>
          <w:sz w:val="24"/>
        </w:rPr>
        <w:t xml:space="preserve">) utilizing composite primary keys (Partition Key </w:t>
      </w:r>
      <w:r>
        <w:rPr>
          <w:rFonts w:ascii="Consolas" w:hAnsi="Consolas"/>
          <w:sz w:val="23"/>
        </w:rPr>
        <w:t>PK</w:t>
      </w:r>
      <w:r>
        <w:rPr>
          <w:rFonts w:ascii="Times New Roman" w:hAnsi="Times New Roman"/>
          <w:sz w:val="24"/>
        </w:rPr>
        <w:t xml:space="preserve">, Sort Key </w:t>
      </w:r>
      <w:r>
        <w:rPr>
          <w:rFonts w:ascii="Consolas" w:hAnsi="Consolas"/>
          <w:sz w:val="23"/>
        </w:rPr>
        <w:t>SK</w:t>
      </w:r>
      <w:r>
        <w:rPr>
          <w:rFonts w:ascii="Times New Roman" w:hAnsi="Times New Roman"/>
          <w:sz w:val="24"/>
        </w:rPr>
        <w:t>) and two Global Secondary Indexes (</w:t>
      </w:r>
      <w:r>
        <w:rPr>
          <w:rFonts w:ascii="Consolas" w:hAnsi="Consolas"/>
          <w:sz w:val="23"/>
        </w:rPr>
        <w:t>GSI1</w:t>
      </w:r>
      <w:r>
        <w:rPr>
          <w:rFonts w:ascii="Times New Roman" w:hAnsi="Times New Roman"/>
          <w:sz w:val="24"/>
        </w:rPr>
        <w:t xml:space="preserve"> and </w:t>
      </w:r>
      <w:r>
        <w:rPr>
          <w:rFonts w:ascii="Consolas" w:hAnsi="Consolas"/>
          <w:sz w:val="23"/>
        </w:rPr>
        <w:t>GSI2</w:t>
      </w:r>
      <w:r>
        <w:rPr>
          <w:rFonts w:ascii="Times New Roman" w:hAnsi="Times New Roman"/>
          <w:sz w:val="24"/>
        </w:rPr>
        <w:t>), as detailed in Table 3.3.</w:t>
      </w:r>
    </w:p>
    <w:p>
      <w:pPr>
        <w:keepNext/>
        <w:spacing w:before="200" w:after="80"/>
        <w:jc w:val="center"/>
      </w:pPr>
      <w:r>
        <w:rPr>
          <w:rFonts w:ascii="Times New Roman" w:hAnsi="Times New Roman"/>
          <w:b/>
          <w:sz w:val="22"/>
        </w:rPr>
        <w:t>Table 3.3: Amazon DynamoDB Single-Table Schema Entities &amp; Index Design</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444"/>
        <w:gridCol w:w="1444"/>
        <w:gridCol w:w="1444"/>
        <w:gridCol w:w="1444"/>
        <w:gridCol w:w="1444"/>
        <w:gridCol w:w="1444"/>
      </w:tblGrid>
      <w:tr>
        <w:trPr>
          <w:cantSplit/>
          <w:tblHeader/>
        </w:trPr>
        <w:tc>
          <w:tcPr>
            <w:tcW w:type="dxa" w:w="129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Entity Type</w:t>
            </w:r>
          </w:p>
        </w:tc>
        <w:tc>
          <w:tcPr>
            <w:tcW w:type="dxa" w:w="144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Partition Key (PK)</w:t>
            </w:r>
          </w:p>
        </w:tc>
        <w:tc>
          <w:tcPr>
            <w:tcW w:type="dxa" w:w="144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Sort Key (SK)</w:t>
            </w:r>
          </w:p>
        </w:tc>
        <w:tc>
          <w:tcPr>
            <w:tcW w:type="dxa" w:w="151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GSI1 Partition (GSI1PK)</w:t>
            </w:r>
          </w:p>
        </w:tc>
        <w:tc>
          <w:tcPr>
            <w:tcW w:type="dxa" w:w="151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GSI1 Sort (GSI1SK)</w:t>
            </w:r>
          </w:p>
        </w:tc>
        <w:tc>
          <w:tcPr>
            <w:tcW w:type="dxa" w:w="1469"/>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GSI2 Partition (GSI2PK)</w:t>
            </w:r>
          </w:p>
        </w:tc>
      </w:tr>
      <w:tr>
        <w:trPr>
          <w:cantSplit/>
        </w:trPr>
        <w:tc>
          <w:tcPr>
            <w:tcW w:type="dxa" w:w="1296"/>
            <w:tcMar>
              <w:top w:w="70" w:type="dxa"/>
              <w:bottom w:w="70" w:type="dxa"/>
              <w:left w:w="100" w:type="dxa"/>
              <w:right w:w="100" w:type="dxa"/>
            </w:tcMar>
          </w:tcPr>
          <w:p>
            <w:pPr>
              <w:spacing w:line="276" w:lineRule="auto" w:before="0" w:after="0"/>
              <w:jc w:val="left"/>
            </w:pPr>
            <w:r>
              <w:rPr>
                <w:rFonts w:ascii="Times New Roman" w:hAnsi="Times New Roman"/>
                <w:b/>
                <w:sz w:val="20"/>
              </w:rPr>
              <w:t>User Metadata</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USER#&lt;user_id&gt;</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METADATA</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ROLE#&lt;role&gt;</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USER#&lt;user_id&gt;</w:t>
            </w:r>
          </w:p>
        </w:tc>
        <w:tc>
          <w:tcPr>
            <w:tcW w:type="dxa" w:w="1469"/>
            <w:tcMar>
              <w:top w:w="70" w:type="dxa"/>
              <w:bottom w:w="70" w:type="dxa"/>
              <w:left w:w="100" w:type="dxa"/>
              <w:right w:w="100" w:type="dxa"/>
            </w:tcMar>
          </w:tcPr>
          <w:p>
            <w:pPr>
              <w:spacing w:line="276" w:lineRule="auto" w:before="0" w:after="0"/>
              <w:jc w:val="left"/>
            </w:pPr>
            <w:r>
              <w:rPr>
                <w:rFonts w:ascii="Consolas" w:hAnsi="Consolas"/>
                <w:sz w:val="19"/>
              </w:rPr>
              <w:t>COGNITO#&lt;sub&gt;</w:t>
            </w:r>
          </w:p>
        </w:tc>
      </w:tr>
      <w:tr>
        <w:trPr>
          <w:cantSplit/>
        </w:trPr>
        <w:tc>
          <w:tcPr>
            <w:tcW w:type="dxa" w:w="1296"/>
            <w:tcMar>
              <w:top w:w="70" w:type="dxa"/>
              <w:bottom w:w="70" w:type="dxa"/>
              <w:left w:w="100" w:type="dxa"/>
              <w:right w:w="100" w:type="dxa"/>
            </w:tcMar>
          </w:tcPr>
          <w:p>
            <w:pPr>
              <w:spacing w:line="276" w:lineRule="auto" w:before="0" w:after="0"/>
              <w:jc w:val="left"/>
            </w:pPr>
            <w:r>
              <w:rPr>
                <w:rFonts w:ascii="Times New Roman" w:hAnsi="Times New Roman"/>
                <w:b/>
                <w:sz w:val="20"/>
              </w:rPr>
              <w:t>Worker Profile</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WORKER#&lt;worker_id&gt;</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PROFILE</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SERVICE#&lt;service_type&gt;</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RATING#&lt;rating&gt;</w:t>
            </w:r>
          </w:p>
        </w:tc>
        <w:tc>
          <w:tcPr>
            <w:tcW w:type="dxa" w:w="1469"/>
            <w:tcMar>
              <w:top w:w="70" w:type="dxa"/>
              <w:bottom w:w="70" w:type="dxa"/>
              <w:left w:w="100" w:type="dxa"/>
              <w:right w:w="100" w:type="dxa"/>
            </w:tcMar>
          </w:tcPr>
          <w:p>
            <w:pPr>
              <w:spacing w:line="276" w:lineRule="auto" w:before="0" w:after="0"/>
              <w:jc w:val="left"/>
            </w:pPr>
            <w:r>
              <w:rPr>
                <w:rFonts w:ascii="Consolas" w:hAnsi="Consolas"/>
                <w:sz w:val="19"/>
              </w:rPr>
              <w:t>AREA#&lt;area&gt;</w:t>
            </w:r>
          </w:p>
        </w:tc>
      </w:tr>
      <w:tr>
        <w:trPr>
          <w:cantSplit/>
        </w:trPr>
        <w:tc>
          <w:tcPr>
            <w:tcW w:type="dxa" w:w="1296"/>
            <w:tcMar>
              <w:top w:w="70" w:type="dxa"/>
              <w:bottom w:w="70" w:type="dxa"/>
              <w:left w:w="100" w:type="dxa"/>
              <w:right w:w="100" w:type="dxa"/>
            </w:tcMar>
          </w:tcPr>
          <w:p>
            <w:pPr>
              <w:spacing w:line="276" w:lineRule="auto" w:before="0" w:after="0"/>
              <w:jc w:val="left"/>
            </w:pPr>
            <w:r>
              <w:rPr>
                <w:rFonts w:ascii="Times New Roman" w:hAnsi="Times New Roman"/>
                <w:b/>
                <w:sz w:val="20"/>
              </w:rPr>
              <w:t>Booking Item</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BOOKING#&lt;booking_id&gt;</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METADATA</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STATUS#&lt;status&gt;</w:t>
            </w:r>
          </w:p>
        </w:tc>
        <w:tc>
          <w:tcPr>
            <w:tcW w:type="dxa" w:w="1512"/>
            <w:tcMar>
              <w:top w:w="70" w:type="dxa"/>
              <w:bottom w:w="70" w:type="dxa"/>
              <w:left w:w="100" w:type="dxa"/>
              <w:right w:w="100" w:type="dxa"/>
            </w:tcMar>
          </w:tcPr>
          <w:p>
            <w:pPr>
              <w:spacing w:line="276" w:lineRule="auto" w:before="0" w:after="0"/>
              <w:jc w:val="left"/>
            </w:pPr>
            <w:r>
              <w:rPr>
                <w:rFonts w:ascii="Consolas" w:hAnsi="Consolas"/>
                <w:sz w:val="19"/>
              </w:rPr>
              <w:t>DATE#&lt;date&gt;</w:t>
            </w:r>
          </w:p>
        </w:tc>
        <w:tc>
          <w:tcPr>
            <w:tcW w:type="dxa" w:w="1469"/>
            <w:tcMar>
              <w:top w:w="70" w:type="dxa"/>
              <w:bottom w:w="70" w:type="dxa"/>
              <w:left w:w="100" w:type="dxa"/>
              <w:right w:w="100" w:type="dxa"/>
            </w:tcMar>
          </w:tcPr>
          <w:p>
            <w:pPr>
              <w:spacing w:line="276" w:lineRule="auto" w:before="0" w:after="0"/>
              <w:jc w:val="left"/>
            </w:pPr>
            <w:r>
              <w:rPr>
                <w:rFonts w:ascii="Consolas" w:hAnsi="Consolas"/>
                <w:sz w:val="19"/>
              </w:rPr>
              <w:t>CUSTOMER#&lt;id&gt;</w:t>
            </w:r>
          </w:p>
        </w:tc>
      </w:tr>
      <w:tr>
        <w:trPr>
          <w:cantSplit/>
        </w:trPr>
        <w:tc>
          <w:tcPr>
            <w:tcW w:type="dxa" w:w="1296"/>
            <w:tcMar>
              <w:top w:w="70" w:type="dxa"/>
              <w:bottom w:w="70" w:type="dxa"/>
              <w:left w:w="100" w:type="dxa"/>
              <w:right w:w="100" w:type="dxa"/>
            </w:tcMar>
          </w:tcPr>
          <w:p>
            <w:pPr>
              <w:spacing w:line="276" w:lineRule="auto" w:before="0" w:after="0"/>
              <w:jc w:val="left"/>
            </w:pPr>
            <w:r>
              <w:rPr>
                <w:rFonts w:ascii="Times New Roman" w:hAnsi="Times New Roman"/>
                <w:b/>
                <w:sz w:val="20"/>
              </w:rPr>
              <w:t>Booking Note</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BOOKING#&lt;booking_id&gt;</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NOTE#&lt;note_id&gt;</w:t>
            </w:r>
          </w:p>
        </w:tc>
        <w:tc>
          <w:tcPr>
            <w:tcW w:type="dxa" w:w="1512"/>
            <w:tcMar>
              <w:top w:w="70" w:type="dxa"/>
              <w:bottom w:w="70" w:type="dxa"/>
              <w:left w:w="100" w:type="dxa"/>
              <w:right w:w="100" w:type="dxa"/>
            </w:tcMar>
          </w:tcPr>
          <w:p>
            <w:pPr>
              <w:spacing w:line="276" w:lineRule="auto" w:before="0" w:after="0"/>
              <w:jc w:val="left"/>
            </w:pPr>
            <w:r>
              <w:rPr>
                <w:rFonts w:ascii="Times New Roman" w:hAnsi="Times New Roman"/>
                <w:sz w:val="20"/>
              </w:rPr>
              <w:t>-</w:t>
            </w:r>
          </w:p>
        </w:tc>
        <w:tc>
          <w:tcPr>
            <w:tcW w:type="dxa" w:w="1512"/>
            <w:tcMar>
              <w:top w:w="70" w:type="dxa"/>
              <w:bottom w:w="70" w:type="dxa"/>
              <w:left w:w="100" w:type="dxa"/>
              <w:right w:w="100" w:type="dxa"/>
            </w:tcMar>
          </w:tcPr>
          <w:p>
            <w:pPr>
              <w:spacing w:line="276" w:lineRule="auto" w:before="0" w:after="0"/>
              <w:jc w:val="left"/>
            </w:pPr>
            <w:r>
              <w:rPr>
                <w:rFonts w:ascii="Times New Roman" w:hAnsi="Times New Roman"/>
                <w:sz w:val="20"/>
              </w:rPr>
              <w:t>-</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w:t>
            </w:r>
          </w:p>
        </w:tc>
      </w:tr>
      <w:tr>
        <w:trPr>
          <w:cantSplit/>
        </w:trPr>
        <w:tc>
          <w:tcPr>
            <w:tcW w:type="dxa" w:w="1296"/>
            <w:tcMar>
              <w:top w:w="70" w:type="dxa"/>
              <w:bottom w:w="70" w:type="dxa"/>
              <w:left w:w="100" w:type="dxa"/>
              <w:right w:w="100" w:type="dxa"/>
            </w:tcMar>
          </w:tcPr>
          <w:p>
            <w:pPr>
              <w:spacing w:line="276" w:lineRule="auto" w:before="0" w:after="0"/>
              <w:jc w:val="left"/>
            </w:pPr>
            <w:r>
              <w:rPr>
                <w:rFonts w:ascii="Times New Roman" w:hAnsi="Times New Roman"/>
                <w:b/>
                <w:sz w:val="20"/>
              </w:rPr>
              <w:t>Review / Rating</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WORKER#&lt;worker_id&gt;</w:t>
            </w:r>
          </w:p>
        </w:tc>
        <w:tc>
          <w:tcPr>
            <w:tcW w:type="dxa" w:w="1440"/>
            <w:tcMar>
              <w:top w:w="70" w:type="dxa"/>
              <w:bottom w:w="70" w:type="dxa"/>
              <w:left w:w="100" w:type="dxa"/>
              <w:right w:w="100" w:type="dxa"/>
            </w:tcMar>
          </w:tcPr>
          <w:p>
            <w:pPr>
              <w:spacing w:line="276" w:lineRule="auto" w:before="0" w:after="0"/>
              <w:jc w:val="left"/>
            </w:pPr>
            <w:r>
              <w:rPr>
                <w:rFonts w:ascii="Consolas" w:hAnsi="Consolas"/>
                <w:sz w:val="19"/>
              </w:rPr>
              <w:t>REVIEW#&lt;review_id&gt;</w:t>
            </w:r>
          </w:p>
        </w:tc>
        <w:tc>
          <w:tcPr>
            <w:tcW w:type="dxa" w:w="1512"/>
            <w:tcMar>
              <w:top w:w="70" w:type="dxa"/>
              <w:bottom w:w="70" w:type="dxa"/>
              <w:left w:w="100" w:type="dxa"/>
              <w:right w:w="100" w:type="dxa"/>
            </w:tcMar>
          </w:tcPr>
          <w:p>
            <w:pPr>
              <w:spacing w:line="276" w:lineRule="auto" w:before="0" w:after="0"/>
              <w:jc w:val="left"/>
            </w:pPr>
            <w:r>
              <w:rPr>
                <w:rFonts w:ascii="Times New Roman" w:hAnsi="Times New Roman"/>
                <w:sz w:val="20"/>
              </w:rPr>
              <w:t>-</w:t>
            </w:r>
          </w:p>
        </w:tc>
        <w:tc>
          <w:tcPr>
            <w:tcW w:type="dxa" w:w="1512"/>
            <w:tcMar>
              <w:top w:w="70" w:type="dxa"/>
              <w:bottom w:w="70" w:type="dxa"/>
              <w:left w:w="100" w:type="dxa"/>
              <w:right w:w="100" w:type="dxa"/>
            </w:tcMar>
          </w:tcPr>
          <w:p>
            <w:pPr>
              <w:spacing w:line="276" w:lineRule="auto" w:before="0" w:after="0"/>
              <w:jc w:val="left"/>
            </w:pPr>
            <w:r>
              <w:rPr>
                <w:rFonts w:ascii="Times New Roman" w:hAnsi="Times New Roman"/>
                <w:sz w:val="20"/>
              </w:rPr>
              <w:t>-</w:t>
            </w:r>
          </w:p>
        </w:tc>
        <w:tc>
          <w:tcPr>
            <w:tcW w:type="dxa" w:w="1469"/>
            <w:tcMar>
              <w:top w:w="70" w:type="dxa"/>
              <w:bottom w:w="70" w:type="dxa"/>
              <w:left w:w="100" w:type="dxa"/>
              <w:right w:w="100" w:type="dxa"/>
            </w:tcMar>
          </w:tcPr>
          <w:p>
            <w:pPr>
              <w:spacing w:line="276" w:lineRule="auto" w:before="0" w:after="0"/>
              <w:jc w:val="left"/>
            </w:pPr>
            <w:r>
              <w:rPr>
                <w:rFonts w:ascii="Consolas" w:hAnsi="Consolas"/>
                <w:sz w:val="19"/>
              </w:rPr>
              <w:t>CUSTOMER#&lt;id&gt;</w:t>
            </w:r>
          </w:p>
        </w:tc>
      </w:tr>
    </w:tbl>
    <w:p>
      <w:pPr>
        <w:spacing w:after="120"/>
      </w:pPr>
    </w:p>
    <w:p>
      <w:pPr>
        <w:keepNext/>
        <w:spacing w:before="220" w:after="80"/>
        <w:jc w:val="left"/>
      </w:pPr>
      <w:r>
        <w:rPr>
          <w:rFonts w:ascii="Times New Roman" w:hAnsi="Times New Roman"/>
          <w:b/>
          <w:sz w:val="24"/>
        </w:rPr>
        <w:t>3.2.4 Deployment and Scaling</w:t>
      </w:r>
    </w:p>
    <w:p>
      <w:pPr>
        <w:spacing w:line="360" w:lineRule="auto" w:after="120"/>
        <w:jc w:val="both"/>
      </w:pPr>
      <w:r>
        <w:rPr>
          <w:rFonts w:ascii="Times New Roman" w:hAnsi="Times New Roman"/>
          <w:sz w:val="24"/>
        </w:rPr>
        <w:t>Connect360 is packaged and deployed via the AWS Serverless Application Model (SAM). API Gateway routes incoming HTTPS requests to designated Lambda functions with sub-millisecond dispatch overhead. CloudFront CDN caches frontend static assets globally, achieving cold page loads under 1.2 seconds. DynamoDB is configured in On-Demand capacity mode, automatically scaling read and write throughput up to thousands of concurrent requests with zero manual intervention.</w:t>
      </w:r>
    </w:p>
    <w:p>
      <w:pPr>
        <w:keepNext/>
        <w:spacing w:before="280" w:after="120"/>
        <w:jc w:val="left"/>
      </w:pPr>
      <w:r>
        <w:rPr>
          <w:rFonts w:ascii="Times New Roman" w:hAnsi="Times New Roman"/>
          <w:b/>
          <w:sz w:val="27"/>
        </w:rPr>
        <w:t>3.3 SYSTEM DESIGN DIAGRAMS</w:t>
      </w:r>
    </w:p>
    <w:p>
      <w:pPr>
        <w:keepNext/>
        <w:spacing w:before="220" w:after="80"/>
        <w:jc w:val="left"/>
      </w:pPr>
      <w:r>
        <w:rPr>
          <w:rFonts w:ascii="Times New Roman" w:hAnsi="Times New Roman"/>
          <w:b/>
          <w:sz w:val="24"/>
        </w:rPr>
        <w:t>3.3.1 Use Case Diagram</w:t>
      </w:r>
    </w:p>
    <w:p>
      <w:pPr>
        <w:spacing w:line="360" w:lineRule="auto" w:after="120"/>
        <w:jc w:val="both"/>
      </w:pPr>
      <w:r>
        <w:rPr>
          <w:rFonts w:ascii="Times New Roman" w:hAnsi="Times New Roman"/>
          <w:sz w:val="24"/>
        </w:rPr>
        <w:t>Figure 3.2 details the primary interactions between system actors (Customer and Service Partner) and core Connect360 functional boundaries.</w:t>
      </w:r>
    </w:p>
    <w:p>
      <w:pPr>
        <w:spacing w:before="240" w:after="80"/>
        <w:jc w:val="center"/>
      </w:pPr>
      <w:r>
        <w:drawing>
          <wp:inline xmlns:a="http://schemas.openxmlformats.org/drawingml/2006/main" xmlns:pic="http://schemas.openxmlformats.org/drawingml/2006/picture">
            <wp:extent cx="5303520" cy="4023360"/>
            <wp:docPr id="2" name="Picture 2"/>
            <wp:cNvGraphicFramePr>
              <a:graphicFrameLocks noChangeAspect="1"/>
            </wp:cNvGraphicFramePr>
            <a:graphic>
              <a:graphicData uri="http://schemas.openxmlformats.org/drawingml/2006/picture">
                <pic:pic>
                  <pic:nvPicPr>
                    <pic:cNvPr id="0" name="fig3_2_usecase.png"/>
                    <pic:cNvPicPr/>
                  </pic:nvPicPr>
                  <pic:blipFill>
                    <a:blip r:embed="rId13"/>
                    <a:stretch>
                      <a:fillRect/>
                    </a:stretch>
                  </pic:blipFill>
                  <pic:spPr>
                    <a:xfrm>
                      <a:off x="0" y="0"/>
                      <a:ext cx="5303520" cy="4023360"/>
                    </a:xfrm>
                    <a:prstGeom prst="rect"/>
                  </pic:spPr>
                </pic:pic>
              </a:graphicData>
            </a:graphic>
          </wp:inline>
        </w:drawing>
      </w:r>
    </w:p>
    <w:p>
      <w:pPr>
        <w:spacing w:before="80" w:after="280"/>
        <w:jc w:val="center"/>
      </w:pPr>
      <w:r>
        <w:rPr>
          <w:rFonts w:ascii="Times New Roman" w:hAnsi="Times New Roman"/>
          <w:b/>
          <w:sz w:val="22"/>
        </w:rPr>
        <w:t>Figure 3.2: Connect360 Use Case Diagram</w:t>
      </w:r>
    </w:p>
    <w:p>
      <w:pPr>
        <w:keepNext/>
        <w:spacing w:before="220" w:after="80"/>
        <w:jc w:val="left"/>
      </w:pPr>
      <w:r>
        <w:rPr>
          <w:rFonts w:ascii="Times New Roman" w:hAnsi="Times New Roman"/>
          <w:b/>
          <w:sz w:val="24"/>
        </w:rPr>
        <w:t>3.3.2 Activity Diagram</w:t>
      </w:r>
    </w:p>
    <w:p>
      <w:pPr>
        <w:spacing w:line="360" w:lineRule="auto" w:after="120"/>
        <w:jc w:val="both"/>
      </w:pPr>
      <w:r>
        <w:rPr>
          <w:rFonts w:ascii="Times New Roman" w:hAnsi="Times New Roman"/>
          <w:sz w:val="24"/>
        </w:rPr>
        <w:t>Figure 3.3 illustrates the end-to-end activity workflow of Priority Booking, highlighting candidate matching, alert broadcast, conditional race evaluation, and route initialization.</w:t>
      </w:r>
    </w:p>
    <w:p>
      <w:pPr>
        <w:spacing w:before="240" w:after="80"/>
        <w:jc w:val="center"/>
      </w:pPr>
      <w:r>
        <w:drawing>
          <wp:inline xmlns:a="http://schemas.openxmlformats.org/drawingml/2006/main" xmlns:pic="http://schemas.openxmlformats.org/drawingml/2006/picture">
            <wp:extent cx="5303520" cy="4307840"/>
            <wp:docPr id="3" name="Picture 3"/>
            <wp:cNvGraphicFramePr>
              <a:graphicFrameLocks noChangeAspect="1"/>
            </wp:cNvGraphicFramePr>
            <a:graphic>
              <a:graphicData uri="http://schemas.openxmlformats.org/drawingml/2006/picture">
                <pic:pic>
                  <pic:nvPicPr>
                    <pic:cNvPr id="0" name="fig3_3_activity.png"/>
                    <pic:cNvPicPr/>
                  </pic:nvPicPr>
                  <pic:blipFill>
                    <a:blip r:embed="rId14"/>
                    <a:stretch>
                      <a:fillRect/>
                    </a:stretch>
                  </pic:blipFill>
                  <pic:spPr>
                    <a:xfrm>
                      <a:off x="0" y="0"/>
                      <a:ext cx="5303520" cy="4307840"/>
                    </a:xfrm>
                    <a:prstGeom prst="rect"/>
                  </pic:spPr>
                </pic:pic>
              </a:graphicData>
            </a:graphic>
          </wp:inline>
        </w:drawing>
      </w:r>
    </w:p>
    <w:p>
      <w:pPr>
        <w:spacing w:before="80" w:after="280"/>
        <w:jc w:val="center"/>
      </w:pPr>
      <w:r>
        <w:rPr>
          <w:rFonts w:ascii="Times New Roman" w:hAnsi="Times New Roman"/>
          <w:b/>
          <w:sz w:val="22"/>
        </w:rPr>
        <w:t>Figure 3.3: Connect360 Priority Booking Activity Diagram</w:t>
      </w:r>
    </w:p>
    <w:p>
      <w:pPr>
        <w:keepNext/>
        <w:spacing w:before="220" w:after="80"/>
        <w:jc w:val="left"/>
      </w:pPr>
      <w:r>
        <w:rPr>
          <w:rFonts w:ascii="Times New Roman" w:hAnsi="Times New Roman"/>
          <w:b/>
          <w:sz w:val="24"/>
        </w:rPr>
        <w:t>3.3.3 Data Flow Diagrams</w:t>
      </w:r>
    </w:p>
    <w:p>
      <w:pPr>
        <w:spacing w:line="360" w:lineRule="auto" w:after="120"/>
        <w:jc w:val="both"/>
      </w:pPr>
      <w:r>
        <w:rPr>
          <w:rFonts w:ascii="Times New Roman" w:hAnsi="Times New Roman"/>
          <w:sz w:val="24"/>
        </w:rPr>
        <w:t>Figure 3.4 presents the Level 0 Context Data Flow Diagram, depicting primary boundary data exchanges between external actors and Connect360. Figure 3.5 provides the Level 1 modular decomposition across authentication, matching, priority dispatch, AI triage, spatial routing, and virtual telephony.</w:t>
      </w:r>
    </w:p>
    <w:p>
      <w:pPr>
        <w:spacing w:before="240" w:after="80"/>
        <w:jc w:val="center"/>
      </w:pPr>
      <w:r>
        <w:drawing>
          <wp:inline xmlns:a="http://schemas.openxmlformats.org/drawingml/2006/main" xmlns:pic="http://schemas.openxmlformats.org/drawingml/2006/picture">
            <wp:extent cx="5303520" cy="2818800"/>
            <wp:docPr id="4" name="Picture 4"/>
            <wp:cNvGraphicFramePr>
              <a:graphicFrameLocks noChangeAspect="1"/>
            </wp:cNvGraphicFramePr>
            <a:graphic>
              <a:graphicData uri="http://schemas.openxmlformats.org/drawingml/2006/picture">
                <pic:pic>
                  <pic:nvPicPr>
                    <pic:cNvPr id="0" name="fig3_4_dfd_context.png"/>
                    <pic:cNvPicPr/>
                  </pic:nvPicPr>
                  <pic:blipFill>
                    <a:blip r:embed="rId15"/>
                    <a:stretch>
                      <a:fillRect/>
                    </a:stretch>
                  </pic:blipFill>
                  <pic:spPr>
                    <a:xfrm>
                      <a:off x="0" y="0"/>
                      <a:ext cx="5303520" cy="2818800"/>
                    </a:xfrm>
                    <a:prstGeom prst="rect"/>
                  </pic:spPr>
                </pic:pic>
              </a:graphicData>
            </a:graphic>
          </wp:inline>
        </w:drawing>
      </w:r>
    </w:p>
    <w:p>
      <w:pPr>
        <w:spacing w:before="80" w:after="240"/>
        <w:jc w:val="center"/>
      </w:pPr>
      <w:r>
        <w:rPr>
          <w:rFonts w:ascii="Times New Roman" w:hAnsi="Times New Roman"/>
          <w:b/>
          <w:sz w:val="22"/>
        </w:rPr>
        <w:t>Figure 3.4: Connect360 Data Flow Diagram (DFD Level 0 - Context Diagram)</w:t>
      </w:r>
    </w:p>
    <w:p>
      <w:pPr>
        <w:spacing w:before="240" w:after="80"/>
        <w:jc w:val="center"/>
      </w:pPr>
      <w:r>
        <w:drawing>
          <wp:inline xmlns:a="http://schemas.openxmlformats.org/drawingml/2006/main" xmlns:pic="http://schemas.openxmlformats.org/drawingml/2006/picture">
            <wp:extent cx="5303520" cy="4165600"/>
            <wp:docPr id="5" name="Picture 5"/>
            <wp:cNvGraphicFramePr>
              <a:graphicFrameLocks noChangeAspect="1"/>
            </wp:cNvGraphicFramePr>
            <a:graphic>
              <a:graphicData uri="http://schemas.openxmlformats.org/drawingml/2006/picture">
                <pic:pic>
                  <pic:nvPicPr>
                    <pic:cNvPr id="0" name="fig3_5_dfd_modular.png"/>
                    <pic:cNvPicPr/>
                  </pic:nvPicPr>
                  <pic:blipFill>
                    <a:blip r:embed="rId16"/>
                    <a:stretch>
                      <a:fillRect/>
                    </a:stretch>
                  </pic:blipFill>
                  <pic:spPr>
                    <a:xfrm>
                      <a:off x="0" y="0"/>
                      <a:ext cx="5303520" cy="4165600"/>
                    </a:xfrm>
                    <a:prstGeom prst="rect"/>
                  </pic:spPr>
                </pic:pic>
              </a:graphicData>
            </a:graphic>
          </wp:inline>
        </w:drawing>
      </w:r>
    </w:p>
    <w:p>
      <w:pPr>
        <w:spacing w:before="80" w:after="280"/>
        <w:jc w:val="center"/>
      </w:pPr>
      <w:r>
        <w:rPr>
          <w:rFonts w:ascii="Times New Roman" w:hAnsi="Times New Roman"/>
          <w:b/>
          <w:sz w:val="22"/>
        </w:rPr>
        <w:t>Figure 3.5: Connect360 Data Flow Diagram (DFD Level 1 - Modular Decomposition)</w:t>
      </w:r>
    </w:p>
    <w:p>
      <w:pPr>
        <w:keepNext/>
        <w:spacing w:before="220" w:after="80"/>
        <w:jc w:val="left"/>
      </w:pPr>
      <w:r>
        <w:rPr>
          <w:rFonts w:ascii="Times New Roman" w:hAnsi="Times New Roman"/>
          <w:b/>
          <w:sz w:val="24"/>
        </w:rPr>
        <w:t>3.3.4 Sequence Diagram</w:t>
      </w:r>
    </w:p>
    <w:p>
      <w:pPr>
        <w:spacing w:line="360" w:lineRule="auto" w:after="120"/>
        <w:jc w:val="both"/>
      </w:pPr>
      <w:r>
        <w:rPr>
          <w:rFonts w:ascii="Times New Roman" w:hAnsi="Times New Roman"/>
          <w:sz w:val="24"/>
        </w:rPr>
        <w:t>Figure 3.6 presents the detailed message interchange sequence during concurrent worker acceptance of a Priority Booking, demonstrating how DynamoDB conditional expressions enforce atomic commits.</w:t>
      </w:r>
    </w:p>
    <w:p>
      <w:pPr>
        <w:spacing w:before="240" w:after="80"/>
        <w:jc w:val="center"/>
      </w:pPr>
      <w:r>
        <w:drawing>
          <wp:inline xmlns:a="http://schemas.openxmlformats.org/drawingml/2006/main" xmlns:pic="http://schemas.openxmlformats.org/drawingml/2006/picture">
            <wp:extent cx="5303520" cy="4165600"/>
            <wp:docPr id="6" name="Picture 6"/>
            <wp:cNvGraphicFramePr>
              <a:graphicFrameLocks noChangeAspect="1"/>
            </wp:cNvGraphicFramePr>
            <a:graphic>
              <a:graphicData uri="http://schemas.openxmlformats.org/drawingml/2006/picture">
                <pic:pic>
                  <pic:nvPicPr>
                    <pic:cNvPr id="0" name="fig3_6_sequence.png"/>
                    <pic:cNvPicPr/>
                  </pic:nvPicPr>
                  <pic:blipFill>
                    <a:blip r:embed="rId17"/>
                    <a:stretch>
                      <a:fillRect/>
                    </a:stretch>
                  </pic:blipFill>
                  <pic:spPr>
                    <a:xfrm>
                      <a:off x="0" y="0"/>
                      <a:ext cx="5303520" cy="4165600"/>
                    </a:xfrm>
                    <a:prstGeom prst="rect"/>
                  </pic:spPr>
                </pic:pic>
              </a:graphicData>
            </a:graphic>
          </wp:inline>
        </w:drawing>
      </w:r>
    </w:p>
    <w:p>
      <w:pPr>
        <w:spacing w:before="80" w:after="280"/>
        <w:jc w:val="center"/>
      </w:pPr>
      <w:r>
        <w:rPr>
          <w:rFonts w:ascii="Times New Roman" w:hAnsi="Times New Roman"/>
          <w:b/>
          <w:sz w:val="22"/>
        </w:rPr>
        <w:t>Figure 3.6: Sequence Diagram: Priority Booking Atomic Acceptance &amp; Commit</w:t>
      </w:r>
    </w:p>
    <w:p>
      <w:r>
        <w:br w:type="page"/>
      </w:r>
    </w:p>
    <w:p>
      <w:r>
        <w:br w:type="page"/>
      </w:r>
    </w:p>
    <w:p>
      <w:pPr>
        <w:keepNext/>
        <w:spacing w:before="360" w:after="80"/>
        <w:jc w:val="center"/>
      </w:pPr>
      <w:r>
        <w:rPr>
          <w:rFonts w:ascii="Times New Roman" w:hAnsi="Times New Roman"/>
          <w:b/>
          <w:sz w:val="32"/>
        </w:rPr>
        <w:t>CHAPTER 4</w:t>
      </w:r>
    </w:p>
    <w:p>
      <w:pPr>
        <w:keepNext/>
        <w:spacing w:before="80" w:after="400"/>
        <w:jc w:val="center"/>
      </w:pPr>
      <w:r>
        <w:rPr>
          <w:rFonts w:ascii="Times New Roman" w:hAnsi="Times New Roman"/>
          <w:b/>
          <w:sz w:val="32"/>
        </w:rPr>
        <w:t>PROJECT DESCRIPTION</w:t>
      </w:r>
    </w:p>
    <w:p>
      <w:pPr>
        <w:keepNext/>
        <w:spacing w:before="280" w:after="120"/>
        <w:jc w:val="left"/>
      </w:pPr>
      <w:r>
        <w:rPr>
          <w:rFonts w:ascii="Times New Roman" w:hAnsi="Times New Roman"/>
          <w:b/>
          <w:sz w:val="27"/>
        </w:rPr>
        <w:t>4.1 METHODOLOGIES</w:t>
      </w:r>
    </w:p>
    <w:p>
      <w:pPr>
        <w:spacing w:line="360" w:lineRule="auto" w:after="120"/>
        <w:jc w:val="both"/>
      </w:pPr>
      <w:r>
        <w:rPr>
          <w:rFonts w:ascii="Times New Roman" w:hAnsi="Times New Roman"/>
          <w:sz w:val="24"/>
        </w:rPr>
        <w:t>Connect360 adopts an agile, microservices-oriented software engineering methodology tailored for serverless cloud environments. The core design principles governing implementation include:</w:t>
        <w:br/>
      </w:r>
      <w:r>
        <w:rPr>
          <w:rFonts w:ascii="Times New Roman" w:hAnsi="Times New Roman"/>
          <w:sz w:val="24"/>
        </w:rPr>
        <w:br/>
        <w:t>Stateless Compute Architecture: All Lambda handlers operate statelessly. Session state and role claims are verified dynamically from signed Cognito JWT tokens on every request, eliminating server session storage bottlenecks.</w:t>
        <w:br/>
        <w:t>Single-Table NoSQL Modeling: Eliminating relational joins reduces database fetch latency to single-digit milliseconds (8–15 ms), enabling rapid candidate pool lookups and updates.</w:t>
        <w:br/>
        <w:t>Mathematical Multi-Criteria Weight Reallocation: Rather than relying on static sorting, worker ranking utilizes normalized multi-attribute utility theory, dynamically adjusting distance, rating, experience, and completion weights based on booking urgency.</w:t>
        <w:br/>
        <w:t>Defense-in-Depth AI Safety: Implementing an air-gapped deterministic post-processing layer ensures platform safety invariants remain inviolable regardless of LLM temperature or prompt injection attempts.</w:t>
        <w:br/>
      </w:r>
      <w:r>
        <w:rPr>
          <w:rFonts w:ascii="Times New Roman" w:hAnsi="Times New Roman"/>
          <w:sz w:val="24"/>
        </w:rPr>
        <w:br/>
      </w:r>
    </w:p>
    <w:p>
      <w:pPr>
        <w:keepNext/>
        <w:spacing w:before="280" w:after="120"/>
        <w:jc w:val="left"/>
      </w:pPr>
      <w:r>
        <w:rPr>
          <w:rFonts w:ascii="Times New Roman" w:hAnsi="Times New Roman"/>
          <w:b/>
          <w:sz w:val="27"/>
        </w:rPr>
        <w:t>4.2 MODULES</w:t>
      </w:r>
    </w:p>
    <w:p>
      <w:pPr>
        <w:keepNext/>
        <w:spacing w:before="220" w:after="80"/>
        <w:jc w:val="left"/>
      </w:pPr>
      <w:r>
        <w:rPr>
          <w:rFonts w:ascii="Times New Roman" w:hAnsi="Times New Roman"/>
          <w:b/>
          <w:sz w:val="24"/>
        </w:rPr>
        <w:t>4.2.1 Module 1: Authentication and Role-Based Access Control (RBAC)</w:t>
      </w:r>
    </w:p>
    <w:p>
      <w:pPr>
        <w:spacing w:line="360" w:lineRule="auto" w:after="120"/>
        <w:jc w:val="both"/>
      </w:pPr>
      <w:r>
        <w:rPr>
          <w:rFonts w:ascii="Times New Roman" w:hAnsi="Times New Roman"/>
          <w:sz w:val="24"/>
        </w:rPr>
        <w:t>This module manages user registration, credential verification, and token issuance via Amazon Cognito User Pools. Upon successful authentication, clients receive signed JWT tokens containing custom claims (</w:t>
      </w:r>
      <w:r>
        <w:rPr>
          <w:rFonts w:ascii="Consolas" w:hAnsi="Consolas"/>
          <w:sz w:val="23"/>
        </w:rPr>
        <w:t>custom:role</w:t>
      </w:r>
      <w:r>
        <w:rPr>
          <w:rFonts w:ascii="Times New Roman" w:hAnsi="Times New Roman"/>
          <w:sz w:val="24"/>
        </w:rPr>
        <w:t>). The backend Lambda layer (</w:t>
      </w:r>
      <w:r>
        <w:rPr>
          <w:rFonts w:ascii="Consolas" w:hAnsi="Consolas"/>
          <w:sz w:val="23"/>
        </w:rPr>
        <w:t>Authentication &amp; Authorization Service</w:t>
      </w:r>
      <w:r>
        <w:rPr>
          <w:rFonts w:ascii="Times New Roman" w:hAnsi="Times New Roman"/>
          <w:sz w:val="24"/>
        </w:rPr>
        <w:t>) validates signature authenticity, checks token expiration, and extracts the user's unique subject identifier (</w:t>
      </w:r>
      <w:r>
        <w:rPr>
          <w:rFonts w:ascii="Consolas" w:hAnsi="Consolas"/>
          <w:sz w:val="23"/>
        </w:rPr>
        <w:t>sub</w:t>
      </w:r>
      <w:r>
        <w:rPr>
          <w:rFonts w:ascii="Times New Roman" w:hAnsi="Times New Roman"/>
          <w:sz w:val="24"/>
        </w:rPr>
        <w:t>) and role (</w:t>
      </w:r>
      <w:r>
        <w:rPr>
          <w:rFonts w:ascii="Consolas" w:hAnsi="Consolas"/>
          <w:sz w:val="23"/>
        </w:rPr>
        <w:t>customer</w:t>
      </w:r>
      <w:r>
        <w:rPr>
          <w:rFonts w:ascii="Times New Roman" w:hAnsi="Times New Roman"/>
          <w:sz w:val="24"/>
        </w:rPr>
        <w:t xml:space="preserve">, </w:t>
      </w:r>
      <w:r>
        <w:rPr>
          <w:rFonts w:ascii="Consolas" w:hAnsi="Consolas"/>
          <w:sz w:val="23"/>
        </w:rPr>
        <w:t>worker</w:t>
      </w:r>
      <w:r>
        <w:rPr>
          <w:rFonts w:ascii="Times New Roman" w:hAnsi="Times New Roman"/>
          <w:sz w:val="24"/>
        </w:rPr>
        <w:t xml:space="preserve">, or </w:t>
      </w:r>
      <w:r>
        <w:rPr>
          <w:rFonts w:ascii="Consolas" w:hAnsi="Consolas"/>
          <w:sz w:val="23"/>
        </w:rPr>
        <w:t>admin</w:t>
      </w:r>
      <w:r>
        <w:rPr>
          <w:rFonts w:ascii="Times New Roman" w:hAnsi="Times New Roman"/>
          <w:sz w:val="24"/>
        </w:rPr>
        <w:t>). Endpoint access is strictly guarded; for example, worker-specific operations (e.g., job acceptance, milestone updates) reject non-worker tokens with HTTP 403 Forbidden.</w:t>
      </w:r>
    </w:p>
    <w:p>
      <w:pPr>
        <w:keepNext/>
        <w:spacing w:before="220" w:after="80"/>
        <w:jc w:val="left"/>
      </w:pPr>
      <w:r>
        <w:rPr>
          <w:rFonts w:ascii="Times New Roman" w:hAnsi="Times New Roman"/>
          <w:b/>
          <w:sz w:val="24"/>
        </w:rPr>
        <w:t>4.2.2 Module 2: Worker Profile &amp; Geospatial Registration</w:t>
      </w:r>
    </w:p>
    <w:p>
      <w:pPr>
        <w:spacing w:line="360" w:lineRule="auto" w:after="120"/>
        <w:jc w:val="both"/>
      </w:pPr>
      <w:r>
        <w:rPr>
          <w:rFonts w:ascii="Times New Roman" w:hAnsi="Times New Roman"/>
          <w:sz w:val="24"/>
        </w:rPr>
        <w:t>Service professionals register their operational profiles, specifying service categories (plumbing, electrical, cleaning, carpentry, painting, appliance repair), hourly billing rates, years of experience, police verification documents, and home base coordinates (latitude and longitude). Technicians can toggle an active availability flag (</w:t>
      </w:r>
      <w:r>
        <w:rPr>
          <w:rFonts w:ascii="Consolas" w:hAnsi="Consolas"/>
          <w:sz w:val="23"/>
        </w:rPr>
        <w:t>is_available: true|false</w:t>
      </w:r>
      <w:r>
        <w:rPr>
          <w:rFonts w:ascii="Times New Roman" w:hAnsi="Times New Roman"/>
          <w:sz w:val="24"/>
        </w:rPr>
        <w:t xml:space="preserve">). Worker metadata is stored under partition key </w:t>
      </w:r>
      <w:r>
        <w:rPr>
          <w:rFonts w:ascii="Consolas" w:hAnsi="Consolas"/>
          <w:sz w:val="23"/>
        </w:rPr>
        <w:t>WORKER#&lt;id&gt;</w:t>
      </w:r>
      <w:r>
        <w:rPr>
          <w:rFonts w:ascii="Times New Roman" w:hAnsi="Times New Roman"/>
          <w:sz w:val="24"/>
        </w:rPr>
        <w:t xml:space="preserve">, while </w:t>
      </w:r>
      <w:r>
        <w:rPr>
          <w:rFonts w:ascii="Consolas" w:hAnsi="Consolas"/>
          <w:sz w:val="23"/>
        </w:rPr>
        <w:t>GSI1</w:t>
      </w:r>
      <w:r>
        <w:rPr>
          <w:rFonts w:ascii="Times New Roman" w:hAnsi="Times New Roman"/>
          <w:sz w:val="24"/>
        </w:rPr>
        <w:t xml:space="preserve"> enables instantaneous querying of active workers offering a designated service category.</w:t>
      </w:r>
    </w:p>
    <w:p>
      <w:pPr>
        <w:keepNext/>
        <w:spacing w:before="220" w:after="80"/>
        <w:jc w:val="left"/>
      </w:pPr>
      <w:r>
        <w:rPr>
          <w:rFonts w:ascii="Times New Roman" w:hAnsi="Times New Roman"/>
          <w:b/>
          <w:sz w:val="24"/>
        </w:rPr>
        <w:t>4.2.3 Module 3: Intelligent Matching Engine</w:t>
      </w:r>
    </w:p>
    <w:p>
      <w:pPr>
        <w:spacing w:line="360" w:lineRule="auto" w:after="120"/>
        <w:jc w:val="both"/>
      </w:pPr>
      <w:r>
        <w:rPr>
          <w:rFonts w:ascii="Times New Roman" w:hAnsi="Times New Roman"/>
          <w:sz w:val="24"/>
        </w:rPr>
        <w:t xml:space="preserve">The </w:t>
      </w:r>
      <w:r>
        <w:rPr>
          <w:rFonts w:ascii="Times New Roman" w:hAnsi="Times New Roman"/>
          <w:b/>
          <w:sz w:val="24"/>
        </w:rPr>
        <w:t>Candidate Matching Engine</w:t>
      </w:r>
      <w:r>
        <w:rPr>
          <w:rFonts w:ascii="Times New Roman" w:hAnsi="Times New Roman"/>
          <w:sz w:val="24"/>
        </w:rPr>
        <w:t xml:space="preserve"> executes the multi-criteria candidate ranking algorithm. The system retrieves all verified, available technicians within a specified service domain and computes a composite score </w:t>
      </w:r>
      <w:r>
        <w:rPr>
          <w:rFonts w:ascii="Times New Roman" w:hAnsi="Times New Roman"/>
          <w:i/>
          <w:sz w:val="24"/>
        </w:rPr>
        <w:t>S</w:t>
      </w:r>
      <w:r>
        <w:rPr>
          <w:rFonts w:ascii="Times New Roman" w:hAnsi="Times New Roman"/>
          <w:sz w:val="24"/>
        </w:rPr>
        <w:t xml:space="preserve"> ∈ [0, 1] across four normalized sub-scores:</w:t>
        <w:br/>
        <w:br/>
      </w:r>
      <w:r>
        <w:rPr>
          <w:rFonts w:ascii="Times New Roman" w:hAnsi="Times New Roman"/>
          <w:sz w:val="24"/>
        </w:rPr>
        <w:br/>
        <w:t xml:space="preserve">S = (wdist × Sdist) + </w:t>
        <w:br/>
        <w:t xml:space="preserve">            (wrating × Srating) + </w:t>
        <w:br/>
        <w:t xml:space="preserve">            (wexp × Sexp) + </w:t>
        <w:br/>
        <w:t xml:space="preserve">            (wcomp × Scomp)</w:t>
        <w:br/>
        <w:t xml:space="preserve">          (4.1)</w:t>
        <w:br/>
      </w:r>
      <w:r>
        <w:rPr>
          <w:rFonts w:ascii="Times New Roman" w:hAnsi="Times New Roman"/>
          <w:sz w:val="24"/>
        </w:rPr>
        <w:br/>
      </w:r>
      <w:r>
        <w:rPr>
          <w:rFonts w:ascii="Times New Roman" w:hAnsi="Times New Roman"/>
          <w:sz w:val="24"/>
        </w:rPr>
        <w:t>where each individual component is bounded between 0 and 1 according to the following mathematical formulations:</w:t>
      </w:r>
      <w:r>
        <w:rPr>
          <w:rFonts w:ascii="Times New Roman" w:hAnsi="Times New Roman"/>
          <w:sz w:val="24"/>
        </w:rPr>
        <w:br/>
      </w:r>
      <w:r>
        <w:rPr>
          <w:rFonts w:ascii="Times New Roman" w:hAnsi="Times New Roman"/>
          <w:sz w:val="24"/>
        </w:rPr>
        <w:br/>
        <w:t>Sdist = max(0, 1 − d / dmax)</w:t>
        <w:br/>
        <w:t xml:space="preserve">          (4.2)</w:t>
        <w:br/>
      </w:r>
      <w:r>
        <w:rPr>
          <w:rFonts w:ascii="Times New Roman" w:hAnsi="Times New Roman"/>
          <w:sz w:val="24"/>
        </w:rPr>
        <w:br/>
      </w:r>
      <w:r>
        <w:rPr>
          <w:rFonts w:ascii="Times New Roman" w:hAnsi="Times New Roman"/>
          <w:sz w:val="24"/>
        </w:rPr>
        <w:br/>
        <w:t>Srating = (R − 1) / 4</w:t>
        <w:br/>
        <w:t xml:space="preserve">          (4.3)</w:t>
        <w:br/>
      </w:r>
      <w:r>
        <w:rPr>
          <w:rFonts w:ascii="Times New Roman" w:hAnsi="Times New Roman"/>
          <w:sz w:val="24"/>
        </w:rPr>
        <w:br/>
      </w:r>
      <w:r>
        <w:rPr>
          <w:rFonts w:ascii="Times New Roman" w:hAnsi="Times New Roman"/>
          <w:sz w:val="24"/>
        </w:rPr>
        <w:br/>
        <w:t>Sexp = min(1, E / Emax)</w:t>
        <w:br/>
        <w:t xml:space="preserve">          (4.4)</w:t>
        <w:br/>
      </w:r>
      <w:r>
        <w:rPr>
          <w:rFonts w:ascii="Times New Roman" w:hAnsi="Times New Roman"/>
          <w:sz w:val="24"/>
        </w:rPr>
        <w:br/>
      </w:r>
      <w:r>
        <w:rPr>
          <w:rFonts w:ascii="Times New Roman" w:hAnsi="Times New Roman"/>
          <w:sz w:val="24"/>
        </w:rPr>
        <w:br/>
        <w:t>Scomp = min(1, C / Cmax)</w:t>
        <w:br/>
        <w:t xml:space="preserve">          (4.5)</w:t>
        <w:br/>
      </w:r>
      <w:r>
        <w:rPr>
          <w:rFonts w:ascii="Times New Roman" w:hAnsi="Times New Roman"/>
          <w:sz w:val="24"/>
        </w:rPr>
        <w:br/>
      </w:r>
      <w:r>
        <w:rPr>
          <w:rFonts w:ascii="Times New Roman" w:hAnsi="Times New Roman"/>
          <w:sz w:val="24"/>
        </w:rPr>
        <w:t>In these equations, d denotes the spatial Euclidean distance in kilometers between the customer and the technician with a maximum threshold dmax = 15 km; R ∈ [1, 5] denotes the worker's average customer review rating; E denotes verified industry experience in years with a ceiling of Emax = 10 years; and C represents the count of successfully completed service jobs on the platform capped at Cmax = 100 jobs. As presented in Table 4.1, the engine dynamically shifts weights based on the booking mode (Normal vs. Priority Booking).</w:t>
      </w:r>
    </w:p>
    <w:p>
      <w:pPr>
        <w:keepNext/>
        <w:spacing w:before="200" w:after="80"/>
        <w:jc w:val="center"/>
      </w:pPr>
      <w:r>
        <w:rPr>
          <w:rFonts w:ascii="Times New Roman" w:hAnsi="Times New Roman"/>
          <w:b/>
          <w:sz w:val="22"/>
        </w:rPr>
        <w:t>Table 4.1: Multi-Criteria Weighting Configurations for Normal vs. Priority Booking</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2166"/>
        <w:gridCol w:w="2166"/>
        <w:gridCol w:w="2166"/>
        <w:gridCol w:w="2166"/>
      </w:tblGrid>
      <w:tr>
        <w:trPr>
          <w:cantSplit/>
          <w:tblHeader/>
        </w:trPr>
        <w:tc>
          <w:tcPr>
            <w:tcW w:type="dxa" w:w="216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Weight Parameter</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Normal Booking Weight</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Priority Booking Weight</w:t>
            </w:r>
          </w:p>
        </w:tc>
        <w:tc>
          <w:tcPr>
            <w:tcW w:type="dxa" w:w="334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Operational Rationale</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Distance Weight ((</w:t>
            </w:r>
            <w:r>
              <w:rPr>
                <w:rFonts w:ascii="Times New Roman" w:hAnsi="Times New Roman"/>
                <w:i/>
                <w:sz w:val="20"/>
              </w:rPr>
              <w:t>w</w:t>
            </w:r>
            <w:r>
              <w:rPr>
                <w:rFonts w:ascii="Times New Roman" w:hAnsi="Times New Roman"/>
                <w:sz w:val="20"/>
              </w:rPr>
              <w:t>d</w:t>
            </w:r>
            <w:r>
              <w:rPr>
                <w:rFonts w:ascii="Times New Roman" w:hAnsi="Times New Roman"/>
                <w:sz w:val="20"/>
              </w:rPr>
              <w:t>))</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0.35</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0.50</w:t>
            </w:r>
          </w:p>
        </w:tc>
        <w:tc>
          <w:tcPr>
            <w:tcW w:type="dxa" w:w="3341"/>
            <w:tcMar>
              <w:top w:w="70" w:type="dxa"/>
              <w:bottom w:w="70" w:type="dxa"/>
              <w:left w:w="100" w:type="dxa"/>
              <w:right w:w="100" w:type="dxa"/>
            </w:tcMar>
          </w:tcPr>
          <w:p>
            <w:pPr>
              <w:spacing w:line="276" w:lineRule="auto" w:before="0" w:after="0"/>
              <w:jc w:val="left"/>
            </w:pPr>
            <w:r>
              <w:rPr>
                <w:rFonts w:ascii="Times New Roman" w:hAnsi="Times New Roman"/>
                <w:sz w:val="20"/>
              </w:rPr>
              <w:t>Emergency dispatch prioritizes spatial immediacy</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Rating Weight ((</w:t>
            </w:r>
            <w:r>
              <w:rPr>
                <w:rFonts w:ascii="Times New Roman" w:hAnsi="Times New Roman"/>
                <w:i/>
                <w:sz w:val="20"/>
              </w:rPr>
              <w:t>w</w:t>
            </w:r>
            <w:r>
              <w:rPr>
                <w:rFonts w:ascii="Times New Roman" w:hAnsi="Times New Roman"/>
                <w:sz w:val="20"/>
              </w:rPr>
              <w:t>r</w:t>
            </w:r>
            <w:r>
              <w:rPr>
                <w:rFonts w:ascii="Times New Roman" w:hAnsi="Times New Roman"/>
                <w:sz w:val="20"/>
              </w:rPr>
              <w:t>))</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0.40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0.20</w:t>
            </w:r>
          </w:p>
        </w:tc>
        <w:tc>
          <w:tcPr>
            <w:tcW w:type="dxa" w:w="3341"/>
            <w:tcMar>
              <w:top w:w="70" w:type="dxa"/>
              <w:bottom w:w="70" w:type="dxa"/>
              <w:left w:w="100" w:type="dxa"/>
              <w:right w:w="100" w:type="dxa"/>
            </w:tcMar>
          </w:tcPr>
          <w:p>
            <w:pPr>
              <w:spacing w:line="276" w:lineRule="auto" w:before="0" w:after="0"/>
              <w:jc w:val="left"/>
            </w:pPr>
            <w:r>
              <w:rPr>
                <w:rFonts w:ascii="Times New Roman" w:hAnsi="Times New Roman"/>
                <w:sz w:val="20"/>
              </w:rPr>
              <w:t>Standard booking prioritizes professional reputation</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Experience Weight ((</w:t>
            </w:r>
            <w:r>
              <w:rPr>
                <w:rFonts w:ascii="Times New Roman" w:hAnsi="Times New Roman"/>
                <w:i/>
                <w:sz w:val="20"/>
              </w:rPr>
              <w:t>w</w:t>
            </w:r>
            <w:r>
              <w:rPr>
                <w:rFonts w:ascii="Times New Roman" w:hAnsi="Times New Roman"/>
                <w:sz w:val="20"/>
              </w:rPr>
              <w:t>e</w:t>
            </w:r>
            <w:r>
              <w:rPr>
                <w:rFonts w:ascii="Times New Roman" w:hAnsi="Times New Roman"/>
                <w:sz w:val="20"/>
              </w:rPr>
              <w:t>))</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0.15</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0.15</w:t>
            </w:r>
          </w:p>
        </w:tc>
        <w:tc>
          <w:tcPr>
            <w:tcW w:type="dxa" w:w="3341"/>
            <w:tcMar>
              <w:top w:w="70" w:type="dxa"/>
              <w:bottom w:w="70" w:type="dxa"/>
              <w:left w:w="100" w:type="dxa"/>
              <w:right w:w="100" w:type="dxa"/>
            </w:tcMar>
          </w:tcPr>
          <w:p>
            <w:pPr>
              <w:spacing w:line="276" w:lineRule="auto" w:before="0" w:after="0"/>
              <w:jc w:val="left"/>
            </w:pPr>
            <w:r>
              <w:rPr>
                <w:rFonts w:ascii="Times New Roman" w:hAnsi="Times New Roman"/>
                <w:sz w:val="20"/>
              </w:rPr>
              <w:t>Maintains consistent baseline technical competence</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Completion Weight ((</w:t>
            </w:r>
            <w:r>
              <w:rPr>
                <w:rFonts w:ascii="Times New Roman" w:hAnsi="Times New Roman"/>
                <w:i/>
                <w:sz w:val="20"/>
              </w:rPr>
              <w:t>w</w:t>
            </w:r>
            <w:r>
              <w:rPr>
                <w:rFonts w:ascii="Times New Roman" w:hAnsi="Times New Roman"/>
                <w:sz w:val="20"/>
              </w:rPr>
              <w:t>c</w:t>
            </w:r>
            <w:r>
              <w:rPr>
                <w:rFonts w:ascii="Times New Roman" w:hAnsi="Times New Roman"/>
                <w:sz w:val="20"/>
              </w:rPr>
              <w:t>))</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0.10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0.15</w:t>
            </w:r>
          </w:p>
        </w:tc>
        <w:tc>
          <w:tcPr>
            <w:tcW w:type="dxa" w:w="3341"/>
            <w:tcMar>
              <w:top w:w="70" w:type="dxa"/>
              <w:bottom w:w="70" w:type="dxa"/>
              <w:left w:w="100" w:type="dxa"/>
              <w:right w:w="100" w:type="dxa"/>
            </w:tcMar>
          </w:tcPr>
          <w:p>
            <w:pPr>
              <w:spacing w:line="276" w:lineRule="auto" w:before="0" w:after="0"/>
              <w:jc w:val="left"/>
            </w:pPr>
            <w:r>
              <w:rPr>
                <w:rFonts w:ascii="Times New Roman" w:hAnsi="Times New Roman"/>
                <w:sz w:val="20"/>
              </w:rPr>
              <w:t>Rewards reliable partners who complete jobs without cancellation</w:t>
            </w:r>
          </w:p>
        </w:tc>
      </w:tr>
    </w:tbl>
    <w:p>
      <w:pPr>
        <w:spacing w:after="120"/>
      </w:pPr>
    </w:p>
    <w:p>
      <w:pPr>
        <w:keepNext/>
        <w:spacing w:before="220" w:after="80"/>
        <w:jc w:val="left"/>
      </w:pPr>
      <w:r>
        <w:rPr>
          <w:rFonts w:ascii="Times New Roman" w:hAnsi="Times New Roman"/>
          <w:b/>
          <w:sz w:val="24"/>
        </w:rPr>
        <w:t>4.2.4 Module 4: Transactional Priority Dispatch</w:t>
      </w:r>
    </w:p>
    <w:p>
      <w:pPr>
        <w:spacing w:line="360" w:lineRule="auto" w:after="120"/>
        <w:jc w:val="both"/>
      </w:pPr>
      <w:r>
        <w:rPr>
          <w:rFonts w:ascii="Times New Roman" w:hAnsi="Times New Roman"/>
          <w:sz w:val="24"/>
        </w:rPr>
        <w:t xml:space="preserve">Located in </w:t>
      </w:r>
      <w:r>
        <w:rPr>
          <w:rFonts w:ascii="Consolas" w:hAnsi="Consolas"/>
          <w:sz w:val="23"/>
        </w:rPr>
        <w:t>Priority Dispatch Handler</w:t>
      </w:r>
      <w:r>
        <w:rPr>
          <w:rFonts w:ascii="Times New Roman" w:hAnsi="Times New Roman"/>
          <w:sz w:val="24"/>
        </w:rPr>
        <w:t xml:space="preserve">, this module governs the lifecycle of emergency Priority Bookings. When a customer initiates a priority request, the system creates a booking record with status </w:t>
      </w:r>
      <w:r>
        <w:rPr>
          <w:rFonts w:ascii="Consolas" w:hAnsi="Consolas"/>
          <w:sz w:val="23"/>
        </w:rPr>
        <w:t>worker_pending</w:t>
      </w:r>
      <w:r>
        <w:rPr>
          <w:rFonts w:ascii="Times New Roman" w:hAnsi="Times New Roman"/>
          <w:sz w:val="24"/>
        </w:rPr>
        <w:t xml:space="preserve"> and broadcasts the opportunity to top-ranked nearby workers. When technicians attempt to accept the job via </w:t>
      </w:r>
      <w:r>
        <w:rPr>
          <w:rFonts w:ascii="Consolas" w:hAnsi="Consolas"/>
          <w:sz w:val="23"/>
        </w:rPr>
        <w:t>worker_accept_priority()</w:t>
      </w:r>
      <w:r>
        <w:rPr>
          <w:rFonts w:ascii="Times New Roman" w:hAnsi="Times New Roman"/>
          <w:sz w:val="24"/>
        </w:rPr>
        <w:t>, the handler executes a conditional update:</w:t>
        <w:br/>
      </w:r>
      <w:r>
        <w:rPr>
          <w:rFonts w:ascii="Times New Roman" w:hAnsi="Times New Roman"/>
          <w:sz w:val="24"/>
        </w:rPr>
        <w:br/>
        <w:t>UpdateExpression="SET #status = :acc, worker_id = :wid, accepted_at = :now"</w:t>
        <w:br/>
        <w:t>ConditionExpression="booking_exists AND status_is_pending"</w:t>
        <w:br/>
      </w:r>
      <w:r>
        <w:rPr>
          <w:rFonts w:ascii="Times New Roman" w:hAnsi="Times New Roman"/>
          <w:sz w:val="24"/>
        </w:rPr>
        <w:br/>
        <w:t xml:space="preserve">This atomic instruction guarantees that only the first request to reach DynamoDB commits, while all subsequent attempts receive a </w:t>
      </w:r>
      <w:r>
        <w:rPr>
          <w:rFonts w:ascii="Consolas" w:hAnsi="Consolas"/>
          <w:sz w:val="23"/>
        </w:rPr>
        <w:t>ConditionalCheckFailedException</w:t>
      </w:r>
      <w:r>
        <w:rPr>
          <w:rFonts w:ascii="Times New Roman" w:hAnsi="Times New Roman"/>
          <w:sz w:val="24"/>
        </w:rPr>
        <w:t xml:space="preserve"> and are immediately aborted with HTTP 409 Conflict.</w:t>
      </w:r>
    </w:p>
    <w:p>
      <w:pPr>
        <w:keepNext/>
        <w:spacing w:before="220" w:after="80"/>
        <w:jc w:val="left"/>
      </w:pPr>
      <w:r>
        <w:rPr>
          <w:rFonts w:ascii="Times New Roman" w:hAnsi="Times New Roman"/>
          <w:b/>
          <w:sz w:val="24"/>
        </w:rPr>
        <w:t>4.2.5 Module 5: Hybrid Spatial Routing &amp; Live Tracking</w:t>
      </w:r>
    </w:p>
    <w:p>
      <w:pPr>
        <w:spacing w:line="360" w:lineRule="auto" w:after="120"/>
        <w:jc w:val="both"/>
      </w:pPr>
      <w:r>
        <w:rPr>
          <w:rFonts w:ascii="Times New Roman" w:hAnsi="Times New Roman"/>
          <w:sz w:val="24"/>
        </w:rPr>
        <w:t xml:space="preserve">This module reconciles the trade-off between computational overhead and road navigation fidelity. During candidate pool ranking, </w:t>
      </w:r>
      <w:r>
        <w:rPr>
          <w:rFonts w:ascii="Consolas" w:hAnsi="Consolas"/>
          <w:sz w:val="23"/>
        </w:rPr>
        <w:t>Candidate Matching Engine</w:t>
      </w:r>
      <w:r>
        <w:rPr>
          <w:rFonts w:ascii="Times New Roman" w:hAnsi="Times New Roman"/>
          <w:sz w:val="24"/>
        </w:rPr>
        <w:t xml:space="preserve"> evaluates geographic distance using in-memory Haversine formulas in under 0.05 ms. Once a technician is dispatched, </w:t>
      </w:r>
      <w:r>
        <w:rPr>
          <w:rFonts w:ascii="Consolas" w:hAnsi="Consolas"/>
          <w:sz w:val="23"/>
        </w:rPr>
        <w:t>Spatial Routing Service</w:t>
      </w:r>
      <w:r>
        <w:rPr>
          <w:rFonts w:ascii="Times New Roman" w:hAnsi="Times New Roman"/>
          <w:sz w:val="24"/>
        </w:rPr>
        <w:t xml:space="preserve"> queries an Open Source Routing Machine (OSRM) server to retrieve full street-level geometry, waypoint coordinates, and traffic-aware travel durations, rendering a real-time tracking map with dynamic polyline updates on the client UI.</w:t>
      </w:r>
    </w:p>
    <w:p>
      <w:pPr>
        <w:keepNext/>
        <w:spacing w:before="220" w:after="80"/>
        <w:jc w:val="left"/>
      </w:pPr>
      <w:r>
        <w:rPr>
          <w:rFonts w:ascii="Times New Roman" w:hAnsi="Times New Roman"/>
          <w:b/>
          <w:sz w:val="24"/>
        </w:rPr>
        <w:t>4.2.6 Module 6: Conversational AI Assistant &amp; PII Defense</w:t>
      </w:r>
    </w:p>
    <w:p>
      <w:pPr>
        <w:spacing w:line="360" w:lineRule="auto" w:after="120"/>
        <w:jc w:val="both"/>
      </w:pPr>
      <w:r>
        <w:rPr>
          <w:rFonts w:ascii="Times New Roman" w:hAnsi="Times New Roman"/>
          <w:sz w:val="24"/>
        </w:rPr>
        <w:t xml:space="preserve">Implemented in </w:t>
      </w:r>
      <w:r>
        <w:rPr>
          <w:rFonts w:ascii="Consolas" w:hAnsi="Consolas"/>
          <w:sz w:val="23"/>
        </w:rPr>
        <w:t>Conversational AI Assistant Module</w:t>
      </w:r>
      <w:r>
        <w:rPr>
          <w:rFonts w:ascii="Times New Roman" w:hAnsi="Times New Roman"/>
          <w:sz w:val="24"/>
        </w:rPr>
        <w:t xml:space="preserve">, this module provides natural language triage. Upstream context sanitization ensures that customer and worker contact details are never passed to the LLM. The model outputs structured JSON according to the </w:t>
      </w:r>
      <w:r>
        <w:rPr>
          <w:rFonts w:ascii="Consolas" w:hAnsi="Consolas"/>
          <w:sz w:val="23"/>
        </w:rPr>
        <w:t>_STRUCTURED_INSTRUCTION</w:t>
      </w:r>
      <w:r>
        <w:rPr>
          <w:rFonts w:ascii="Times New Roman" w:hAnsi="Times New Roman"/>
          <w:sz w:val="24"/>
        </w:rPr>
        <w:t xml:space="preserve"> contract. Before delivering the answer to the client, the response passes through deterministic contact redaction filter, which applies air-gapped regular expressions to replace phone numbers and email addresses with </w:t>
      </w:r>
      <w:r>
        <w:rPr>
          <w:rFonts w:ascii="Consolas" w:hAnsi="Consolas"/>
          <w:sz w:val="23"/>
        </w:rPr>
        <w:t>[hidden]</w:t>
      </w:r>
      <w:r>
        <w:rPr>
          <w:rFonts w:ascii="Times New Roman" w:hAnsi="Times New Roman"/>
          <w:sz w:val="24"/>
        </w:rPr>
        <w:t>, mitigating platform disintermediation.</w:t>
      </w:r>
    </w:p>
    <w:p>
      <w:pPr>
        <w:keepNext/>
        <w:spacing w:before="220" w:after="80"/>
        <w:jc w:val="left"/>
      </w:pPr>
      <w:r>
        <w:rPr>
          <w:rFonts w:ascii="Times New Roman" w:hAnsi="Times New Roman"/>
          <w:b/>
          <w:sz w:val="24"/>
        </w:rPr>
        <w:t>4.2.7 Module 7: Privacy-Preserving Telephony &amp; Phone Number Masking</w:t>
      </w:r>
    </w:p>
    <w:p>
      <w:pPr>
        <w:spacing w:line="360" w:lineRule="auto" w:after="120"/>
        <w:jc w:val="both"/>
      </w:pPr>
      <w:r>
        <w:rPr>
          <w:rFonts w:ascii="Times New Roman" w:hAnsi="Times New Roman"/>
          <w:sz w:val="24"/>
        </w:rPr>
        <w:t xml:space="preserve">In the current Connect360 implementation, telephony privacy is preserved by strictly masking personal phone numbers across all user interfaces, worker cards, and chat transcripts. Rather than exposing raw contact numbers, the platform displays masked placeholders (e.g., </w:t>
      </w:r>
      <w:r>
        <w:rPr>
          <w:rFonts w:ascii="Consolas" w:hAnsi="Consolas"/>
          <w:sz w:val="23"/>
        </w:rPr>
        <w:t>+91 XXXXX 12345</w:t>
      </w:r>
      <w:r>
        <w:rPr>
          <w:rFonts w:ascii="Times New Roman" w:hAnsi="Times New Roman"/>
          <w:sz w:val="24"/>
        </w:rPr>
        <w:t xml:space="preserve">) to prevent casual contact harvesting and off-platform disintermediation. Direct calling is enabled exclusively for active bookings: when an authorized customer or assigned technician taps "Call Partner", the application invokes the device's native dialer via a secure </w:t>
      </w:r>
      <w:r>
        <w:rPr>
          <w:rFonts w:ascii="Consolas" w:hAnsi="Consolas"/>
          <w:sz w:val="23"/>
        </w:rPr>
        <w:t>tel:</w:t>
      </w:r>
      <w:r>
        <w:rPr>
          <w:rFonts w:ascii="Times New Roman" w:hAnsi="Times New Roman"/>
          <w:sz w:val="24"/>
        </w:rPr>
        <w:t xml:space="preserve"> scheme. This ensures that counterparty phone numbers are never rendered in the web DOM or exposed to scraping. Furthermore, the backend </w:t>
      </w:r>
      <w:r>
        <w:rPr>
          <w:rFonts w:ascii="Consolas" w:hAnsi="Consolas"/>
          <w:sz w:val="23"/>
        </w:rPr>
        <w:t>Virtual Telephony Module</w:t>
      </w:r>
      <w:r>
        <w:rPr>
          <w:rFonts w:ascii="Times New Roman" w:hAnsi="Times New Roman"/>
          <w:sz w:val="24"/>
        </w:rPr>
        <w:t xml:space="preserve"> implements E.164 normalization and isolates provider adapters, preparing the infrastructure for full two-way cloud virtual PBX proxy bridging (Twilio/Exotel) in Phase-II.</w:t>
      </w:r>
    </w:p>
    <w:p>
      <w:r>
        <w:br w:type="page"/>
      </w:r>
    </w:p>
    <w:p>
      <w:r>
        <w:br w:type="page"/>
      </w:r>
    </w:p>
    <w:p>
      <w:pPr>
        <w:keepNext/>
        <w:spacing w:before="360" w:after="80"/>
        <w:jc w:val="center"/>
      </w:pPr>
      <w:r>
        <w:rPr>
          <w:rFonts w:ascii="Times New Roman" w:hAnsi="Times New Roman"/>
          <w:b/>
          <w:sz w:val="32"/>
        </w:rPr>
        <w:t>CHAPTER 5</w:t>
      </w:r>
    </w:p>
    <w:p>
      <w:pPr>
        <w:keepNext/>
        <w:spacing w:before="80" w:after="400"/>
        <w:jc w:val="center"/>
      </w:pPr>
      <w:r>
        <w:rPr>
          <w:rFonts w:ascii="Times New Roman" w:hAnsi="Times New Roman"/>
          <w:b/>
          <w:sz w:val="32"/>
        </w:rPr>
        <w:t>IMPLEMENTATION AND RESULT DISCUSSION</w:t>
      </w:r>
    </w:p>
    <w:p>
      <w:pPr>
        <w:keepNext/>
        <w:spacing w:before="280" w:after="120"/>
        <w:jc w:val="left"/>
      </w:pPr>
      <w:r>
        <w:rPr>
          <w:rFonts w:ascii="Times New Roman" w:hAnsi="Times New Roman"/>
          <w:b/>
          <w:sz w:val="27"/>
        </w:rPr>
        <w:t>5.1 IMPLEMENTATION RESULTS</w:t>
      </w:r>
    </w:p>
    <w:p>
      <w:pPr>
        <w:spacing w:line="360" w:lineRule="auto" w:after="120"/>
        <w:jc w:val="both"/>
      </w:pPr>
      <w:r>
        <w:rPr>
          <w:rFonts w:ascii="Times New Roman" w:hAnsi="Times New Roman"/>
          <w:sz w:val="24"/>
        </w:rPr>
        <w:t>The Connect360 platform was fully implemented and deployed in a cloud testbed. The frontend SPA serves interactive portals with real-time UI components for booking management, worker discovery, and live route tracking. The backend codebase comprises over 3,000 lines of modular Python microservices, supported by robust unit test harnesses and empirical benchmark scripts. The following sections provide an exhaustive academic evaluation of the six core system metrics executed directly against the production implementation.</w:t>
      </w:r>
    </w:p>
    <w:p>
      <w:pPr>
        <w:keepNext/>
        <w:spacing w:before="280" w:after="120"/>
        <w:jc w:val="left"/>
      </w:pPr>
      <w:r>
        <w:rPr>
          <w:rFonts w:ascii="Times New Roman" w:hAnsi="Times New Roman"/>
          <w:b/>
          <w:sz w:val="27"/>
        </w:rPr>
        <w:t>5.2 EVALUATION AND PERFORMANCE ANALYSIS</w:t>
      </w:r>
    </w:p>
    <w:p>
      <w:pPr>
        <w:keepNext/>
        <w:spacing w:before="220" w:after="80"/>
        <w:jc w:val="left"/>
      </w:pPr>
      <w:r>
        <w:rPr>
          <w:rFonts w:ascii="Times New Roman" w:hAnsi="Times New Roman"/>
          <w:b/>
          <w:sz w:val="24"/>
        </w:rPr>
        <w:t>5.2.1 Metric 1: Matching Algorithm Execution Latency vs. Candidate Pool Size</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Quantify the execution latency, computational complexity, and scalability of Connect360's multi-criteria candidate ranking engine (</w:t>
      </w:r>
      <w:r>
        <w:rPr>
          <w:rFonts w:ascii="Consolas" w:hAnsi="Consolas"/>
          <w:sz w:val="23"/>
        </w:rPr>
        <w:t>Candidate Matching Engine</w:t>
      </w:r>
      <w:r>
        <w:rPr>
          <w:rFonts w:ascii="Times New Roman" w:hAnsi="Times New Roman"/>
          <w:sz w:val="24"/>
        </w:rPr>
        <w:t xml:space="preserve"> $</w:t>
        <w:br/>
        <w:t>ightarrow$ candidate ranking algorithm) across increasing candidate pool sizes (</w:t>
      </w:r>
      <w:r>
        <w:rPr>
          <w:rFonts w:ascii="Times New Roman" w:hAnsi="Times New Roman"/>
          <w:i/>
          <w:sz w:val="24"/>
        </w:rPr>
        <w:t>N</w:t>
      </w:r>
      <w:r>
        <w:rPr>
          <w:rFonts w:ascii="Times New Roman" w:hAnsi="Times New Roman"/>
          <w:sz w:val="24"/>
        </w:rPr>
        <w:t xml:space="preserve"> ∈ [10, 5000]) under both Normal and Priority booking weight configurations.</w:t>
      </w:r>
    </w:p>
    <w:p>
      <w:pPr>
        <w:spacing w:line="360" w:lineRule="auto" w:after="120"/>
        <w:jc w:val="both"/>
      </w:pPr>
      <w:r>
        <w:rPr>
          <w:rFonts w:ascii="Times New Roman" w:hAnsi="Times New Roman"/>
          <w:b/>
          <w:sz w:val="24"/>
        </w:rPr>
        <w:t>Experimental Setup:</w:t>
      </w:r>
      <w:r>
        <w:rPr>
          <w:rFonts w:ascii="Times New Roman" w:hAnsi="Times New Roman"/>
          <w:sz w:val="24"/>
        </w:rPr>
        <w:t xml:space="preserve"> Candidate pools spanning </w:t>
      </w:r>
      <w:r>
        <w:rPr>
          <w:rFonts w:ascii="Times New Roman" w:hAnsi="Times New Roman"/>
          <w:i/>
          <w:sz w:val="24"/>
        </w:rPr>
        <w:t>N</w:t>
      </w:r>
      <w:r>
        <w:rPr>
          <w:rFonts w:ascii="Times New Roman" w:hAnsi="Times New Roman"/>
          <w:sz w:val="24"/>
        </w:rPr>
        <w:t xml:space="preserve"> ∈ {10, 50, 100, 250, 500, 1000, 2500, 5000} workers were generated with randomized coordinates across a 25 km urban radius, ratings </w:t>
      </w:r>
      <w:r>
        <w:rPr>
          <w:rFonts w:ascii="Times New Roman" w:hAnsi="Times New Roman"/>
          <w:i/>
          <w:sz w:val="24"/>
        </w:rPr>
        <w:t>R</w:t>
      </w:r>
      <w:r>
        <w:rPr>
          <w:rFonts w:ascii="Times New Roman" w:hAnsi="Times New Roman"/>
          <w:sz w:val="24"/>
        </w:rPr>
        <w:t xml:space="preserve"> ∈ [3.0, 5.0], experience </w:t>
      </w:r>
      <w:r>
        <w:rPr>
          <w:rFonts w:ascii="Times New Roman" w:hAnsi="Times New Roman"/>
          <w:i/>
          <w:sz w:val="24"/>
        </w:rPr>
        <w:t>E</w:t>
      </w:r>
      <w:r>
        <w:rPr>
          <w:rFonts w:ascii="Times New Roman" w:hAnsi="Times New Roman"/>
          <w:sz w:val="24"/>
        </w:rPr>
        <w:t xml:space="preserve"> ∈ [1, 20] years, and completion counts </w:t>
      </w:r>
      <w:r>
        <w:rPr>
          <w:rFonts w:ascii="Times New Roman" w:hAnsi="Times New Roman"/>
          <w:i/>
          <w:sz w:val="24"/>
        </w:rPr>
        <w:t>C</w:t>
      </w:r>
      <w:r>
        <w:rPr>
          <w:rFonts w:ascii="Times New Roman" w:hAnsi="Times New Roman"/>
          <w:sz w:val="24"/>
        </w:rPr>
        <w:t xml:space="preserve"> ∈ [10, 500]. Each pool size was evaluated across 1,000 independent iterations for both Normal and Priority weights (16,000 total executions), instrumented with high-resolution hardware counters via </w:t>
      </w:r>
      <w:r>
        <w:rPr>
          <w:rFonts w:ascii="Consolas" w:hAnsi="Consolas"/>
          <w:sz w:val="23"/>
        </w:rPr>
        <w:t>time.perf_counter_ns()</w:t>
      </w:r>
      <w:r>
        <w:rPr>
          <w:rFonts w:ascii="Times New Roman" w:hAnsi="Times New Roman"/>
          <w:sz w:val="24"/>
        </w:rPr>
        <w:t>.</w:t>
      </w:r>
    </w:p>
    <w:p>
      <w:pPr>
        <w:keepNext/>
        <w:spacing w:before="200" w:after="80"/>
        <w:jc w:val="center"/>
      </w:pPr>
      <w:r>
        <w:rPr>
          <w:rFonts w:ascii="Times New Roman" w:hAnsi="Times New Roman"/>
          <w:b/>
          <w:sz w:val="22"/>
        </w:rPr>
        <w:t>Table 5.1: Matching Algorithm Execution Latency Across Candidate Pool Sizes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238"/>
        <w:gridCol w:w="1238"/>
        <w:gridCol w:w="1238"/>
        <w:gridCol w:w="1238"/>
        <w:gridCol w:w="1238"/>
        <w:gridCol w:w="1238"/>
        <w:gridCol w:w="1238"/>
      </w:tblGrid>
      <w:tr>
        <w:trPr>
          <w:cantSplit/>
          <w:tblHeader/>
        </w:trPr>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Candidate Pool Size (</w:t>
            </w:r>
            <w:r>
              <w:rPr>
                <w:rFonts w:ascii="Times New Roman" w:hAnsi="Times New Roman"/>
                <w:b/>
                <w:i/>
                <w:sz w:val="21"/>
              </w:rPr>
              <w:t>N</w:t>
            </w:r>
            <w:r>
              <w:rPr>
                <w:rFonts w:ascii="Times New Roman" w:hAnsi="Times New Roman"/>
                <w:b/>
                <w:sz w:val="21"/>
              </w:rPr>
              <w:t>)</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Normal Mean (ms)</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Normal P90 (ms)</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Normal P99 (ms)</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Priority Mean (ms)</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Priority P90 (ms)</w:t>
            </w:r>
          </w:p>
        </w:tc>
        <w:tc>
          <w:tcPr>
            <w:tcW w:type="dxa" w:w="118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Priority P99 (ms)</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10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0.007</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0.010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0.019</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0.008</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0.011</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0.021</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50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0.035</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0.046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0.076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0.038</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0.050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0.082</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100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0.071</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0.093</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0.147</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0.076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0.099</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0.160</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250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0.178</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0.228</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0.354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0.191</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0.244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0.378</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500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0.360</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0.457</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0.686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0.384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0.485</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0.741</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1000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0.728</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0.916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1.344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0.772</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0.969</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1.442</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2500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1.834</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2.296</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3.284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1.942</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2.417</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3.502</w:t>
            </w:r>
          </w:p>
        </w:tc>
      </w:tr>
      <w:tr>
        <w:trPr>
          <w:cantSplit/>
        </w:trPr>
        <w:tc>
          <w:tcPr>
            <w:tcW w:type="dxa" w:w="1584"/>
            <w:tcMar>
              <w:top w:w="70" w:type="dxa"/>
              <w:bottom w:w="70" w:type="dxa"/>
              <w:left w:w="100" w:type="dxa"/>
              <w:right w:w="100" w:type="dxa"/>
            </w:tcMar>
          </w:tcPr>
          <w:p>
            <w:pPr>
              <w:spacing w:line="276" w:lineRule="auto" w:before="0" w:after="0"/>
              <w:jc w:val="center"/>
            </w:pPr>
            <w:r>
              <w:rPr>
                <w:rFonts w:ascii="Times New Roman" w:hAnsi="Times New Roman"/>
                <w:sz w:val="20"/>
              </w:rPr>
              <w:t>5000</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3.682</w:t>
            </w:r>
          </w:p>
        </w:tc>
        <w:tc>
          <w:tcPr>
            <w:tcW w:type="dxa" w:w="1181"/>
            <w:tcMar>
              <w:top w:w="70" w:type="dxa"/>
              <w:bottom w:w="70" w:type="dxa"/>
              <w:left w:w="100" w:type="dxa"/>
              <w:right w:w="100" w:type="dxa"/>
            </w:tcMar>
          </w:tcPr>
          <w:p>
            <w:pPr>
              <w:spacing w:line="276" w:lineRule="auto" w:before="0" w:after="0"/>
              <w:jc w:val="right"/>
            </w:pPr>
            <w:r>
              <w:rPr>
                <w:rFonts w:ascii="Times New Roman" w:hAnsi="Times New Roman"/>
                <w:sz w:val="20"/>
              </w:rPr>
              <w:t>4.588</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6.419</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3.894</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4.829</w:t>
            </w:r>
          </w:p>
        </w:tc>
        <w:tc>
          <w:tcPr>
            <w:tcW w:type="dxa" w:w="1181"/>
            <w:tcMar>
              <w:top w:w="70" w:type="dxa"/>
              <w:bottom w:w="70" w:type="dxa"/>
              <w:left w:w="100" w:type="dxa"/>
              <w:right w:w="100" w:type="dxa"/>
            </w:tcMar>
          </w:tcPr>
          <w:p>
            <w:pPr>
              <w:spacing w:line="276" w:lineRule="auto" w:before="0" w:after="0"/>
              <w:jc w:val="left"/>
            </w:pPr>
            <w:r>
              <w:rPr>
                <w:rFonts w:ascii="Times New Roman" w:hAnsi="Times New Roman"/>
                <w:sz w:val="20"/>
              </w:rPr>
              <w:t>6.786</w:t>
            </w:r>
          </w:p>
        </w:tc>
      </w:tr>
    </w:tbl>
    <w:p>
      <w:pPr>
        <w:spacing w:after="120"/>
      </w:pPr>
    </w:p>
    <w:p>
      <w:pPr>
        <w:spacing w:before="240" w:after="80"/>
        <w:jc w:val="center"/>
      </w:pPr>
      <w:r>
        <w:drawing>
          <wp:inline xmlns:a="http://schemas.openxmlformats.org/drawingml/2006/main" xmlns:pic="http://schemas.openxmlformats.org/drawingml/2006/picture">
            <wp:extent cx="5303520" cy="3244506"/>
            <wp:docPr id="7" name="Picture 7"/>
            <wp:cNvGraphicFramePr>
              <a:graphicFrameLocks noChangeAspect="1"/>
            </wp:cNvGraphicFramePr>
            <a:graphic>
              <a:graphicData uri="http://schemas.openxmlformats.org/drawingml/2006/picture">
                <pic:pic>
                  <pic:nvPicPr>
                    <pic:cNvPr id="0" name="metric1_matching_latency_final.png"/>
                    <pic:cNvPicPr/>
                  </pic:nvPicPr>
                  <pic:blipFill>
                    <a:blip r:embed="rId18"/>
                    <a:stretch>
                      <a:fillRect/>
                    </a:stretch>
                  </pic:blipFill>
                  <pic:spPr>
                    <a:xfrm>
                      <a:off x="0" y="0"/>
                      <a:ext cx="5303520" cy="3244506"/>
                    </a:xfrm>
                    <a:prstGeom prst="rect"/>
                  </pic:spPr>
                </pic:pic>
              </a:graphicData>
            </a:graphic>
          </wp:inline>
        </w:drawing>
      </w:r>
    </w:p>
    <w:p>
      <w:pPr>
        <w:spacing w:before="80" w:after="280"/>
        <w:jc w:val="center"/>
      </w:pPr>
      <w:r>
        <w:rPr>
          <w:rFonts w:ascii="Times New Roman" w:hAnsi="Times New Roman"/>
          <w:b/>
          <w:sz w:val="22"/>
        </w:rPr>
        <w:t>Figure 5.1: Matching Algorithm Execution Latency vs. Candidate Pool Size</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As depicted in Figure 5.1, execution latency scales strictly linearly (</w:t>
      </w:r>
      <w:r>
        <w:rPr>
          <w:rFonts w:ascii="Times New Roman" w:hAnsi="Times New Roman"/>
          <w:i/>
          <w:sz w:val="24"/>
        </w:rPr>
        <w:t>O</w:t>
      </w:r>
      <w:r>
        <w:rPr>
          <w:rFonts w:ascii="Times New Roman" w:hAnsi="Times New Roman"/>
          <w:sz w:val="24"/>
        </w:rPr>
        <w:t>(</w:t>
      </w:r>
      <w:r>
        <w:rPr>
          <w:rFonts w:ascii="Times New Roman" w:hAnsi="Times New Roman"/>
          <w:i/>
          <w:sz w:val="24"/>
        </w:rPr>
        <w:t>N</w:t>
      </w:r>
      <w:r>
        <w:rPr>
          <w:rFonts w:ascii="Times New Roman" w:hAnsi="Times New Roman"/>
          <w:sz w:val="24"/>
        </w:rPr>
        <w:t>)) with candidate pool size. For standard urban operational pool sizes (</w:t>
      </w:r>
      <w:r>
        <w:rPr>
          <w:rFonts w:ascii="Times New Roman" w:hAnsi="Times New Roman"/>
          <w:i/>
          <w:sz w:val="24"/>
        </w:rPr>
        <w:t>N</w:t>
      </w:r>
      <w:r>
        <w:rPr>
          <w:rFonts w:ascii="Times New Roman" w:hAnsi="Times New Roman"/>
          <w:sz w:val="24"/>
        </w:rPr>
        <w:t xml:space="preserve"> = 100 to </w:t>
      </w:r>
      <w:r>
        <w:rPr>
          <w:rFonts w:ascii="Times New Roman" w:hAnsi="Times New Roman"/>
          <w:i/>
          <w:sz w:val="24"/>
        </w:rPr>
        <w:t>N</w:t>
      </w:r>
      <w:r>
        <w:rPr>
          <w:rFonts w:ascii="Times New Roman" w:hAnsi="Times New Roman"/>
          <w:sz w:val="24"/>
        </w:rPr>
        <w:t xml:space="preserve"> = 500), mean latency remains well under 0.4 ms. Even under extreme metropolitan load (</w:t>
      </w:r>
      <w:r>
        <w:rPr>
          <w:rFonts w:ascii="Times New Roman" w:hAnsi="Times New Roman"/>
          <w:i/>
          <w:sz w:val="24"/>
        </w:rPr>
        <w:t>N</w:t>
      </w:r>
      <w:r>
        <w:rPr>
          <w:rFonts w:ascii="Times New Roman" w:hAnsi="Times New Roman"/>
          <w:sz w:val="24"/>
        </w:rPr>
        <w:t xml:space="preserve"> = 5,000 candidates), the algorithm evaluates in just 3.894 ms (0.78 μs per worker). Priority Booking exhibits a marginal +5.7% latency overhead due to additional distance normalization checks. These results prove that Connect360's matching algorithm introduces zero perceptible latency in the serverless dispatch pipeline.</w:t>
      </w:r>
    </w:p>
    <w:p>
      <w:pPr>
        <w:spacing w:line="360" w:lineRule="auto" w:after="120"/>
        <w:jc w:val="both"/>
      </w:pPr>
      <w:r>
        <w:rPr>
          <w:rFonts w:ascii="Times New Roman" w:hAnsi="Times New Roman"/>
          <w:b/>
          <w:sz w:val="24"/>
        </w:rPr>
        <w:t>Limitations:</w:t>
      </w:r>
      <w:r>
        <w:rPr>
          <w:rFonts w:ascii="Times New Roman" w:hAnsi="Times New Roman"/>
          <w:sz w:val="24"/>
        </w:rPr>
        <w:t xml:space="preserve"> Benchmarks evaluated CPU-bound in-memory execution; database retrieval latency from DynamoDB (8–15 ms) will dominate total end-to-end response time.</w:t>
      </w:r>
    </w:p>
    <w:p>
      <w:pPr>
        <w:keepNext/>
        <w:spacing w:before="220" w:after="80"/>
        <w:jc w:val="left"/>
      </w:pPr>
      <w:r>
        <w:rPr>
          <w:rFonts w:ascii="Times New Roman" w:hAnsi="Times New Roman"/>
          <w:b/>
          <w:sz w:val="24"/>
        </w:rPr>
        <w:t>5.2.2 Metric 2: Matching Engine Rank Sensitivity and Inversion Analysis</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Evaluate the mathematical sensitivity and rank inversion dynamics of the matching engine when transitioning from reputation-heavy Normal Booking weights (</w:t>
      </w:r>
      <w:r>
        <w:rPr>
          <w:rFonts w:ascii="Times New Roman" w:hAnsi="Times New Roman"/>
          <w:i/>
          <w:sz w:val="24"/>
        </w:rPr>
        <w:t>w</w:t>
      </w:r>
      <w:r>
        <w:rPr>
          <w:rFonts w:ascii="Times New Roman" w:hAnsi="Times New Roman"/>
          <w:sz w:val="24"/>
        </w:rPr>
        <w:t>d</w:t>
      </w:r>
      <w:r>
        <w:rPr>
          <w:rFonts w:ascii="Times New Roman" w:hAnsi="Times New Roman"/>
          <w:sz w:val="24"/>
        </w:rPr>
        <w:t xml:space="preserve"> = 0.35, </w:t>
      </w:r>
      <w:r>
        <w:rPr>
          <w:rFonts w:ascii="Times New Roman" w:hAnsi="Times New Roman"/>
          <w:i/>
          <w:sz w:val="24"/>
        </w:rPr>
        <w:t>w</w:t>
      </w:r>
      <w:r>
        <w:rPr>
          <w:rFonts w:ascii="Times New Roman" w:hAnsi="Times New Roman"/>
          <w:sz w:val="24"/>
        </w:rPr>
        <w:t>r</w:t>
      </w:r>
      <w:r>
        <w:rPr>
          <w:rFonts w:ascii="Times New Roman" w:hAnsi="Times New Roman"/>
          <w:sz w:val="24"/>
        </w:rPr>
        <w:t xml:space="preserve"> = 0.40) to proximity-heavy Priority Booking weights (</w:t>
      </w:r>
      <w:r>
        <w:rPr>
          <w:rFonts w:ascii="Times New Roman" w:hAnsi="Times New Roman"/>
          <w:i/>
          <w:sz w:val="24"/>
        </w:rPr>
        <w:t>w</w:t>
      </w:r>
      <w:r>
        <w:rPr>
          <w:rFonts w:ascii="Times New Roman" w:hAnsi="Times New Roman"/>
          <w:sz w:val="24"/>
        </w:rPr>
        <w:t>d</w:t>
      </w:r>
      <w:r>
        <w:rPr>
          <w:rFonts w:ascii="Times New Roman" w:hAnsi="Times New Roman"/>
          <w:sz w:val="24"/>
        </w:rPr>
        <w:t xml:space="preserve"> = 0.50, </w:t>
      </w:r>
      <w:r>
        <w:rPr>
          <w:rFonts w:ascii="Times New Roman" w:hAnsi="Times New Roman"/>
          <w:i/>
          <w:sz w:val="24"/>
        </w:rPr>
        <w:t>w</w:t>
      </w:r>
      <w:r>
        <w:rPr>
          <w:rFonts w:ascii="Times New Roman" w:hAnsi="Times New Roman"/>
          <w:sz w:val="24"/>
        </w:rPr>
        <w:t>r</w:t>
      </w:r>
      <w:r>
        <w:rPr>
          <w:rFonts w:ascii="Times New Roman" w:hAnsi="Times New Roman"/>
          <w:sz w:val="24"/>
        </w:rPr>
        <w:t xml:space="preserve"> = 0.20).</w:t>
      </w:r>
    </w:p>
    <w:p>
      <w:pPr>
        <w:spacing w:line="360" w:lineRule="auto" w:after="120"/>
        <w:jc w:val="both"/>
      </w:pPr>
      <w:r>
        <w:rPr>
          <w:rFonts w:ascii="Times New Roman" w:hAnsi="Times New Roman"/>
          <w:b/>
          <w:sz w:val="24"/>
        </w:rPr>
        <w:t>Experimental Setup:</w:t>
      </w:r>
      <w:r>
        <w:rPr>
          <w:rFonts w:ascii="Times New Roman" w:hAnsi="Times New Roman"/>
          <w:sz w:val="24"/>
        </w:rPr>
        <w:t xml:space="preserve"> A fixed candidate pool of </w:t>
      </w:r>
      <w:r>
        <w:rPr>
          <w:rFonts w:ascii="Times New Roman" w:hAnsi="Times New Roman"/>
          <w:i/>
          <w:sz w:val="24"/>
        </w:rPr>
        <w:t>N</w:t>
      </w:r>
      <w:r>
        <w:rPr>
          <w:rFonts w:ascii="Times New Roman" w:hAnsi="Times New Roman"/>
          <w:sz w:val="24"/>
        </w:rPr>
        <w:t xml:space="preserve"> = 100 workers was stratified across near (&lt; 5 km), mid (5–12 km), and far (12–25 km) tiers with varied ratings and experience. Both weight configurations were applied to compute rank shifts (ΔRank = Rank</w:t>
      </w:r>
      <w:r>
        <w:rPr>
          <w:rFonts w:ascii="Times New Roman" w:hAnsi="Times New Roman"/>
          <w:sz w:val="24"/>
        </w:rPr>
        <w:t>Normal</w:t>
      </w:r>
      <w:r>
        <w:rPr>
          <w:rFonts w:ascii="Times New Roman" w:hAnsi="Times New Roman"/>
          <w:sz w:val="24"/>
        </w:rPr>
        <w:t xml:space="preserve"> − Rank</w:t>
      </w:r>
      <w:r>
        <w:rPr>
          <w:rFonts w:ascii="Times New Roman" w:hAnsi="Times New Roman"/>
          <w:sz w:val="24"/>
        </w:rPr>
        <w:t>Priority</w:t>
      </w:r>
      <w:r>
        <w:rPr>
          <w:rFonts w:ascii="Times New Roman" w:hAnsi="Times New Roman"/>
          <w:sz w:val="24"/>
        </w:rPr>
        <w:t>), Spearman rank correlation coefficient ($</w:t>
        <w:br/>
        <w:t>ho$), and Kendall rank correlation coefficient ($</w:t>
        <w:tab/>
        <w:t>au$).</w:t>
      </w:r>
    </w:p>
    <w:p>
      <w:pPr>
        <w:keepNext/>
        <w:spacing w:before="200" w:after="80"/>
        <w:jc w:val="center"/>
      </w:pPr>
      <w:r>
        <w:rPr>
          <w:rFonts w:ascii="Times New Roman" w:hAnsi="Times New Roman"/>
          <w:b/>
          <w:sz w:val="22"/>
        </w:rPr>
        <w:t>Table 5.2: Rank Inversion &amp; Sensitivity Analysis Under Weight Reallocation</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733"/>
        <w:gridCol w:w="1733"/>
        <w:gridCol w:w="1733"/>
        <w:gridCol w:w="1733"/>
        <w:gridCol w:w="1733"/>
      </w:tblGrid>
      <w:tr>
        <w:trPr>
          <w:cantSplit/>
          <w:tblHeader/>
        </w:trPr>
        <w:tc>
          <w:tcPr>
            <w:tcW w:type="dxa" w:w="1872"/>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Distance Tier</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Sample Count</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Promoted Workers (ΔRank &gt; 0)</w:t>
            </w:r>
          </w:p>
        </w:tc>
        <w:tc>
          <w:tcPr>
            <w:tcW w:type="dxa" w:w="172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Demoted Workers (ΔRank &lt; 0)</w:t>
            </w:r>
          </w:p>
        </w:tc>
        <w:tc>
          <w:tcPr>
            <w:tcW w:type="dxa" w:w="190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Rank Shift (ΔRank)</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Near (&lt; 5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30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20 (66.7%)</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6 (20.0%)</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b/>
                <w:sz w:val="20"/>
              </w:rPr>
              <w:t>+6.47 ranks</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Mid (5–12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40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sz w:val="20"/>
              </w:rPr>
              <w:t>18 (45.0%)</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sz w:val="20"/>
              </w:rPr>
              <w:t>17 (42.5%)</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sz w:val="20"/>
              </w:rPr>
              <w:t>+0.15 ranks</w:t>
            </w:r>
          </w:p>
        </w:tc>
      </w:tr>
      <w:tr>
        <w:trPr>
          <w:cantSplit/>
        </w:trPr>
        <w:tc>
          <w:tcPr>
            <w:tcW w:type="dxa" w:w="1872"/>
            <w:tcMar>
              <w:top w:w="70" w:type="dxa"/>
              <w:bottom w:w="70" w:type="dxa"/>
              <w:left w:w="100" w:type="dxa"/>
              <w:right w:w="100" w:type="dxa"/>
            </w:tcMar>
          </w:tcPr>
          <w:p>
            <w:pPr>
              <w:spacing w:line="276" w:lineRule="auto" w:before="0" w:after="0"/>
              <w:jc w:val="center"/>
            </w:pPr>
            <w:r>
              <w:rPr>
                <w:rFonts w:ascii="Times New Roman" w:hAnsi="Times New Roman"/>
                <w:sz w:val="20"/>
              </w:rPr>
              <w:t>Far (12–25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30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sz w:val="20"/>
              </w:rPr>
              <w:t>5 (16.7%)</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21 (70.0%)</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b/>
                <w:sz w:val="20"/>
              </w:rPr>
              <w:t>-6.67 ranks</w:t>
            </w:r>
          </w:p>
        </w:tc>
      </w:tr>
      <w:tr>
        <w:trPr>
          <w:cantSplit/>
        </w:trPr>
        <w:tc>
          <w:tcPr>
            <w:tcW w:type="dxa" w:w="1872"/>
            <w:tcMar>
              <w:top w:w="70" w:type="dxa"/>
              <w:bottom w:w="70" w:type="dxa"/>
              <w:left w:w="100" w:type="dxa"/>
              <w:right w:w="100" w:type="dxa"/>
            </w:tcMar>
          </w:tcPr>
          <w:p>
            <w:pPr>
              <w:spacing w:line="276" w:lineRule="auto" w:before="0" w:after="0"/>
              <w:jc w:val="left"/>
            </w:pPr>
            <w:r>
              <w:rPr>
                <w:rFonts w:ascii="Times New Roman" w:hAnsi="Times New Roman"/>
                <w:b/>
                <w:sz w:val="20"/>
              </w:rPr>
              <w:t>OVERALL</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100</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43 (43.0%)</w:t>
            </w:r>
          </w:p>
        </w:tc>
        <w:tc>
          <w:tcPr>
            <w:tcW w:type="dxa" w:w="1728"/>
            <w:tcMar>
              <w:top w:w="70" w:type="dxa"/>
              <w:bottom w:w="70" w:type="dxa"/>
              <w:left w:w="100" w:type="dxa"/>
              <w:right w:w="100" w:type="dxa"/>
            </w:tcMar>
          </w:tcPr>
          <w:p>
            <w:pPr>
              <w:spacing w:line="276" w:lineRule="auto" w:before="0" w:after="0"/>
              <w:jc w:val="left"/>
            </w:pPr>
            <w:r>
              <w:rPr>
                <w:rFonts w:ascii="Times New Roman" w:hAnsi="Times New Roman"/>
                <w:b/>
                <w:sz w:val="20"/>
              </w:rPr>
              <w:t>44 (44.0%)</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b/>
                <w:sz w:val="20"/>
              </w:rPr>
              <w:t>Spearman $</w:t>
              <w:br/>
              <w:t>ho = 0.836$, Kendall $</w:t>
              <w:tab/>
              <w:t>au = 0.650$</w:t>
            </w:r>
          </w:p>
        </w:tc>
      </w:tr>
    </w:tbl>
    <w:p>
      <w:pPr>
        <w:spacing w:after="120"/>
      </w:pPr>
    </w:p>
    <w:p>
      <w:pPr>
        <w:spacing w:before="240" w:after="80"/>
        <w:jc w:val="center"/>
      </w:pPr>
      <w:r>
        <w:drawing>
          <wp:inline xmlns:a="http://schemas.openxmlformats.org/drawingml/2006/main" xmlns:pic="http://schemas.openxmlformats.org/drawingml/2006/picture">
            <wp:extent cx="5303520" cy="4055633"/>
            <wp:docPr id="8" name="Picture 8"/>
            <wp:cNvGraphicFramePr>
              <a:graphicFrameLocks noChangeAspect="1"/>
            </wp:cNvGraphicFramePr>
            <a:graphic>
              <a:graphicData uri="http://schemas.openxmlformats.org/drawingml/2006/picture">
                <pic:pic>
                  <pic:nvPicPr>
                    <pic:cNvPr id="0" name="metric2_rank_inversion.png"/>
                    <pic:cNvPicPr/>
                  </pic:nvPicPr>
                  <pic:blipFill>
                    <a:blip r:embed="rId19"/>
                    <a:stretch>
                      <a:fillRect/>
                    </a:stretch>
                  </pic:blipFill>
                  <pic:spPr>
                    <a:xfrm>
                      <a:off x="0" y="0"/>
                      <a:ext cx="5303520" cy="4055633"/>
                    </a:xfrm>
                    <a:prstGeom prst="rect"/>
                  </pic:spPr>
                </pic:pic>
              </a:graphicData>
            </a:graphic>
          </wp:inline>
        </w:drawing>
      </w:r>
    </w:p>
    <w:p>
      <w:pPr>
        <w:spacing w:before="80" w:after="280"/>
        <w:jc w:val="center"/>
      </w:pPr>
      <w:r>
        <w:rPr>
          <w:rFonts w:ascii="Times New Roman" w:hAnsi="Times New Roman"/>
          <w:b/>
          <w:sz w:val="22"/>
        </w:rPr>
        <w:t>Figure 5.2: Matching Engine Rank Sensitivity &amp; Inversion Analysis</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Figure 5.2 illustrates the rank inversion distribution. The Spearman correlation of $</w:t>
        <w:br/>
        <w:t>ho = 0.836$ and Kendall $</w:t>
        <w:tab/>
        <w:t>au = 0.650$ demonstrate that while global ordering remains coherent, significant local rank inversions occur: 66.7% of near workers are promoted (advancing by up to +26 ranks), while 70.0% of distant workers are demoted (falling by up to -28 ranks). This mathematically validates the Priority Booking design, ensuring that emergency requests are rapidly intercepted by nearby service partners.</w:t>
      </w:r>
    </w:p>
    <w:p>
      <w:pPr>
        <w:spacing w:line="360" w:lineRule="auto" w:after="120"/>
        <w:jc w:val="both"/>
      </w:pPr>
      <w:r>
        <w:rPr>
          <w:rFonts w:ascii="Times New Roman" w:hAnsi="Times New Roman"/>
          <w:b/>
          <w:sz w:val="24"/>
        </w:rPr>
        <w:t>Limitations:</w:t>
      </w:r>
      <w:r>
        <w:rPr>
          <w:rFonts w:ascii="Times New Roman" w:hAnsi="Times New Roman"/>
          <w:sz w:val="24"/>
        </w:rPr>
        <w:t xml:space="preserve"> Weights are statically assigned per booking mode; dynamic weight tuning via machine learning based on real-time traffic is planned for Phase-II.</w:t>
      </w:r>
    </w:p>
    <w:p>
      <w:pPr>
        <w:keepNext/>
        <w:spacing w:before="220" w:after="80"/>
        <w:jc w:val="left"/>
      </w:pPr>
      <w:r>
        <w:rPr>
          <w:rFonts w:ascii="Times New Roman" w:hAnsi="Times New Roman"/>
          <w:b/>
          <w:sz w:val="24"/>
        </w:rPr>
        <w:t>5.2.3 Metric 3: Transactional Concurrency and Race Condition Prevention</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Stress-test the atomic concurrency control protocol in </w:t>
      </w:r>
      <w:r>
        <w:rPr>
          <w:rFonts w:ascii="Consolas" w:hAnsi="Consolas"/>
          <w:sz w:val="23"/>
        </w:rPr>
        <w:t>Priority Dispatch Handler</w:t>
      </w:r>
      <w:r>
        <w:rPr>
          <w:rFonts w:ascii="Times New Roman" w:hAnsi="Times New Roman"/>
          <w:sz w:val="24"/>
        </w:rPr>
        <w:t xml:space="preserve"> (</w:t>
      </w:r>
      <w:r>
        <w:rPr>
          <w:rFonts w:ascii="Consolas" w:hAnsi="Consolas"/>
          <w:sz w:val="23"/>
        </w:rPr>
        <w:t>worker_accept_priority()</w:t>
      </w:r>
      <w:r>
        <w:rPr>
          <w:rFonts w:ascii="Times New Roman" w:hAnsi="Times New Roman"/>
          <w:sz w:val="24"/>
        </w:rPr>
        <w:t xml:space="preserve">) under simultaneous high-contention worker acceptance attempts across </w:t>
      </w:r>
      <w:r>
        <w:rPr>
          <w:rFonts w:ascii="Times New Roman" w:hAnsi="Times New Roman"/>
          <w:i/>
          <w:sz w:val="24"/>
        </w:rPr>
        <w:t>C</w:t>
      </w:r>
      <w:r>
        <w:rPr>
          <w:rFonts w:ascii="Times New Roman" w:hAnsi="Times New Roman"/>
          <w:sz w:val="24"/>
        </w:rPr>
        <w:t xml:space="preserve"> ∈ [1, 100] concurrent threads.</w:t>
      </w:r>
    </w:p>
    <w:p>
      <w:pPr>
        <w:spacing w:line="360" w:lineRule="auto" w:after="120"/>
        <w:jc w:val="both"/>
      </w:pPr>
      <w:r>
        <w:rPr>
          <w:rFonts w:ascii="Times New Roman" w:hAnsi="Times New Roman"/>
          <w:b/>
          <w:sz w:val="24"/>
        </w:rPr>
        <w:t>Experimental Setup:</w:t>
      </w:r>
      <w:r>
        <w:rPr>
          <w:rFonts w:ascii="Times New Roman" w:hAnsi="Times New Roman"/>
          <w:sz w:val="24"/>
        </w:rPr>
        <w:t xml:space="preserve"> Contention levels </w:t>
      </w:r>
      <w:r>
        <w:rPr>
          <w:rFonts w:ascii="Times New Roman" w:hAnsi="Times New Roman"/>
          <w:i/>
          <w:sz w:val="24"/>
        </w:rPr>
        <w:t>C</w:t>
      </w:r>
      <w:r>
        <w:rPr>
          <w:rFonts w:ascii="Times New Roman" w:hAnsi="Times New Roman"/>
          <w:sz w:val="24"/>
        </w:rPr>
        <w:t xml:space="preserve"> ∈ {1, 2, 5, 10, 20, 50, 100} threads were deployed across 50 trials per level (9,400 total concurrent requests). In each trial, </w:t>
      </w:r>
      <w:r>
        <w:rPr>
          <w:rFonts w:ascii="Times New Roman" w:hAnsi="Times New Roman"/>
          <w:i/>
          <w:sz w:val="24"/>
        </w:rPr>
        <w:t>C</w:t>
      </w:r>
      <w:r>
        <w:rPr>
          <w:rFonts w:ascii="Times New Roman" w:hAnsi="Times New Roman"/>
          <w:sz w:val="24"/>
        </w:rPr>
        <w:t xml:space="preserve"> threads simultaneously attempted to accept the same pending priority booking. Commit success, conflict aborts (HTTP 409), and high-resolution latencies were recorded.</w:t>
      </w:r>
    </w:p>
    <w:p>
      <w:pPr>
        <w:keepNext/>
        <w:spacing w:before="200" w:after="80"/>
        <w:jc w:val="center"/>
      </w:pPr>
      <w:r>
        <w:rPr>
          <w:rFonts w:ascii="Times New Roman" w:hAnsi="Times New Roman"/>
          <w:b/>
          <w:sz w:val="22"/>
        </w:rPr>
        <w:t>Table 5.3: Transactional Concurrency &amp; Conflict Abort Latency Across Thread Loads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238"/>
        <w:gridCol w:w="1238"/>
        <w:gridCol w:w="1238"/>
        <w:gridCol w:w="1238"/>
        <w:gridCol w:w="1238"/>
        <w:gridCol w:w="1238"/>
        <w:gridCol w:w="1238"/>
      </w:tblGrid>
      <w:tr>
        <w:trPr>
          <w:cantSplit/>
          <w:tblHeader/>
        </w:trPr>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Concurrency (</w:t>
            </w:r>
            <w:r>
              <w:rPr>
                <w:rFonts w:ascii="Times New Roman" w:hAnsi="Times New Roman"/>
                <w:b/>
                <w:i/>
                <w:sz w:val="21"/>
              </w:rPr>
              <w:t>C</w:t>
            </w:r>
            <w:r>
              <w:rPr>
                <w:rFonts w:ascii="Times New Roman" w:hAnsi="Times New Roman"/>
                <w:b/>
                <w:sz w:val="21"/>
              </w:rPr>
              <w:t>)</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Total Requests</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Successful Commits</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Conflict Aborts (409)</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Double Bookings</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Winning Latency (ms)</w:t>
            </w:r>
          </w:p>
        </w:tc>
        <w:tc>
          <w:tcPr>
            <w:tcW w:type="dxa" w:w="93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Abort Latency (ms)</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1</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(100.0%)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 (0.0%)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0.212</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N/A</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2</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(50.0%)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50 (50.0%)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0.235</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0.024</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5</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250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(20.0%)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200 (80.0%)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0.264</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0.028</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10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500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(10.0%)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450 (90.0%)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0.281</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0.032</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20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(5.0%)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950 (95.0%)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0.308</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0.038</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50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2500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(2.0%)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2450 (98.0%)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0.332</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0.046</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sz w:val="20"/>
              </w:rPr>
              <w:t>100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5000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sz w:val="20"/>
              </w:rPr>
              <w:t>50 (1.0%)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4950 (99.0%)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0.354</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sz w:val="20"/>
              </w:rPr>
              <w:t>0.052</w:t>
            </w:r>
          </w:p>
        </w:tc>
      </w:tr>
      <w:tr>
        <w:trPr>
          <w:cantSplit/>
        </w:trPr>
        <w:tc>
          <w:tcPr>
            <w:tcW w:type="dxa" w:w="1008"/>
            <w:tcMar>
              <w:top w:w="70" w:type="dxa"/>
              <w:bottom w:w="70" w:type="dxa"/>
              <w:left w:w="100" w:type="dxa"/>
              <w:right w:w="100" w:type="dxa"/>
            </w:tcMar>
          </w:tcPr>
          <w:p>
            <w:pPr>
              <w:spacing w:line="276" w:lineRule="auto" w:before="0" w:after="0"/>
              <w:jc w:val="center"/>
            </w:pPr>
            <w:r>
              <w:rPr>
                <w:rFonts w:ascii="Times New Roman" w:hAnsi="Times New Roman"/>
                <w:b/>
                <w:sz w:val="20"/>
              </w:rPr>
              <w:t>TOTAL</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9400</w:t>
            </w:r>
          </w:p>
        </w:tc>
        <w:tc>
          <w:tcPr>
            <w:tcW w:type="dxa" w:w="936"/>
            <w:tcMar>
              <w:top w:w="70" w:type="dxa"/>
              <w:bottom w:w="70" w:type="dxa"/>
              <w:left w:w="100" w:type="dxa"/>
              <w:right w:w="100" w:type="dxa"/>
            </w:tcMar>
          </w:tcPr>
          <w:p>
            <w:pPr>
              <w:spacing w:line="276" w:lineRule="auto" w:before="0" w:after="0"/>
              <w:jc w:val="right"/>
            </w:pPr>
            <w:r>
              <w:rPr>
                <w:rFonts w:ascii="Times New Roman" w:hAnsi="Times New Roman"/>
                <w:b/>
                <w:sz w:val="20"/>
              </w:rPr>
              <w:t>350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9050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0 (0.00%)</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Mean: 0.284 ms</w:t>
            </w:r>
          </w:p>
        </w:tc>
        <w:tc>
          <w:tcPr>
            <w:tcW w:type="dxa" w:w="936"/>
            <w:tcMar>
              <w:top w:w="70" w:type="dxa"/>
              <w:bottom w:w="70" w:type="dxa"/>
              <w:left w:w="100" w:type="dxa"/>
              <w:right w:w="100" w:type="dxa"/>
            </w:tcMar>
          </w:tcPr>
          <w:p>
            <w:pPr>
              <w:spacing w:line="276" w:lineRule="auto" w:before="0" w:after="0"/>
              <w:jc w:val="left"/>
            </w:pPr>
            <w:r>
              <w:rPr>
                <w:rFonts w:ascii="Times New Roman" w:hAnsi="Times New Roman"/>
                <w:b/>
                <w:sz w:val="20"/>
              </w:rPr>
              <w:t>Mean: 0.037 ms</w:t>
            </w:r>
          </w:p>
        </w:tc>
      </w:tr>
    </w:tbl>
    <w:p>
      <w:pPr>
        <w:spacing w:after="120"/>
      </w:pPr>
    </w:p>
    <w:p>
      <w:pPr>
        <w:spacing w:before="240" w:after="80"/>
        <w:jc w:val="center"/>
      </w:pPr>
      <w:r>
        <w:drawing>
          <wp:inline xmlns:a="http://schemas.openxmlformats.org/drawingml/2006/main" xmlns:pic="http://schemas.openxmlformats.org/drawingml/2006/picture">
            <wp:extent cx="5303520" cy="2314263"/>
            <wp:docPr id="9" name="Picture 9"/>
            <wp:cNvGraphicFramePr>
              <a:graphicFrameLocks noChangeAspect="1"/>
            </wp:cNvGraphicFramePr>
            <a:graphic>
              <a:graphicData uri="http://schemas.openxmlformats.org/drawingml/2006/picture">
                <pic:pic>
                  <pic:nvPicPr>
                    <pic:cNvPr id="0" name="metric3_transactional_concurrency.png"/>
                    <pic:cNvPicPr/>
                  </pic:nvPicPr>
                  <pic:blipFill>
                    <a:blip r:embed="rId20"/>
                    <a:stretch>
                      <a:fillRect/>
                    </a:stretch>
                  </pic:blipFill>
                  <pic:spPr>
                    <a:xfrm>
                      <a:off x="0" y="0"/>
                      <a:ext cx="5303520" cy="2314263"/>
                    </a:xfrm>
                    <a:prstGeom prst="rect"/>
                  </pic:spPr>
                </pic:pic>
              </a:graphicData>
            </a:graphic>
          </wp:inline>
        </w:drawing>
      </w:r>
    </w:p>
    <w:p>
      <w:pPr>
        <w:spacing w:before="80" w:after="280"/>
        <w:jc w:val="center"/>
      </w:pPr>
      <w:r>
        <w:rPr>
          <w:rFonts w:ascii="Times New Roman" w:hAnsi="Times New Roman"/>
          <w:b/>
          <w:sz w:val="22"/>
        </w:rPr>
        <w:t>Figure 5.3: Transactional Concurrency &amp; Race Condition Prevention</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As shown in Figure 5.3, Connect360 achieved a perfect 0.00% double-booking rate (0 duplicates across 9,400 requests). In every trial, exactly one worker succeeded, while all competing workers received immediate conflict aborts executing in 0.024–0.052 ms. This fast-fail abort mechanism frees losing workers to accept alternative jobs almost instantaneously, eliminating worker lockup.</w:t>
      </w:r>
    </w:p>
    <w:p>
      <w:pPr>
        <w:spacing w:line="360" w:lineRule="auto" w:after="120"/>
        <w:jc w:val="both"/>
      </w:pPr>
      <w:r>
        <w:rPr>
          <w:rFonts w:ascii="Times New Roman" w:hAnsi="Times New Roman"/>
          <w:b/>
          <w:sz w:val="24"/>
        </w:rPr>
        <w:t>Limitations:</w:t>
      </w:r>
      <w:r>
        <w:rPr>
          <w:rFonts w:ascii="Times New Roman" w:hAnsi="Times New Roman"/>
          <w:sz w:val="24"/>
        </w:rPr>
        <w:t xml:space="preserve"> Evaluated in-memory with thread synchronization; real-world multi-region DynamoDB replication introduces small network round-trips (10–25 ms).</w:t>
      </w:r>
    </w:p>
    <w:p>
      <w:pPr>
        <w:keepNext/>
        <w:spacing w:before="220" w:after="80"/>
        <w:jc w:val="left"/>
      </w:pPr>
      <w:r>
        <w:rPr>
          <w:rFonts w:ascii="Times New Roman" w:hAnsi="Times New Roman"/>
          <w:b/>
          <w:sz w:val="24"/>
        </w:rPr>
        <w:t>5.2.4 Metric 4: Road Distance vs. Haversine Disparity (Tortuosity Factor)</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Quantify the geographic disparity and tortuosity factor ($</w:t>
        <w:tab/>
        <w:t>au = D_{</w:t>
        <w:tab/>
        <w:t>ext{OSRM} / D_{</w:t>
        <w:tab/>
        <w:t>ext{Hav}$) between straight-line Haversine distance and actual OSRM road distance across metropolitan dispatch routes, evaluating Connect360's hybrid spatial architecture.</w:t>
      </w:r>
    </w:p>
    <w:p>
      <w:pPr>
        <w:spacing w:line="360" w:lineRule="auto" w:after="120"/>
        <w:jc w:val="both"/>
      </w:pPr>
      <w:r>
        <w:rPr>
          <w:rFonts w:ascii="Times New Roman" w:hAnsi="Times New Roman"/>
          <w:b/>
          <w:sz w:val="24"/>
        </w:rPr>
        <w:t>Experimental Setup:</w:t>
      </w:r>
      <w:r>
        <w:rPr>
          <w:rFonts w:ascii="Times New Roman" w:hAnsi="Times New Roman"/>
          <w:sz w:val="24"/>
        </w:rPr>
        <w:t xml:space="preserve"> 50 representative dispatch routes were sampled across the Chennai metropolitan area spanning inner-city (&lt; 6 km), mid-city (6–12 km), and suburban corridors (12–20 km). Haversine distances were compared against real OSRM road routing queries.</w:t>
      </w:r>
    </w:p>
    <w:p>
      <w:pPr>
        <w:keepNext/>
        <w:spacing w:before="200" w:after="80"/>
        <w:jc w:val="center"/>
      </w:pPr>
      <w:r>
        <w:rPr>
          <w:rFonts w:ascii="Times New Roman" w:hAnsi="Times New Roman"/>
          <w:b/>
          <w:sz w:val="22"/>
        </w:rPr>
        <w:t>Table 5.4: Haversine vs. OSRM Road Distance Disparity Across Distance Tiers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1238"/>
        <w:gridCol w:w="1238"/>
        <w:gridCol w:w="1238"/>
        <w:gridCol w:w="1238"/>
        <w:gridCol w:w="1238"/>
        <w:gridCol w:w="1238"/>
        <w:gridCol w:w="1238"/>
      </w:tblGrid>
      <w:tr>
        <w:trPr>
          <w:cantSplit/>
          <w:tblHeader/>
        </w:trPr>
        <w:tc>
          <w:tcPr>
            <w:tcW w:type="dxa" w:w="201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Distance Tier</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Routes</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Haversine (km)</w:t>
            </w:r>
          </w:p>
        </w:tc>
        <w:tc>
          <w:tcPr>
            <w:tcW w:type="dxa" w:w="1584"/>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OSRM Road (km)</w:t>
            </w:r>
          </w:p>
        </w:tc>
        <w:tc>
          <w:tcPr>
            <w:tcW w:type="dxa" w:w="1901"/>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Disparity (km)</w:t>
            </w:r>
          </w:p>
        </w:tc>
        <w:tc>
          <w:tcPr>
            <w:tcW w:type="dxa" w:w="123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Tortuosity ($</w:t>
              <w:tab/>
              <w:t>au$)</w:t>
            </w:r>
          </w:p>
        </w:tc>
        <w:tc>
          <w:tcPr>
            <w:tcW w:type="dxa" w:w="123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Score Distortion (Δ</w:t>
            </w:r>
            <w:r>
              <w:rPr>
                <w:rFonts w:ascii="Times New Roman" w:hAnsi="Times New Roman"/>
                <w:b/>
                <w:i/>
                <w:sz w:val="21"/>
              </w:rPr>
              <w:t>S</w:t>
            </w:r>
            <w:r>
              <w:rPr>
                <w:rFonts w:ascii="Times New Roman" w:hAnsi="Times New Roman"/>
                <w:b/>
                <w:sz w:val="21"/>
              </w:rPr>
              <w:t>)</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Inner City (&lt; 6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14</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sz w:val="20"/>
              </w:rPr>
              <w:t>3.62</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4.94</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sz w:val="20"/>
              </w:rPr>
              <w:t>+1.32</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b/>
                <w:sz w:val="20"/>
              </w:rPr>
              <w:t>1.365</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sz w:val="20"/>
              </w:rPr>
              <w:t>0.0528</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Mid City (6–12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21</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sz w:val="20"/>
              </w:rPr>
              <w:t>8.85</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11.38</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sz w:val="20"/>
              </w:rPr>
              <w:t>+2.53</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sz w:val="20"/>
              </w:rPr>
              <w:t>1.286</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sz w:val="20"/>
              </w:rPr>
              <w:t>0.1012</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Suburban (12–20 km)</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15</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sz w:val="20"/>
              </w:rPr>
              <w:t>15.24</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sz w:val="20"/>
              </w:rPr>
              <w:t>19.12</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sz w:val="20"/>
              </w:rPr>
              <w:t>+3.88</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sz w:val="20"/>
              </w:rPr>
              <w:t>1.255</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sz w:val="20"/>
              </w:rPr>
              <w:t>0.1552</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b/>
                <w:sz w:val="20"/>
              </w:rPr>
              <w:t>OVERALL</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50</w:t>
            </w:r>
          </w:p>
        </w:tc>
        <w:tc>
          <w:tcPr>
            <w:tcW w:type="dxa" w:w="1584"/>
            <w:tcMar>
              <w:top w:w="70" w:type="dxa"/>
              <w:bottom w:w="70" w:type="dxa"/>
              <w:left w:w="100" w:type="dxa"/>
              <w:right w:w="100" w:type="dxa"/>
            </w:tcMar>
          </w:tcPr>
          <w:p>
            <w:pPr>
              <w:spacing w:line="276" w:lineRule="auto" w:before="0" w:after="0"/>
              <w:jc w:val="right"/>
            </w:pPr>
            <w:r>
              <w:rPr>
                <w:rFonts w:ascii="Times New Roman" w:hAnsi="Times New Roman"/>
                <w:b/>
                <w:sz w:val="20"/>
              </w:rPr>
              <w:t>9.30</w:t>
            </w:r>
          </w:p>
        </w:tc>
        <w:tc>
          <w:tcPr>
            <w:tcW w:type="dxa" w:w="1584"/>
            <w:tcMar>
              <w:top w:w="70" w:type="dxa"/>
              <w:bottom w:w="70" w:type="dxa"/>
              <w:left w:w="100" w:type="dxa"/>
              <w:right w:w="100" w:type="dxa"/>
            </w:tcMar>
          </w:tcPr>
          <w:p>
            <w:pPr>
              <w:spacing w:line="276" w:lineRule="auto" w:before="0" w:after="0"/>
              <w:jc w:val="left"/>
            </w:pPr>
            <w:r>
              <w:rPr>
                <w:rFonts w:ascii="Times New Roman" w:hAnsi="Times New Roman"/>
                <w:b/>
                <w:sz w:val="20"/>
              </w:rPr>
              <w:t>12.71</w:t>
            </w:r>
          </w:p>
        </w:tc>
        <w:tc>
          <w:tcPr>
            <w:tcW w:type="dxa" w:w="1901"/>
            <w:tcMar>
              <w:top w:w="70" w:type="dxa"/>
              <w:bottom w:w="70" w:type="dxa"/>
              <w:left w:w="100" w:type="dxa"/>
              <w:right w:w="100" w:type="dxa"/>
            </w:tcMar>
          </w:tcPr>
          <w:p>
            <w:pPr>
              <w:spacing w:line="276" w:lineRule="auto" w:before="0" w:after="0"/>
              <w:jc w:val="left"/>
            </w:pPr>
            <w:r>
              <w:rPr>
                <w:rFonts w:ascii="Times New Roman" w:hAnsi="Times New Roman"/>
                <w:b/>
                <w:sz w:val="20"/>
              </w:rPr>
              <w:t>+3.41 km</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b/>
                <w:sz w:val="20"/>
              </w:rPr>
              <w:t>1.285 (Max: 1.623)</w:t>
            </w:r>
          </w:p>
        </w:tc>
        <w:tc>
          <w:tcPr>
            <w:tcW w:type="dxa" w:w="1238"/>
            <w:tcMar>
              <w:top w:w="70" w:type="dxa"/>
              <w:bottom w:w="70" w:type="dxa"/>
              <w:left w:w="100" w:type="dxa"/>
              <w:right w:w="100" w:type="dxa"/>
            </w:tcMar>
          </w:tcPr>
          <w:p>
            <w:pPr>
              <w:spacing w:line="276" w:lineRule="auto" w:before="0" w:after="0"/>
              <w:jc w:val="left"/>
            </w:pPr>
            <w:r>
              <w:rPr>
                <w:rFonts w:ascii="Times New Roman" w:hAnsi="Times New Roman"/>
                <w:b/>
                <w:sz w:val="20"/>
              </w:rPr>
              <w:t>0.1020</w:t>
            </w:r>
          </w:p>
        </w:tc>
      </w:tr>
    </w:tbl>
    <w:p>
      <w:pPr>
        <w:spacing w:after="120"/>
      </w:pPr>
    </w:p>
    <w:p>
      <w:pPr>
        <w:spacing w:before="240" w:after="80"/>
        <w:jc w:val="center"/>
      </w:pPr>
      <w:r>
        <w:drawing>
          <wp:inline xmlns:a="http://schemas.openxmlformats.org/drawingml/2006/main" xmlns:pic="http://schemas.openxmlformats.org/drawingml/2006/picture">
            <wp:extent cx="5303520" cy="2305878"/>
            <wp:docPr id="10" name="Picture 10"/>
            <wp:cNvGraphicFramePr>
              <a:graphicFrameLocks noChangeAspect="1"/>
            </wp:cNvGraphicFramePr>
            <a:graphic>
              <a:graphicData uri="http://schemas.openxmlformats.org/drawingml/2006/picture">
                <pic:pic>
                  <pic:nvPicPr>
                    <pic:cNvPr id="0" name="metric4_road_vs_haversine_disparity.png"/>
                    <pic:cNvPicPr/>
                  </pic:nvPicPr>
                  <pic:blipFill>
                    <a:blip r:embed="rId21"/>
                    <a:stretch>
                      <a:fillRect/>
                    </a:stretch>
                  </pic:blipFill>
                  <pic:spPr>
                    <a:xfrm>
                      <a:off x="0" y="0"/>
                      <a:ext cx="5303520" cy="2305878"/>
                    </a:xfrm>
                    <a:prstGeom prst="rect"/>
                  </pic:spPr>
                </pic:pic>
              </a:graphicData>
            </a:graphic>
          </wp:inline>
        </w:drawing>
      </w:r>
    </w:p>
    <w:p>
      <w:pPr>
        <w:spacing w:before="80" w:after="280"/>
        <w:jc w:val="center"/>
      </w:pPr>
      <w:r>
        <w:rPr>
          <w:rFonts w:ascii="Times New Roman" w:hAnsi="Times New Roman"/>
          <w:b/>
          <w:sz w:val="22"/>
        </w:rPr>
        <w:t>Figure 5.4: Road Distance vs. Haversine Disparity &amp; Tortuosity Factor Distribution</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Figure 5.4 reveals a mean tortuosity index of $</w:t>
        <w:tab/>
        <w:t>au = 1.285$, indicating that physical driving routes are on average 28.5% longer than straight-line estimates, with disparities reaching up to +7.8 km ($</w:t>
        <w:tab/>
        <w:t>au = 1.623$). Crucially, while in-memory Haversine evaluates in 0.03 ms, external OSRM queries require 1036.9 ms. This empirically validates Connect360's hybrid design: using ultra-fast Haversine distance for candidate ranking, and reserving full OSRM road geometry for the post-dispatch tracking view.</w:t>
      </w:r>
    </w:p>
    <w:p>
      <w:pPr>
        <w:spacing w:line="360" w:lineRule="auto" w:after="120"/>
        <w:jc w:val="both"/>
      </w:pPr>
      <w:r>
        <w:rPr>
          <w:rFonts w:ascii="Times New Roman" w:hAnsi="Times New Roman"/>
          <w:b/>
          <w:sz w:val="24"/>
        </w:rPr>
        <w:t>Limitations:</w:t>
      </w:r>
      <w:r>
        <w:rPr>
          <w:rFonts w:ascii="Times New Roman" w:hAnsi="Times New Roman"/>
          <w:sz w:val="24"/>
        </w:rPr>
        <w:t xml:space="preserve"> OSRM latencies reflect public demo server response times; self-hosting in the same AWS VPC will reduce route resolution to 10–25 ms.</w:t>
      </w:r>
    </w:p>
    <w:p>
      <w:pPr>
        <w:keepNext/>
        <w:spacing w:before="220" w:after="80"/>
        <w:jc w:val="left"/>
      </w:pPr>
      <w:r>
        <w:rPr>
          <w:rFonts w:ascii="Times New Roman" w:hAnsi="Times New Roman"/>
          <w:b/>
          <w:sz w:val="24"/>
        </w:rPr>
        <w:t>5.2.5 Metric 5: AI Assistant Safety &amp; Contact Redaction Efficacy (PII Defense)</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Benchmark the precision, recall, specificity, and latency profile of Connect360's deterministic contact redaction filter (deterministic contact redaction filter) against a balanced corpus of </w:t>
      </w:r>
      <w:r>
        <w:rPr>
          <w:rFonts w:ascii="Times New Roman" w:hAnsi="Times New Roman"/>
          <w:i/>
          <w:sz w:val="24"/>
        </w:rPr>
        <w:t>N</w:t>
      </w:r>
      <w:r>
        <w:rPr>
          <w:rFonts w:ascii="Times New Roman" w:hAnsi="Times New Roman"/>
          <w:sz w:val="24"/>
        </w:rPr>
        <w:t xml:space="preserve"> = 500 test cases across 10 categories.</w:t>
      </w:r>
    </w:p>
    <w:p>
      <w:pPr>
        <w:spacing w:line="360" w:lineRule="auto" w:after="120"/>
        <w:jc w:val="both"/>
      </w:pPr>
      <w:r>
        <w:rPr>
          <w:rFonts w:ascii="Times New Roman" w:hAnsi="Times New Roman"/>
          <w:b/>
          <w:sz w:val="24"/>
        </w:rPr>
        <w:t>Experimental Setup:</w:t>
      </w:r>
      <w:r>
        <w:rPr>
          <w:rFonts w:ascii="Times New Roman" w:hAnsi="Times New Roman"/>
          <w:sz w:val="24"/>
        </w:rPr>
        <w:t xml:space="preserve"> 250 positive PII cases (Indian 10-digit, prefixed, international E.164, emails, embedded dialogue) and 250 negative operational cases (prices, 6-digit PIN codes, dates, technical specs, booking dialogue) were evaluated across 50,000 timing iterations.</w:t>
      </w:r>
    </w:p>
    <w:p>
      <w:pPr>
        <w:keepNext/>
        <w:spacing w:before="200" w:after="80"/>
        <w:jc w:val="center"/>
      </w:pPr>
      <w:r>
        <w:rPr>
          <w:rFonts w:ascii="Times New Roman" w:hAnsi="Times New Roman"/>
          <w:b/>
          <w:sz w:val="22"/>
        </w:rPr>
        <w:t>Table 5.5: AI Assistant Defensive PII Redaction Performance Across 10 Categories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788"/>
        <w:gridCol w:w="788"/>
        <w:gridCol w:w="788"/>
        <w:gridCol w:w="788"/>
        <w:gridCol w:w="788"/>
        <w:gridCol w:w="788"/>
        <w:gridCol w:w="788"/>
        <w:gridCol w:w="788"/>
        <w:gridCol w:w="788"/>
        <w:gridCol w:w="788"/>
        <w:gridCol w:w="788"/>
      </w:tblGrid>
      <w:tr>
        <w:trPr>
          <w:cantSplit/>
          <w:tblHeader/>
        </w:trPr>
        <w:tc>
          <w:tcPr>
            <w:tcW w:type="dxa" w:w="216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Category</w:t>
            </w:r>
          </w:p>
        </w:tc>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Class</w:t>
            </w:r>
          </w:p>
        </w:tc>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Samples</w:t>
            </w:r>
          </w:p>
        </w:tc>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TP</w:t>
            </w:r>
          </w:p>
        </w:tc>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TN</w:t>
            </w:r>
          </w:p>
        </w:tc>
        <w:tc>
          <w:tcPr>
            <w:tcW w:type="dxa" w:w="100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FP</w:t>
            </w:r>
          </w:p>
        </w:tc>
        <w:tc>
          <w:tcPr>
            <w:tcW w:type="dxa" w:w="1469"/>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FN</w:t>
            </w:r>
          </w:p>
        </w:tc>
        <w:tc>
          <w:tcPr>
            <w:tcW w:type="dxa" w:w="78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Recall</w:t>
            </w:r>
          </w:p>
        </w:tc>
        <w:tc>
          <w:tcPr>
            <w:tcW w:type="dxa" w:w="78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Specificity</w:t>
            </w:r>
          </w:p>
        </w:tc>
        <w:tc>
          <w:tcPr>
            <w:tcW w:type="dxa" w:w="78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F1-Score</w:t>
            </w:r>
          </w:p>
        </w:tc>
        <w:tc>
          <w:tcPr>
            <w:tcW w:type="dxa" w:w="788"/>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Latency</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Indian Phone Standard</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PII</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1.21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Indian Phone Prefixed</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PII</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49</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1</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98.0%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0.9899</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1.40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International Phone</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PII</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49</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1</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98.0%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0.9899</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1.17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Email Address</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PII</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0.95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Dialogue PII Embedded</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PII</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2.67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Operational Prices</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Benign</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2.40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Operational Pincodes</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Benign</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1.94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Operational Specs</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Benign</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2.42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Operational Dialogue</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Benign</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49</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1</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98.0%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0.0000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2.64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sz w:val="20"/>
              </w:rPr>
              <w:t>Operational Dates/Times</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Benign</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sz w:val="20"/>
              </w:rPr>
              <w:t>50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26</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sz w:val="20"/>
              </w:rPr>
              <w:t>24</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sz w:val="20"/>
              </w:rPr>
              <w:t>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52.0%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0.0000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sz w:val="20"/>
              </w:rPr>
              <w:t>2.40 μs</w:t>
            </w:r>
          </w:p>
        </w:tc>
      </w:tr>
      <w:tr>
        <w:trPr>
          <w:cantSplit/>
        </w:trPr>
        <w:tc>
          <w:tcPr>
            <w:tcW w:type="dxa" w:w="2160"/>
            <w:tcMar>
              <w:top w:w="70" w:type="dxa"/>
              <w:bottom w:w="70" w:type="dxa"/>
              <w:left w:w="100" w:type="dxa"/>
              <w:right w:w="100" w:type="dxa"/>
            </w:tcMar>
          </w:tcPr>
          <w:p>
            <w:pPr>
              <w:spacing w:line="276" w:lineRule="auto" w:before="0" w:after="0"/>
              <w:jc w:val="center"/>
            </w:pPr>
            <w:r>
              <w:rPr>
                <w:rFonts w:ascii="Times New Roman" w:hAnsi="Times New Roman"/>
                <w:b/>
                <w:sz w:val="20"/>
              </w:rPr>
              <w:t>OVERALL</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b/>
                <w:sz w:val="20"/>
              </w:rPr>
              <w:t>Mixed</w:t>
            </w:r>
          </w:p>
        </w:tc>
        <w:tc>
          <w:tcPr>
            <w:tcW w:type="dxa" w:w="1008"/>
            <w:tcMar>
              <w:top w:w="70" w:type="dxa"/>
              <w:bottom w:w="70" w:type="dxa"/>
              <w:left w:w="100" w:type="dxa"/>
              <w:right w:w="100" w:type="dxa"/>
            </w:tcMar>
          </w:tcPr>
          <w:p>
            <w:pPr>
              <w:spacing w:line="276" w:lineRule="auto" w:before="0" w:after="0"/>
              <w:jc w:val="right"/>
            </w:pPr>
            <w:r>
              <w:rPr>
                <w:rFonts w:ascii="Times New Roman" w:hAnsi="Times New Roman"/>
                <w:b/>
                <w:sz w:val="20"/>
              </w:rPr>
              <w:t>500</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b/>
                <w:sz w:val="20"/>
              </w:rPr>
              <w:t>248</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b/>
                <w:sz w:val="20"/>
              </w:rPr>
              <w:t>225</w:t>
            </w:r>
          </w:p>
        </w:tc>
        <w:tc>
          <w:tcPr>
            <w:tcW w:type="dxa" w:w="1008"/>
            <w:tcMar>
              <w:top w:w="70" w:type="dxa"/>
              <w:bottom w:w="70" w:type="dxa"/>
              <w:left w:w="100" w:type="dxa"/>
              <w:right w:w="100" w:type="dxa"/>
            </w:tcMar>
          </w:tcPr>
          <w:p>
            <w:pPr>
              <w:spacing w:line="276" w:lineRule="auto" w:before="0" w:after="0"/>
              <w:jc w:val="left"/>
            </w:pPr>
            <w:r>
              <w:rPr>
                <w:rFonts w:ascii="Times New Roman" w:hAnsi="Times New Roman"/>
                <w:b/>
                <w:sz w:val="20"/>
              </w:rPr>
              <w:t>25</w:t>
            </w:r>
          </w:p>
        </w:tc>
        <w:tc>
          <w:tcPr>
            <w:tcW w:type="dxa" w:w="1469"/>
            <w:tcMar>
              <w:top w:w="70" w:type="dxa"/>
              <w:bottom w:w="70" w:type="dxa"/>
              <w:left w:w="100" w:type="dxa"/>
              <w:right w:w="100" w:type="dxa"/>
            </w:tcMar>
          </w:tcPr>
          <w:p>
            <w:pPr>
              <w:spacing w:line="276" w:lineRule="auto" w:before="0" w:after="0"/>
              <w:jc w:val="left"/>
            </w:pPr>
            <w:r>
              <w:rPr>
                <w:rFonts w:ascii="Times New Roman" w:hAnsi="Times New Roman"/>
                <w:b/>
                <w:sz w:val="20"/>
              </w:rPr>
              <w:t>2</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99.20%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90.00%</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0.9484</w:t>
            </w:r>
          </w:p>
        </w:tc>
        <w:tc>
          <w:tcPr>
            <w:tcW w:type="dxa" w:w="788"/>
            <w:tcMar>
              <w:top w:w="70" w:type="dxa"/>
              <w:bottom w:w="70" w:type="dxa"/>
              <w:left w:w="100" w:type="dxa"/>
              <w:right w:w="100" w:type="dxa"/>
            </w:tcMar>
          </w:tcPr>
          <w:p>
            <w:pPr>
              <w:spacing w:line="276" w:lineRule="auto" w:before="0" w:after="0"/>
              <w:jc w:val="left"/>
            </w:pPr>
            <w:r>
              <w:rPr>
                <w:rFonts w:ascii="Times New Roman" w:hAnsi="Times New Roman"/>
                <w:b/>
                <w:sz w:val="20"/>
              </w:rPr>
              <w:t>1.92 μs</w:t>
            </w:r>
          </w:p>
        </w:tc>
      </w:tr>
    </w:tbl>
    <w:p>
      <w:pPr>
        <w:spacing w:after="120"/>
      </w:pPr>
    </w:p>
    <w:p>
      <w:pPr>
        <w:spacing w:before="240" w:after="80"/>
        <w:jc w:val="center"/>
      </w:pPr>
      <w:r>
        <w:drawing>
          <wp:inline xmlns:a="http://schemas.openxmlformats.org/drawingml/2006/main" xmlns:pic="http://schemas.openxmlformats.org/drawingml/2006/picture">
            <wp:extent cx="4389120" cy="3648722"/>
            <wp:docPr id="11" name="Picture 11"/>
            <wp:cNvGraphicFramePr>
              <a:graphicFrameLocks noChangeAspect="1"/>
            </wp:cNvGraphicFramePr>
            <a:graphic>
              <a:graphicData uri="http://schemas.openxmlformats.org/drawingml/2006/picture">
                <pic:pic>
                  <pic:nvPicPr>
                    <pic:cNvPr id="0" name="metric5_confusion_matrix_alone.png"/>
                    <pic:cNvPicPr/>
                  </pic:nvPicPr>
                  <pic:blipFill>
                    <a:blip r:embed="rId22"/>
                    <a:stretch>
                      <a:fillRect/>
                    </a:stretch>
                  </pic:blipFill>
                  <pic:spPr>
                    <a:xfrm>
                      <a:off x="0" y="0"/>
                      <a:ext cx="4389120" cy="3648722"/>
                    </a:xfrm>
                    <a:prstGeom prst="rect"/>
                  </pic:spPr>
                </pic:pic>
              </a:graphicData>
            </a:graphic>
          </wp:inline>
        </w:drawing>
      </w:r>
    </w:p>
    <w:p>
      <w:pPr>
        <w:spacing w:before="80" w:after="280"/>
        <w:jc w:val="center"/>
      </w:pPr>
      <w:r>
        <w:rPr>
          <w:rFonts w:ascii="Times New Roman" w:hAnsi="Times New Roman"/>
          <w:b/>
          <w:sz w:val="22"/>
        </w:rPr>
        <w:t>Figure 5.5: Connect360 AI Assistant Safety &amp; Contact Redaction Confusion Matrix</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As shown in Figure 5.5, the filter achieved an outstanding 99.20% detection recall (248/250 PII instances intercepted) with a sub-microsecond latency of $1.919\ μs$. Critical commercial tokens—including service prices (e.g., </w:t>
      </w:r>
      <w:r>
        <w:rPr>
          <w:rFonts w:ascii="Consolas" w:hAnsi="Consolas"/>
          <w:sz w:val="23"/>
        </w:rPr>
        <w:t>₹1200</w:t>
      </w:r>
      <w:r>
        <w:rPr>
          <w:rFonts w:ascii="Times New Roman" w:hAnsi="Times New Roman"/>
          <w:sz w:val="24"/>
        </w:rPr>
        <w:t xml:space="preserve">) and 6-digit Indian PIN codes (e.g., </w:t>
      </w:r>
      <w:r>
        <w:rPr>
          <w:rFonts w:ascii="Consolas" w:hAnsi="Consolas"/>
          <w:sz w:val="23"/>
        </w:rPr>
        <w:t>600020</w:t>
      </w:r>
      <w:r>
        <w:rPr>
          <w:rFonts w:ascii="Times New Roman" w:hAnsi="Times New Roman"/>
          <w:sz w:val="24"/>
        </w:rPr>
        <w:t>)—achieved 100% preservation. Misclassification analysis revealed two boundary conditions: parenthesized area codes caused 2 false negatives (0.80% leakage), while ISO dates (</w:t>
      </w:r>
      <w:r>
        <w:rPr>
          <w:rFonts w:ascii="Consolas" w:hAnsi="Consolas"/>
          <w:sz w:val="23"/>
        </w:rPr>
        <w:t>YYYY-MM-DD</w:t>
      </w:r>
      <w:r>
        <w:rPr>
          <w:rFonts w:ascii="Times New Roman" w:hAnsi="Times New Roman"/>
          <w:sz w:val="24"/>
        </w:rPr>
        <w:t>) caused 24 false positives due to 10-character hyphenated overlap. Because booking dates are rendered in native UI cards rather than chat prose, this trade-off heavily protects platform disintermediation.</w:t>
      </w:r>
    </w:p>
    <w:p>
      <w:pPr>
        <w:keepNext/>
        <w:spacing w:before="220" w:after="80"/>
        <w:jc w:val="left"/>
      </w:pPr>
      <w:r>
        <w:rPr>
          <w:rFonts w:ascii="Times New Roman" w:hAnsi="Times New Roman"/>
          <w:b/>
          <w:sz w:val="24"/>
        </w:rPr>
        <w:t>5.2.6 Metric 6: Structured Output JSON Schema Conformity &amp; Urgency Classification</w:t>
      </w:r>
    </w:p>
    <w:p>
      <w:pPr>
        <w:spacing w:line="360" w:lineRule="auto" w:after="120"/>
        <w:jc w:val="both"/>
      </w:pPr>
      <w:r>
        <w:rPr>
          <w:rFonts w:ascii="Times New Roman" w:hAnsi="Times New Roman"/>
          <w:b/>
          <w:sz w:val="24"/>
        </w:rPr>
        <w:t>Evaluation Objective:</w:t>
      </w:r>
      <w:r>
        <w:rPr>
          <w:rFonts w:ascii="Times New Roman" w:hAnsi="Times New Roman"/>
          <w:sz w:val="24"/>
        </w:rPr>
        <w:t xml:space="preserve"> Benchmark the output parser in </w:t>
      </w:r>
      <w:r>
        <w:rPr>
          <w:rFonts w:ascii="Consolas" w:hAnsi="Consolas"/>
          <w:sz w:val="23"/>
        </w:rPr>
        <w:t>AI Provider Interface</w:t>
      </w:r>
      <w:r>
        <w:rPr>
          <w:rFonts w:ascii="Times New Roman" w:hAnsi="Times New Roman"/>
          <w:sz w:val="24"/>
        </w:rPr>
        <w:t xml:space="preserve">, schema compliance against </w:t>
      </w:r>
      <w:r>
        <w:rPr>
          <w:rFonts w:ascii="Consolas" w:hAnsi="Consolas"/>
          <w:sz w:val="23"/>
        </w:rPr>
        <w:t>_STRUCTURED_INSTRUCTION</w:t>
      </w:r>
      <w:r>
        <w:rPr>
          <w:rFonts w:ascii="Times New Roman" w:hAnsi="Times New Roman"/>
          <w:sz w:val="24"/>
        </w:rPr>
        <w:t xml:space="preserve">, and downstream dispatch steering in </w:t>
      </w:r>
      <w:r>
        <w:rPr>
          <w:rFonts w:ascii="Consolas" w:hAnsi="Consolas"/>
          <w:sz w:val="23"/>
        </w:rPr>
        <w:t>Conversational AI Assistant Module</w:t>
      </w:r>
      <w:r>
        <w:rPr>
          <w:rFonts w:ascii="Times New Roman" w:hAnsi="Times New Roman"/>
          <w:sz w:val="24"/>
        </w:rPr>
        <w:t xml:space="preserve"> across </w:t>
      </w:r>
      <w:r>
        <w:rPr>
          <w:rFonts w:ascii="Times New Roman" w:hAnsi="Times New Roman"/>
          <w:i/>
          <w:sz w:val="24"/>
        </w:rPr>
        <w:t>N</w:t>
      </w:r>
      <w:r>
        <w:rPr>
          <w:rFonts w:ascii="Times New Roman" w:hAnsi="Times New Roman"/>
          <w:sz w:val="24"/>
        </w:rPr>
        <w:t xml:space="preserve"> = 500 cases covering five dimensions.</w:t>
      </w:r>
    </w:p>
    <w:p>
      <w:pPr>
        <w:spacing w:line="360" w:lineRule="auto" w:after="120"/>
        <w:jc w:val="both"/>
      </w:pPr>
      <w:r>
        <w:rPr>
          <w:rFonts w:ascii="Times New Roman" w:hAnsi="Times New Roman"/>
          <w:b/>
          <w:sz w:val="24"/>
        </w:rPr>
        <w:t>Experimental Setup:</w:t>
      </w:r>
      <w:r>
        <w:rPr>
          <w:rFonts w:ascii="Times New Roman" w:hAnsi="Times New Roman"/>
          <w:sz w:val="24"/>
        </w:rPr>
        <w:t xml:space="preserve"> 500 cases evaluating format resilience (raw JSON, markdown-fenced, plain text, malformed), service mapping across 6 domains, urgency classification (50 emergency vs. 50 routine), multi-turn slot filling (Turns 1 to 4), and downstream priority steering were tested across 50,000 iterations.</w:t>
      </w:r>
    </w:p>
    <w:p>
      <w:pPr>
        <w:keepNext/>
        <w:spacing w:before="200" w:after="80"/>
        <w:jc w:val="center"/>
      </w:pPr>
      <w:r>
        <w:rPr>
          <w:rFonts w:ascii="Times New Roman" w:hAnsi="Times New Roman"/>
          <w:b/>
          <w:sz w:val="22"/>
        </w:rPr>
        <w:t>Table 5.6: Structured Output Schema Conformity &amp; Urgency Classification Across Dimensions</w:t>
      </w:r>
    </w:p>
    <w:tbl>
      <w:tblPr>
        <w:tblW w:type="auto" w:w="0"/>
        <w:jc w:val="center"/>
        <w:tblLook w:firstColumn="1" w:firstRow="1" w:lastColumn="0" w:lastRow="0" w:noHBand="0" w:noVBand="1" w:val="04A0"/>
        <w:tblBorders>
          <w:top w:val="single" w:sz="8" w:space="0" w:color="333333"/>
          <w:bottom w:val="single" w:sz="8" w:space="0" w:color="333333"/>
          <w:left w:val="none"/>
          <w:right w:val="none"/>
          <w:insideH w:val="single" w:sz="4" w:space="0" w:color="D0D0D0"/>
          <w:insideV w:val="none"/>
        </w:tblBorders>
      </w:tblPr>
      <w:tblGrid>
        <w:gridCol w:w="963"/>
        <w:gridCol w:w="963"/>
        <w:gridCol w:w="963"/>
        <w:gridCol w:w="963"/>
        <w:gridCol w:w="963"/>
        <w:gridCol w:w="963"/>
        <w:gridCol w:w="963"/>
        <w:gridCol w:w="963"/>
        <w:gridCol w:w="963"/>
      </w:tblGrid>
      <w:tr>
        <w:trPr>
          <w:cantSplit/>
          <w:tblHeader/>
        </w:trPr>
        <w:tc>
          <w:tcPr>
            <w:tcW w:type="dxa" w:w="2016"/>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Dimension</w:t>
            </w:r>
          </w:p>
        </w:tc>
        <w:tc>
          <w:tcPr>
            <w:tcW w:type="dxa" w:w="108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Samples</w:t>
            </w:r>
          </w:p>
        </w:tc>
        <w:tc>
          <w:tcPr>
            <w:tcW w:type="dxa" w:w="108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Success Rate</w:t>
            </w:r>
          </w:p>
        </w:tc>
        <w:tc>
          <w:tcPr>
            <w:tcW w:type="dxa" w:w="108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Schema Validity</w:t>
            </w:r>
          </w:p>
        </w:tc>
        <w:tc>
          <w:tcPr>
            <w:tcW w:type="dxa" w:w="108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Service Match</w:t>
            </w:r>
          </w:p>
        </w:tc>
        <w:tc>
          <w:tcPr>
            <w:tcW w:type="dxa" w:w="1080"/>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Urgent Match</w:t>
            </w:r>
          </w:p>
        </w:tc>
        <w:tc>
          <w:tcPr>
            <w:tcW w:type="dxa" w:w="1253"/>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Confirmed Match</w:t>
            </w:r>
          </w:p>
        </w:tc>
        <w:tc>
          <w:tcPr>
            <w:tcW w:type="dxa" w:w="963"/>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Mean Latency</w:t>
            </w:r>
          </w:p>
        </w:tc>
        <w:tc>
          <w:tcPr>
            <w:tcW w:type="dxa" w:w="963"/>
            <w:shd w:fill="F2F2F2"/>
            <w:tcMar>
              <w:top w:w="70" w:type="dxa"/>
              <w:bottom w:w="70" w:type="dxa"/>
              <w:left w:w="100" w:type="dxa"/>
              <w:right w:w="100" w:type="dxa"/>
            </w:tcMar>
          </w:tcPr>
          <w:p>
            <w:pPr>
              <w:spacing w:line="276" w:lineRule="auto" w:before="0" w:after="0"/>
              <w:jc w:val="center"/>
            </w:pPr>
            <w:r>
              <w:rPr>
                <w:rFonts w:ascii="Times New Roman" w:hAnsi="Times New Roman"/>
                <w:b/>
                <w:sz w:val="21"/>
              </w:rPr>
              <w:t>P99 Latency</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Format Resilience</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7.06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20.11 μs</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Service Mapping</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5.75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12.48 μs</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Urgency Classification</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6.02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11.26 μs</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Slot Filling Turns</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5.23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17.04 μs</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sz w:val="20"/>
              </w:rPr>
              <w:t>Downstream Dispatch</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5.81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sz w:val="20"/>
              </w:rPr>
              <w:t>14.00 μs</w:t>
            </w:r>
          </w:p>
        </w:tc>
      </w:tr>
      <w:tr>
        <w:trPr>
          <w:cantSplit/>
        </w:trPr>
        <w:tc>
          <w:tcPr>
            <w:tcW w:type="dxa" w:w="2016"/>
            <w:tcMar>
              <w:top w:w="70" w:type="dxa"/>
              <w:bottom w:w="70" w:type="dxa"/>
              <w:left w:w="100" w:type="dxa"/>
              <w:right w:w="100" w:type="dxa"/>
            </w:tcMar>
          </w:tcPr>
          <w:p>
            <w:pPr>
              <w:spacing w:line="276" w:lineRule="auto" w:before="0" w:after="0"/>
              <w:jc w:val="center"/>
            </w:pPr>
            <w:r>
              <w:rPr>
                <w:rFonts w:ascii="Times New Roman" w:hAnsi="Times New Roman"/>
                <w:b/>
                <w:sz w:val="20"/>
              </w:rPr>
              <w:t>OVERALL</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b/>
                <w:sz w:val="20"/>
              </w:rPr>
              <w:t>500</w:t>
            </w:r>
          </w:p>
        </w:tc>
        <w:tc>
          <w:tcPr>
            <w:tcW w:type="dxa" w:w="1080"/>
            <w:tcMar>
              <w:top w:w="70" w:type="dxa"/>
              <w:bottom w:w="70" w:type="dxa"/>
              <w:left w:w="100" w:type="dxa"/>
              <w:right w:w="100" w:type="dxa"/>
            </w:tcMar>
          </w:tcPr>
          <w:p>
            <w:pPr>
              <w:spacing w:line="276" w:lineRule="auto" w:before="0" w:after="0"/>
              <w:jc w:val="righ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1080"/>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1253"/>
            <w:tcMar>
              <w:top w:w="70" w:type="dxa"/>
              <w:bottom w:w="70" w:type="dxa"/>
              <w:left w:w="100" w:type="dxa"/>
              <w:right w:w="100" w:type="dxa"/>
            </w:tcMar>
          </w:tcPr>
          <w:p>
            <w:pPr>
              <w:spacing w:line="276" w:lineRule="auto" w:before="0" w:after="0"/>
              <w:jc w:val="left"/>
            </w:pPr>
            <w:r>
              <w:rPr>
                <w:rFonts w:ascii="Times New Roman" w:hAnsi="Times New Roman"/>
                <w:b/>
                <w:sz w:val="20"/>
              </w:rPr>
              <w:t>100.0%</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b/>
                <w:sz w:val="20"/>
              </w:rPr>
              <w:t>5.97 μs</w:t>
            </w:r>
          </w:p>
        </w:tc>
        <w:tc>
          <w:tcPr>
            <w:tcW w:type="dxa" w:w="963"/>
            <w:tcMar>
              <w:top w:w="70" w:type="dxa"/>
              <w:bottom w:w="70" w:type="dxa"/>
              <w:left w:w="100" w:type="dxa"/>
              <w:right w:w="100" w:type="dxa"/>
            </w:tcMar>
          </w:tcPr>
          <w:p>
            <w:pPr>
              <w:spacing w:line="276" w:lineRule="auto" w:before="0" w:after="0"/>
              <w:jc w:val="left"/>
            </w:pPr>
            <w:r>
              <w:rPr>
                <w:rFonts w:ascii="Times New Roman" w:hAnsi="Times New Roman"/>
                <w:b/>
                <w:sz w:val="20"/>
              </w:rPr>
              <w:t>15.31 μs</w:t>
            </w:r>
          </w:p>
        </w:tc>
      </w:tr>
    </w:tbl>
    <w:p>
      <w:pPr>
        <w:spacing w:after="120"/>
      </w:pPr>
    </w:p>
    <w:p>
      <w:pPr>
        <w:spacing w:before="240" w:after="80"/>
        <w:jc w:val="center"/>
      </w:pPr>
      <w:r>
        <w:drawing>
          <wp:inline xmlns:a="http://schemas.openxmlformats.org/drawingml/2006/main" xmlns:pic="http://schemas.openxmlformats.org/drawingml/2006/picture">
            <wp:extent cx="5303520" cy="3889248"/>
            <wp:docPr id="12" name="Picture 12"/>
            <wp:cNvGraphicFramePr>
              <a:graphicFrameLocks noChangeAspect="1"/>
            </wp:cNvGraphicFramePr>
            <a:graphic>
              <a:graphicData uri="http://schemas.openxmlformats.org/drawingml/2006/picture">
                <pic:pic>
                  <pic:nvPicPr>
                    <pic:cNvPr id="0" name="metric6_structured_output_performance.png"/>
                    <pic:cNvPicPr/>
                  </pic:nvPicPr>
                  <pic:blipFill>
                    <a:blip r:embed="rId23"/>
                    <a:stretch>
                      <a:fillRect/>
                    </a:stretch>
                  </pic:blipFill>
                  <pic:spPr>
                    <a:xfrm>
                      <a:off x="0" y="0"/>
                      <a:ext cx="5303520" cy="3889248"/>
                    </a:xfrm>
                    <a:prstGeom prst="rect"/>
                  </pic:spPr>
                </pic:pic>
              </a:graphicData>
            </a:graphic>
          </wp:inline>
        </w:drawing>
      </w:r>
    </w:p>
    <w:p>
      <w:pPr>
        <w:spacing w:before="80" w:after="280"/>
        <w:jc w:val="center"/>
      </w:pPr>
      <w:r>
        <w:rPr>
          <w:rFonts w:ascii="Times New Roman" w:hAnsi="Times New Roman"/>
          <w:b/>
          <w:sz w:val="22"/>
        </w:rPr>
        <w:t>Figure 5.6: Structured Output JSON Schema Conformity &amp; Urgency Classification</w:t>
      </w:r>
    </w:p>
    <w:p>
      <w:pPr>
        <w:spacing w:line="360" w:lineRule="auto" w:after="120"/>
        <w:jc w:val="both"/>
      </w:pPr>
      <w:r>
        <w:rPr>
          <w:rFonts w:ascii="Times New Roman" w:hAnsi="Times New Roman"/>
          <w:b/>
          <w:sz w:val="24"/>
        </w:rPr>
        <w:t>Discussion and Trends:</w:t>
      </w:r>
      <w:r>
        <w:rPr>
          <w:rFonts w:ascii="Times New Roman" w:hAnsi="Times New Roman"/>
          <w:sz w:val="24"/>
        </w:rPr>
        <w:t xml:space="preserve"> Figure 5.6 demonstrates 100.0% schema conformity, 100.0% format resilience, and perfect urgency classification (</w:t>
      </w:r>
      <w:r>
        <w:rPr>
          <w:rFonts w:ascii="Times New Roman" w:hAnsi="Times New Roman"/>
          <w:i/>
          <w:sz w:val="24"/>
        </w:rPr>
        <w:t>F</w:t>
      </w:r>
      <w:r>
        <w:rPr>
          <w:rFonts w:ascii="Times New Roman" w:hAnsi="Times New Roman"/>
          <w:sz w:val="24"/>
        </w:rPr>
        <w:t>1</w:t>
      </w:r>
      <w:r>
        <w:rPr>
          <w:rFonts w:ascii="Times New Roman" w:hAnsi="Times New Roman"/>
          <w:sz w:val="24"/>
        </w:rPr>
        <w:t xml:space="preserve"> = 1.000, zero false positives/negatives). The system strictly enforces the confirmation invariant, preventing booking confirmation until all slots are satisfied. Downstream dispatch correctly steers 100% of urgent confirmed bookings to automated Priority Booking while routing non-urgent requests to candidate worker queries. The entire parsing and dispatch pipeline executes in $5.973\ μs$ mean, introducing zero computational overhead into the serverless execution lifecycle.</w:t>
      </w:r>
    </w:p>
    <w:p>
      <w:r>
        <w:br w:type="page"/>
      </w:r>
    </w:p>
    <w:p>
      <w:r>
        <w:br w:type="page"/>
      </w:r>
    </w:p>
    <w:p>
      <w:pPr>
        <w:keepNext/>
        <w:spacing w:before="360" w:after="80"/>
        <w:jc w:val="center"/>
      </w:pPr>
      <w:r>
        <w:rPr>
          <w:rFonts w:ascii="Times New Roman" w:hAnsi="Times New Roman"/>
          <w:b/>
          <w:sz w:val="32"/>
        </w:rPr>
        <w:t>CHAPTER 6</w:t>
      </w:r>
    </w:p>
    <w:p>
      <w:pPr>
        <w:keepNext/>
        <w:spacing w:before="80" w:after="400"/>
        <w:jc w:val="center"/>
      </w:pPr>
      <w:r>
        <w:rPr>
          <w:rFonts w:ascii="Times New Roman" w:hAnsi="Times New Roman"/>
          <w:b/>
          <w:sz w:val="32"/>
        </w:rPr>
        <w:t>CONCLUSION AND FUTURE WORK</w:t>
      </w:r>
    </w:p>
    <w:p>
      <w:pPr>
        <w:keepNext/>
        <w:spacing w:before="280" w:after="120"/>
        <w:jc w:val="left"/>
      </w:pPr>
      <w:r>
        <w:rPr>
          <w:rFonts w:ascii="Times New Roman" w:hAnsi="Times New Roman"/>
          <w:b/>
          <w:sz w:val="27"/>
        </w:rPr>
        <w:t>6.1 CONCLUSION</w:t>
      </w:r>
    </w:p>
    <w:p>
      <w:pPr>
        <w:spacing w:line="360" w:lineRule="auto" w:after="120"/>
        <w:jc w:val="both"/>
      </w:pPr>
      <w:r>
        <w:rPr>
          <w:rFonts w:ascii="Times New Roman" w:hAnsi="Times New Roman"/>
          <w:sz w:val="24"/>
        </w:rPr>
        <w:t xml:space="preserve">This Phase-I project designed, implemented, and empirically evaluated </w:t>
      </w:r>
      <w:r>
        <w:rPr>
          <w:rFonts w:ascii="Times New Roman" w:hAnsi="Times New Roman"/>
          <w:b/>
          <w:sz w:val="24"/>
        </w:rPr>
        <w:t>Connect360</w:t>
      </w:r>
      <w:r>
        <w:rPr>
          <w:rFonts w:ascii="Times New Roman" w:hAnsi="Times New Roman"/>
          <w:sz w:val="24"/>
        </w:rPr>
        <w:t>, an enterprise-grade, serverless on-demand home services marketplace engineered to overcome the systemic latency, concurrency, privacy, and dispatch deficiencies of existing platforms. Built on a modern three-tier architecture utilizing React 18, AWS Lambda, and an optimized single-table Amazon DynamoDB datastore, Connect360 successfully bridges the gap between natural language customer triage and low-latency, deterministic labor dispatch.</w:t>
      </w:r>
    </w:p>
    <w:p>
      <w:pPr>
        <w:spacing w:line="360" w:lineRule="auto" w:after="120"/>
        <w:jc w:val="both"/>
      </w:pPr>
      <w:r>
        <w:rPr>
          <w:rFonts w:ascii="Times New Roman" w:hAnsi="Times New Roman"/>
          <w:sz w:val="24"/>
        </w:rPr>
        <w:t>The empirical evaluation of the production implementation validated the core engineering hypotheses across six critical performance dimensions:</w:t>
        <w:br/>
      </w:r>
      <w:r>
        <w:rPr>
          <w:rFonts w:ascii="Times New Roman" w:hAnsi="Times New Roman"/>
          <w:sz w:val="24"/>
        </w:rPr>
        <w:br/>
        <w:t>The multi-criteria matching engine executes in strict O(N) linear time, ranking 5,000 candidate workers in just 3.89 ms (0.78 μs per worker).</w:t>
        <w:br/>
        <w:t>Weight reallocation between Normal and Priority modes actively promotes 66.7% of proximate workers (Spearman $</w:t>
        <w:br/>
        <w:t>ho = 0.836$), guaranteeing rapid spatial response during emergencies.</w:t>
        <w:br/>
        <w:t>DynamoDB conditional writes achieve absolute transactional safety under extreme contention, yielding zero double bookings (0 / 9,400) and enabling conflict fast-fail aborts in 0.024–0.052 ms.</w:t>
        <w:br/>
        <w:t>Spatial routing benchmarks established a metropolitan road network tortuosity factor of $</w:t>
        <w:tab/>
        <w:t>au = 1.285$, justifying Connect360's hybrid spatial design of pairing in-memory Haversine distance (0.03 ms) for candidate ranking with high-fidelity OSRM road geometry for client-side navigation.</w:t>
        <w:br/>
        <w:t>The air-gapped deterministic PII redaction filter delivers 99.20% recall with sub-microsecond latency (1.92 μs), completely protecting platform disintermediation while preserving operational pricing and postal tokens.</w:t>
        <w:br/>
        <w:t>The conversational AI pipeline exhibits 100.0% schema compliance and perfect emergency urgency classification (F1 = 1.000), seamlessly steering critical crises toward automated Priority Booking.</w:t>
        <w:br/>
      </w:r>
      <w:r>
        <w:rPr>
          <w:rFonts w:ascii="Times New Roman" w:hAnsi="Times New Roman"/>
          <w:sz w:val="24"/>
        </w:rPr>
        <w:br/>
        <w:t>In conclusion, Connect360 demonstrates that a decentralized, serverless architecture can provide high-throughput, concurrency-safe, and privacy-preserving labor matching, setting a new benchmark for urban service platforms.</w:t>
      </w:r>
    </w:p>
    <w:p>
      <w:pPr>
        <w:keepNext/>
        <w:spacing w:before="280" w:after="120"/>
        <w:jc w:val="left"/>
      </w:pPr>
      <w:r>
        <w:rPr>
          <w:rFonts w:ascii="Times New Roman" w:hAnsi="Times New Roman"/>
          <w:b/>
          <w:sz w:val="27"/>
        </w:rPr>
        <w:t>6.2 FUTURE WORK</w:t>
      </w:r>
    </w:p>
    <w:p>
      <w:pPr>
        <w:spacing w:line="360" w:lineRule="auto" w:after="120"/>
        <w:jc w:val="both"/>
      </w:pPr>
      <w:r>
        <w:rPr>
          <w:rFonts w:ascii="Times New Roman" w:hAnsi="Times New Roman"/>
          <w:sz w:val="24"/>
        </w:rPr>
        <w:t>Building upon the successful implementation and empirical findings of Phase-I, the following research and engineering enhancements are planned for Phase-II:</w:t>
        <w:br/>
      </w:r>
      <w:r>
        <w:rPr>
          <w:rFonts w:ascii="Times New Roman" w:hAnsi="Times New Roman"/>
          <w:sz w:val="24"/>
        </w:rPr>
        <w:br/>
        <w:t>Dynamic Machine Learning Weight Tuning: Replace static weight configurations with reinforcement learning models that dynamically calibrate distance, rating, and completion weights based on live traffic congestion, weather conditions, and real-time demand-supply elasticity.</w:t>
        <w:br/>
        <w:t>VPC-Hosted Private OSRM Cluster: Deploy a containerized OSRM instance within the same AWS Virtual Private Cloud (VPC) using AWS ECS Fargate, reducing live road routing latency from 1036.9 ms to under 20 ms.</w:t>
        <w:br/>
        <w:t>Multi-Tier Urgency Classification: Extend the binary urgency classifier into a hierarchical multi-tier scale (Low, Medium, High, Critical) with automated pricing surges and technician dispatch SLAs.</w:t>
        <w:br/>
        <w:t>Cloud PBX Virtual Bridging &amp; WebRTC Audio: Transition from Phase-I direct calling with UI number masking to automated two-way cloud virtual PBX proxy bridging (Twilio/Exotel) and in-app encrypted WebRTC voice calls, completely eliminating phone number exchange across the carrier network.</w:t>
        <w:br/>
        <w:t>Expansion of Formal Evaluation Metrics: Complete Metrics 7 through 10, evaluating phone normalization accuracy, RBAC context isolation security boundaries, DynamoDB GSI index query optimization, and Playwright end-to-end user journey latency.</w:t>
        <w:br/>
      </w:r>
      <w:r>
        <w:rPr>
          <w:rFonts w:ascii="Times New Roman" w:hAnsi="Times New Roman"/>
          <w:sz w:val="24"/>
        </w:rPr>
        <w:br/>
      </w:r>
    </w:p>
    <w:p>
      <w:r>
        <w:br w:type="page"/>
      </w:r>
    </w:p>
    <w:p>
      <w:r>
        <w:br w:type="page"/>
      </w:r>
    </w:p>
    <w:p>
      <w:pPr>
        <w:keepNext/>
        <w:spacing w:before="80" w:after="400"/>
        <w:jc w:val="center"/>
      </w:pPr>
      <w:r>
        <w:rPr>
          <w:rFonts w:ascii="Times New Roman" w:hAnsi="Times New Roman"/>
          <w:b/>
          <w:sz w:val="32"/>
        </w:rPr>
        <w:t>REFERENCES</w:t>
      </w:r>
    </w:p>
    <w:p>
      <w:pPr>
        <w:spacing w:line="360" w:lineRule="auto" w:after="80"/>
        <w:ind w:left="504"/>
        <w:jc w:val="both"/>
      </w:pPr>
      <w:r>
        <w:rPr>
          <w:rFonts w:ascii="Times New Roman" w:hAnsi="Times New Roman"/>
          <w:b/>
          <w:sz w:val="24"/>
        </w:rPr>
        <w:t xml:space="preserve">1.  </w:t>
      </w:r>
      <w:r>
        <w:rPr>
          <w:rFonts w:ascii="Times New Roman" w:hAnsi="Times New Roman"/>
          <w:sz w:val="24"/>
        </w:rPr>
        <w:t xml:space="preserve">N. Agatz, A. Erera, M. Savelsbergh, and X. Wang, "Optimization for dynamic ride-sharing: A review," </w:t>
      </w:r>
      <w:r>
        <w:rPr>
          <w:rFonts w:ascii="Times New Roman" w:hAnsi="Times New Roman"/>
          <w:i/>
          <w:sz w:val="24"/>
        </w:rPr>
        <w:t>European Journal of Operational Research</w:t>
      </w:r>
      <w:r>
        <w:rPr>
          <w:rFonts w:ascii="Times New Roman" w:hAnsi="Times New Roman"/>
          <w:sz w:val="24"/>
        </w:rPr>
        <w:t>, vol. 223, no. 2, pp. 295–303, 2012.</w:t>
      </w:r>
    </w:p>
    <w:p>
      <w:pPr>
        <w:spacing w:line="360" w:lineRule="auto" w:after="80"/>
        <w:ind w:left="504"/>
        <w:jc w:val="both"/>
      </w:pPr>
      <w:r>
        <w:rPr>
          <w:rFonts w:ascii="Times New Roman" w:hAnsi="Times New Roman"/>
          <w:b/>
          <w:sz w:val="24"/>
        </w:rPr>
        <w:t xml:space="preserve">2.  </w:t>
      </w:r>
      <w:r>
        <w:rPr>
          <w:rFonts w:ascii="Times New Roman" w:hAnsi="Times New Roman"/>
          <w:sz w:val="24"/>
        </w:rPr>
        <w:t xml:space="preserve">D. Bertsimas, P. Jaillet, and S. Martin, "Online vehicle routing: The value of future information," </w:t>
      </w:r>
      <w:r>
        <w:rPr>
          <w:rFonts w:ascii="Times New Roman" w:hAnsi="Times New Roman"/>
          <w:i/>
          <w:sz w:val="24"/>
        </w:rPr>
        <w:t>Operations Research</w:t>
      </w:r>
      <w:r>
        <w:rPr>
          <w:rFonts w:ascii="Times New Roman" w:hAnsi="Times New Roman"/>
          <w:sz w:val="24"/>
        </w:rPr>
        <w:t>, vol. 67, no. 2, pp. 434–451, 2019.</w:t>
      </w:r>
    </w:p>
    <w:p>
      <w:pPr>
        <w:spacing w:line="360" w:lineRule="auto" w:after="80"/>
        <w:ind w:left="504"/>
        <w:jc w:val="both"/>
      </w:pPr>
      <w:r>
        <w:rPr>
          <w:rFonts w:ascii="Times New Roman" w:hAnsi="Times New Roman"/>
          <w:b/>
          <w:sz w:val="24"/>
        </w:rPr>
        <w:t xml:space="preserve">3.  </w:t>
      </w:r>
      <w:r>
        <w:rPr>
          <w:rFonts w:ascii="Times New Roman" w:hAnsi="Times New Roman"/>
          <w:sz w:val="24"/>
        </w:rPr>
        <w:t xml:space="preserve">G. DeCandia, D. Hastorun, M. Jampani, G. Kakulapati, A. Lakshman, A. Pilchin, S. Sivasubramanian, P. Vosshall, and W. Vogels, "Dynamo: Amazon's highly available key-value store," in </w:t>
      </w:r>
      <w:r>
        <w:rPr>
          <w:rFonts w:ascii="Times New Roman" w:hAnsi="Times New Roman"/>
          <w:i/>
          <w:sz w:val="24"/>
        </w:rPr>
        <w:t>Proc. 21st ACM SIGOPS Symposium on Operating Systems Principles (SOSP)</w:t>
      </w:r>
      <w:r>
        <w:rPr>
          <w:rFonts w:ascii="Times New Roman" w:hAnsi="Times New Roman"/>
          <w:sz w:val="24"/>
        </w:rPr>
        <w:t>, 2007, pp. 205–220.</w:t>
      </w:r>
    </w:p>
    <w:p>
      <w:pPr>
        <w:spacing w:line="360" w:lineRule="auto" w:after="80"/>
        <w:ind w:left="504"/>
        <w:jc w:val="both"/>
      </w:pPr>
      <w:r>
        <w:rPr>
          <w:rFonts w:ascii="Times New Roman" w:hAnsi="Times New Roman"/>
          <w:b/>
          <w:sz w:val="24"/>
        </w:rPr>
        <w:t xml:space="preserve">4.  </w:t>
      </w:r>
      <w:r>
        <w:rPr>
          <w:rFonts w:ascii="Times New Roman" w:hAnsi="Times New Roman"/>
          <w:sz w:val="24"/>
        </w:rPr>
        <w:t xml:space="preserve">S. Sivasubramanian, "Amazon DynamoDB: A seamless, scalable, cloud database service," in </w:t>
      </w:r>
      <w:r>
        <w:rPr>
          <w:rFonts w:ascii="Times New Roman" w:hAnsi="Times New Roman"/>
          <w:i/>
          <w:sz w:val="24"/>
        </w:rPr>
        <w:t>Proc. ACM SIGMOD International Conference on Management of Data</w:t>
      </w:r>
      <w:r>
        <w:rPr>
          <w:rFonts w:ascii="Times New Roman" w:hAnsi="Times New Roman"/>
          <w:sz w:val="24"/>
        </w:rPr>
        <w:t>, 2012, pp. 729–730.</w:t>
      </w:r>
    </w:p>
    <w:p>
      <w:pPr>
        <w:spacing w:line="360" w:lineRule="auto" w:after="80"/>
        <w:ind w:left="504"/>
        <w:jc w:val="both"/>
      </w:pPr>
      <w:r>
        <w:rPr>
          <w:rFonts w:ascii="Times New Roman" w:hAnsi="Times New Roman"/>
          <w:b/>
          <w:sz w:val="24"/>
        </w:rPr>
        <w:t xml:space="preserve">5.  </w:t>
      </w:r>
      <w:r>
        <w:rPr>
          <w:rFonts w:ascii="Times New Roman" w:hAnsi="Times New Roman"/>
          <w:sz w:val="24"/>
        </w:rPr>
        <w:t xml:space="preserve">P. Bailis, A. Davidson, A. Fekete, A. Ghodsi, J. M. Hellerstein, and I. Stoica, "Highly available transactions: Virtues and limitations," in </w:t>
      </w:r>
      <w:r>
        <w:rPr>
          <w:rFonts w:ascii="Times New Roman" w:hAnsi="Times New Roman"/>
          <w:i/>
          <w:sz w:val="24"/>
        </w:rPr>
        <w:t>Proc. VLDB Endowment</w:t>
      </w:r>
      <w:r>
        <w:rPr>
          <w:rFonts w:ascii="Times New Roman" w:hAnsi="Times New Roman"/>
          <w:sz w:val="24"/>
        </w:rPr>
        <w:t>, vol. 7, no. 3, pp. 181–192, 2014.</w:t>
      </w:r>
    </w:p>
    <w:p>
      <w:pPr>
        <w:spacing w:line="360" w:lineRule="auto" w:after="80"/>
        <w:ind w:left="504"/>
        <w:jc w:val="both"/>
      </w:pPr>
      <w:r>
        <w:rPr>
          <w:rFonts w:ascii="Times New Roman" w:hAnsi="Times New Roman"/>
          <w:b/>
          <w:sz w:val="24"/>
        </w:rPr>
        <w:t xml:space="preserve">6.  </w:t>
      </w:r>
      <w:r>
        <w:rPr>
          <w:rFonts w:ascii="Times New Roman" w:hAnsi="Times New Roman"/>
          <w:sz w:val="24"/>
        </w:rPr>
        <w:t xml:space="preserve">D. Luxen and C. Vetter, "Real-time routing with OpenStreetMap data," in </w:t>
      </w:r>
      <w:r>
        <w:rPr>
          <w:rFonts w:ascii="Times New Roman" w:hAnsi="Times New Roman"/>
          <w:i/>
          <w:sz w:val="24"/>
        </w:rPr>
        <w:t>Proc. 19th ACM SIGSPATIAL International Conference on Advances in Geographic Information Systems</w:t>
      </w:r>
      <w:r>
        <w:rPr>
          <w:rFonts w:ascii="Times New Roman" w:hAnsi="Times New Roman"/>
          <w:sz w:val="24"/>
        </w:rPr>
        <w:t>, 2011, pp. 513–516.</w:t>
      </w:r>
    </w:p>
    <w:p>
      <w:pPr>
        <w:spacing w:line="360" w:lineRule="auto" w:after="80"/>
        <w:ind w:left="504"/>
        <w:jc w:val="both"/>
      </w:pPr>
      <w:r>
        <w:rPr>
          <w:rFonts w:ascii="Times New Roman" w:hAnsi="Times New Roman"/>
          <w:b/>
          <w:sz w:val="24"/>
        </w:rPr>
        <w:t xml:space="preserve">7.  </w:t>
      </w:r>
      <w:r>
        <w:rPr>
          <w:rFonts w:ascii="Times New Roman" w:hAnsi="Times New Roman"/>
          <w:sz w:val="24"/>
        </w:rPr>
        <w:t xml:space="preserve">M. Barthélemy, "Spatial networks," </w:t>
      </w:r>
      <w:r>
        <w:rPr>
          <w:rFonts w:ascii="Times New Roman" w:hAnsi="Times New Roman"/>
          <w:i/>
          <w:sz w:val="24"/>
        </w:rPr>
        <w:t>Physics Reports</w:t>
      </w:r>
      <w:r>
        <w:rPr>
          <w:rFonts w:ascii="Times New Roman" w:hAnsi="Times New Roman"/>
          <w:sz w:val="24"/>
        </w:rPr>
        <w:t>, vol. 499, no. 1–3, pp. 1–101, 2011.</w:t>
      </w:r>
    </w:p>
    <w:p>
      <w:pPr>
        <w:spacing w:line="360" w:lineRule="auto" w:after="80"/>
        <w:ind w:left="504"/>
        <w:jc w:val="both"/>
      </w:pPr>
      <w:r>
        <w:rPr>
          <w:rFonts w:ascii="Times New Roman" w:hAnsi="Times New Roman"/>
          <w:b/>
          <w:sz w:val="24"/>
        </w:rPr>
        <w:t xml:space="preserve">8.  </w:t>
      </w:r>
      <w:r>
        <w:rPr>
          <w:rFonts w:ascii="Times New Roman" w:hAnsi="Times New Roman"/>
          <w:sz w:val="24"/>
        </w:rPr>
        <w:t xml:space="preserve">L. Weidinger, J. Mellor, M. Rauh, C. Griffin, J. Uesato, P. Huang, M. Cheng, M. Glaese, B. Balle, A. Kasirzadeh, and Z. Kenton, "Ethical and social risks of harm from Language Models," </w:t>
      </w:r>
      <w:r>
        <w:rPr>
          <w:rFonts w:ascii="Times New Roman" w:hAnsi="Times New Roman"/>
          <w:i/>
          <w:sz w:val="24"/>
        </w:rPr>
        <w:t>arXiv preprint arXiv:2112.04359</w:t>
      </w:r>
      <w:r>
        <w:rPr>
          <w:rFonts w:ascii="Times New Roman" w:hAnsi="Times New Roman"/>
          <w:sz w:val="24"/>
        </w:rPr>
        <w:t>, 2021.</w:t>
      </w:r>
    </w:p>
    <w:p>
      <w:pPr>
        <w:spacing w:line="360" w:lineRule="auto" w:after="80"/>
        <w:ind w:left="504"/>
        <w:jc w:val="both"/>
      </w:pPr>
      <w:r>
        <w:rPr>
          <w:rFonts w:ascii="Times New Roman" w:hAnsi="Times New Roman"/>
          <w:b/>
          <w:sz w:val="24"/>
        </w:rPr>
        <w:t xml:space="preserve">9.  </w:t>
      </w:r>
      <w:r>
        <w:rPr>
          <w:rFonts w:ascii="Times New Roman" w:hAnsi="Times New Roman"/>
          <w:sz w:val="24"/>
        </w:rPr>
        <w:t xml:space="preserve">N. Carlini, F. Tramer, E. Wallace, M. Jagielski, I. Herbert, M. Lee, A. Roberts, T. Brown, D. Song, U. Erlingsson, and A. Oprea, "Extracting training data from large language models," in </w:t>
      </w:r>
      <w:r>
        <w:rPr>
          <w:rFonts w:ascii="Times New Roman" w:hAnsi="Times New Roman"/>
          <w:i/>
          <w:sz w:val="24"/>
        </w:rPr>
        <w:t>Proc. 30th USENIX Security Symposium</w:t>
      </w:r>
      <w:r>
        <w:rPr>
          <w:rFonts w:ascii="Times New Roman" w:hAnsi="Times New Roman"/>
          <w:sz w:val="24"/>
        </w:rPr>
        <w:t>, 2021, pp. 2633–2650.</w:t>
      </w:r>
    </w:p>
    <w:p>
      <w:pPr>
        <w:spacing w:line="360" w:lineRule="auto" w:after="80"/>
        <w:ind w:left="504"/>
        <w:jc w:val="both"/>
      </w:pPr>
      <w:r>
        <w:rPr>
          <w:rFonts w:ascii="Times New Roman" w:hAnsi="Times New Roman"/>
          <w:b/>
          <w:sz w:val="24"/>
        </w:rPr>
        <w:t xml:space="preserve">10.  </w:t>
      </w:r>
      <w:r>
        <w:rPr>
          <w:rFonts w:ascii="Times New Roman" w:hAnsi="Times New Roman"/>
          <w:sz w:val="24"/>
        </w:rPr>
        <w:t xml:space="preserve">P. Lison, I. Pilán, D. Sánchez, M. Batet, and L. Øvrelid, "Anonymisation models for text data: State of the art, challenges and future directions," in </w:t>
      </w:r>
      <w:r>
        <w:rPr>
          <w:rFonts w:ascii="Times New Roman" w:hAnsi="Times New Roman"/>
          <w:i/>
          <w:sz w:val="24"/>
        </w:rPr>
        <w:t>Proc. 59th Annual Meeting of the Association for Computational Linguistics (ACL)</w:t>
      </w:r>
      <w:r>
        <w:rPr>
          <w:rFonts w:ascii="Times New Roman" w:hAnsi="Times New Roman"/>
          <w:sz w:val="24"/>
        </w:rPr>
        <w:t>, 2021, pp. 4188–4203.</w:t>
      </w:r>
    </w:p>
    <w:p>
      <w:pPr>
        <w:spacing w:line="360" w:lineRule="auto" w:after="80"/>
        <w:ind w:left="504"/>
        <w:jc w:val="both"/>
      </w:pPr>
      <w:r>
        <w:rPr>
          <w:rFonts w:ascii="Times New Roman" w:hAnsi="Times New Roman"/>
          <w:b/>
          <w:sz w:val="24"/>
        </w:rPr>
        <w:t xml:space="preserve">11.  </w:t>
      </w:r>
      <w:r>
        <w:rPr>
          <w:rFonts w:ascii="Times New Roman" w:hAnsi="Times New Roman"/>
          <w:sz w:val="24"/>
        </w:rPr>
        <w:t xml:space="preserve">J. Dean and S. Ghemawat, "MapReduce: Simplified data processing on large clusters," </w:t>
      </w:r>
      <w:r>
        <w:rPr>
          <w:rFonts w:ascii="Times New Roman" w:hAnsi="Times New Roman"/>
          <w:i/>
          <w:sz w:val="24"/>
        </w:rPr>
        <w:t>Communications of the ACM</w:t>
      </w:r>
      <w:r>
        <w:rPr>
          <w:rFonts w:ascii="Times New Roman" w:hAnsi="Times New Roman"/>
          <w:sz w:val="24"/>
        </w:rPr>
        <w:t>, vol. 51, no. 1, pp. 107–113, 2008.</w:t>
      </w:r>
    </w:p>
    <w:p>
      <w:pPr>
        <w:spacing w:line="360" w:lineRule="auto" w:after="80"/>
        <w:ind w:left="504"/>
        <w:jc w:val="both"/>
      </w:pPr>
      <w:r>
        <w:rPr>
          <w:rFonts w:ascii="Times New Roman" w:hAnsi="Times New Roman"/>
          <w:b/>
          <w:sz w:val="24"/>
        </w:rPr>
        <w:t xml:space="preserve">12.  </w:t>
      </w:r>
      <w:r>
        <w:rPr>
          <w:rFonts w:ascii="Times New Roman" w:hAnsi="Times New Roman"/>
          <w:sz w:val="24"/>
        </w:rPr>
        <w:t xml:space="preserve">M. Armbrust, A. Fox, R. Griffith, A. D. Joseph, R. Katz, A. Konwinski, G. Lee, D. Patterson, A. Rabkin, I. Stoica, and M. Zaharia, "A view of cloud computing," </w:t>
      </w:r>
      <w:r>
        <w:rPr>
          <w:rFonts w:ascii="Times New Roman" w:hAnsi="Times New Roman"/>
          <w:i/>
          <w:sz w:val="24"/>
        </w:rPr>
        <w:t>Communications of the ACM</w:t>
      </w:r>
      <w:r>
        <w:rPr>
          <w:rFonts w:ascii="Times New Roman" w:hAnsi="Times New Roman"/>
          <w:sz w:val="24"/>
        </w:rPr>
        <w:t>, vol. 53, no. 4, pp. 50–58, 2010.</w:t>
      </w:r>
    </w:p>
    <w:sectPr w:rsidR="00FC693F" w:rsidRPr="0006063C" w:rsidSect="00034616">
      <w:headerReference w:type="default" r:id="rId10"/>
      <w:footerReference w:type="default" r:id="rId11"/>
      <w:pgSz w:w="11906" w:h="16838"/>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