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E-Commerce Sales Analysis — Executive Summary</w:t>
      </w:r>
    </w:p>
    <w:p>
      <w:pPr>
        <w:jc w:val="center"/>
      </w:pPr>
      <w:r>
        <w:rPr>
          <w:i/>
          <w:sz w:val="18"/>
        </w:rPr>
        <w:t>Excel-based Data Cleaning, Analysis &amp; Visualization</w:t>
      </w:r>
    </w:p>
    <w:p>
      <w:pPr>
        <w:spacing w:before="80" w:after="40"/>
      </w:pPr>
      <w:r>
        <w:rPr>
          <w:b/>
          <w:sz w:val="21"/>
        </w:rPr>
        <w:t>Overview</w:t>
      </w:r>
    </w:p>
    <w:p>
      <w:pPr>
        <w:spacing w:after="60"/>
      </w:pPr>
      <w:r>
        <w:t>The e-commerce dataset contains 2,000 sales transactions and 500 customer records. The workbook was cleaned and validated, dimension tables were combined with transaction data using XLOOKUP, and the results were analyzed using Excel formulas, descriptive statistics, PivotTables, PivotCharts and an interactive dashboard.</w:t>
      </w:r>
    </w:p>
    <w:p>
      <w:pPr>
        <w:spacing w:before="80" w:after="40"/>
      </w:pPr>
      <w:r>
        <w:rPr>
          <w:b/>
          <w:sz w:val="21"/>
        </w:rPr>
        <w:t>Key Findings</w:t>
      </w:r>
    </w:p>
    <w:tbl>
      <w:tblPr>
        <w:tblStyle w:val="TableGrid"/>
        <w:tblW w:type="auto" w:w="0"/>
        <w:jc w:val="center"/>
        <w:tblLook w:firstColumn="1" w:firstRow="1" w:lastColumn="0" w:lastRow="0" w:noHBand="0" w:noVBand="1" w:val="04A0"/>
      </w:tblPr>
      <w:tblGrid>
        <w:gridCol w:w="5184"/>
        <w:gridCol w:w="5184"/>
      </w:tblGrid>
      <w:tr>
        <w:tc>
          <w:tcPr>
            <w:tcW w:type="dxa" w:w="1944"/>
          </w:tcPr>
          <w:p>
            <w:pPr>
              <w:spacing w:after="0"/>
            </w:pPr>
            <w:r>
              <w:rPr>
                <w:b/>
                <w:sz w:val="16"/>
              </w:rPr>
              <w:t>Area</w:t>
            </w:r>
          </w:p>
        </w:tc>
        <w:tc>
          <w:tcPr>
            <w:tcW w:type="dxa" w:w="8568"/>
          </w:tcPr>
          <w:p>
            <w:pPr>
              <w:spacing w:after="0"/>
            </w:pPr>
            <w:r>
              <w:rPr>
                <w:b/>
                <w:sz w:val="16"/>
              </w:rPr>
              <w:t>Finding</w:t>
            </w:r>
          </w:p>
        </w:tc>
      </w:tr>
      <w:tr>
        <w:tc>
          <w:tcPr>
            <w:tcW w:type="dxa" w:w="1944"/>
            <w:vAlign w:val="center"/>
          </w:tcPr>
          <w:p>
            <w:pPr>
              <w:spacing w:after="0"/>
            </w:pPr>
            <w:r>
              <w:rPr>
                <w:sz w:val="16"/>
              </w:rPr>
              <w:t>Overall performance</w:t>
            </w:r>
          </w:p>
        </w:tc>
        <w:tc>
          <w:tcPr>
            <w:tcW w:type="dxa" w:w="8568"/>
            <w:vAlign w:val="center"/>
          </w:tcPr>
          <w:p>
            <w:pPr>
              <w:spacing w:after="0"/>
            </w:pPr>
            <w:r>
              <w:rPr>
                <w:sz w:val="16"/>
              </w:rPr>
              <w:t>Total sales were $2,174,394.70 across 2,000 orders and 4,964 units.</w:t>
            </w:r>
          </w:p>
        </w:tc>
      </w:tr>
      <w:tr>
        <w:tc>
          <w:tcPr>
            <w:tcW w:type="dxa" w:w="1944"/>
            <w:vAlign w:val="center"/>
          </w:tcPr>
          <w:p>
            <w:pPr>
              <w:spacing w:after="0"/>
            </w:pPr>
            <w:r>
              <w:rPr>
                <w:sz w:val="16"/>
              </w:rPr>
              <w:t>Category</w:t>
            </w:r>
          </w:p>
        </w:tc>
        <w:tc>
          <w:tcPr>
            <w:tcW w:type="dxa" w:w="8568"/>
            <w:vAlign w:val="center"/>
          </w:tcPr>
          <w:p>
            <w:pPr>
              <w:spacing w:after="0"/>
            </w:pPr>
            <w:r>
              <w:rPr>
                <w:sz w:val="16"/>
              </w:rPr>
              <w:t>Sports generated the highest category sales at $542,010.17 (24.9% of total sales).</w:t>
            </w:r>
          </w:p>
        </w:tc>
      </w:tr>
      <w:tr>
        <w:tc>
          <w:tcPr>
            <w:tcW w:type="dxa" w:w="1944"/>
            <w:vAlign w:val="center"/>
          </w:tcPr>
          <w:p>
            <w:pPr>
              <w:spacing w:after="0"/>
            </w:pPr>
            <w:r>
              <w:rPr>
                <w:sz w:val="16"/>
              </w:rPr>
              <w:t>Region</w:t>
            </w:r>
          </w:p>
        </w:tc>
        <w:tc>
          <w:tcPr>
            <w:tcW w:type="dxa" w:w="8568"/>
            <w:vAlign w:val="center"/>
          </w:tcPr>
          <w:p>
            <w:pPr>
              <w:spacing w:after="0"/>
            </w:pPr>
            <w:r>
              <w:rPr>
                <w:sz w:val="16"/>
              </w:rPr>
              <w:t>North was the strongest region at $646,100.88 (29.7% of total sales).</w:t>
            </w:r>
          </w:p>
        </w:tc>
      </w:tr>
      <w:tr>
        <w:tc>
          <w:tcPr>
            <w:tcW w:type="dxa" w:w="1944"/>
            <w:vAlign w:val="center"/>
          </w:tcPr>
          <w:p>
            <w:pPr>
              <w:spacing w:after="0"/>
            </w:pPr>
            <w:r>
              <w:rPr>
                <w:sz w:val="16"/>
              </w:rPr>
              <w:t>Payment type</w:t>
            </w:r>
          </w:p>
        </w:tc>
        <w:tc>
          <w:tcPr>
            <w:tcW w:type="dxa" w:w="8568"/>
            <w:vAlign w:val="center"/>
          </w:tcPr>
          <w:p>
            <w:pPr>
              <w:spacing w:after="0"/>
            </w:pPr>
            <w:r>
              <w:rPr>
                <w:sz w:val="16"/>
              </w:rPr>
              <w:t>PayPal was the largest payment channel at $756,754.57 (34.8% of sales).</w:t>
            </w:r>
          </w:p>
        </w:tc>
      </w:tr>
      <w:tr>
        <w:tc>
          <w:tcPr>
            <w:tcW w:type="dxa" w:w="1944"/>
            <w:vAlign w:val="center"/>
          </w:tcPr>
          <w:p>
            <w:pPr>
              <w:spacing w:after="0"/>
            </w:pPr>
            <w:r>
              <w:rPr>
                <w:sz w:val="16"/>
              </w:rPr>
              <w:t>Products</w:t>
            </w:r>
          </w:p>
        </w:tc>
        <w:tc>
          <w:tcPr>
            <w:tcW w:type="dxa" w:w="8568"/>
            <w:vAlign w:val="center"/>
          </w:tcPr>
          <w:p>
            <w:pPr>
              <w:spacing w:after="0"/>
            </w:pPr>
            <w:r>
              <w:rPr>
                <w:sz w:val="16"/>
              </w:rPr>
              <w:t>Portable Power Bank led product sales at $41,852.50; Men's Casual Sneakers led quantity at 87 units.</w:t>
            </w:r>
          </w:p>
        </w:tc>
      </w:tr>
      <w:tr>
        <w:tc>
          <w:tcPr>
            <w:tcW w:type="dxa" w:w="1944"/>
            <w:vAlign w:val="center"/>
          </w:tcPr>
          <w:p>
            <w:pPr>
              <w:spacing w:after="0"/>
            </w:pPr>
            <w:r>
              <w:rPr>
                <w:sz w:val="16"/>
              </w:rPr>
              <w:t>Customer</w:t>
            </w:r>
          </w:p>
        </w:tc>
        <w:tc>
          <w:tcPr>
            <w:tcW w:type="dxa" w:w="8568"/>
            <w:vAlign w:val="center"/>
          </w:tcPr>
          <w:p>
            <w:pPr>
              <w:spacing w:after="0"/>
            </w:pPr>
            <w:r>
              <w:rPr>
                <w:sz w:val="16"/>
              </w:rPr>
              <w:t>Jordan Wells was the highest-spending customer at $17,147.71. Platinum was the largest known loyalty group (145 of 496).</w:t>
            </w:r>
          </w:p>
        </w:tc>
      </w:tr>
      <w:tr>
        <w:tc>
          <w:tcPr>
            <w:tcW w:type="dxa" w:w="1944"/>
            <w:vAlign w:val="center"/>
          </w:tcPr>
          <w:p>
            <w:pPr>
              <w:spacing w:after="0"/>
            </w:pPr>
            <w:r>
              <w:rPr>
                <w:sz w:val="16"/>
              </w:rPr>
              <w:t>Time trend</w:t>
            </w:r>
          </w:p>
        </w:tc>
        <w:tc>
          <w:tcPr>
            <w:tcW w:type="dxa" w:w="8568"/>
            <w:vAlign w:val="center"/>
          </w:tcPr>
          <w:p>
            <w:pPr>
              <w:spacing w:after="0"/>
            </w:pPr>
            <w:r>
              <w:rPr>
                <w:sz w:val="16"/>
              </w:rPr>
              <w:t>2024 was the strongest full year at $1,093,911.79. 2025 sales were $856,670.19, about 21.7% lower than 2024.</w:t>
            </w:r>
          </w:p>
        </w:tc>
      </w:tr>
    </w:tbl>
    <w:p>
      <w:pPr>
        <w:spacing w:before="80" w:after="40"/>
      </w:pPr>
      <w:r>
        <w:rPr>
          <w:b/>
          <w:sz w:val="21"/>
        </w:rPr>
        <w:t>Business Decisions / Recommendations</w:t>
      </w:r>
    </w:p>
    <w:p>
      <w:pPr>
        <w:spacing w:after="24"/>
        <w:ind w:left="259" w:hanging="173"/>
      </w:pPr>
      <w:r>
        <w:rPr>
          <w:b/>
        </w:rPr>
        <w:t xml:space="preserve">• </w:t>
      </w:r>
      <w:r>
        <w:t>Prioritize inventory and promotional attention on the Sports category and high-selling products such as Portable Power Bank.</w:t>
      </w:r>
    </w:p>
    <w:p>
      <w:pPr>
        <w:spacing w:after="24"/>
        <w:ind w:left="259" w:hanging="173"/>
      </w:pPr>
      <w:r>
        <w:rPr>
          <w:b/>
        </w:rPr>
        <w:t xml:space="preserve">• </w:t>
      </w:r>
      <w:r>
        <w:t>Review the 2025 sales decline versus 2024 by category, region and month to identify the main sources of the slowdown.</w:t>
      </w:r>
    </w:p>
    <w:p>
      <w:pPr>
        <w:spacing w:after="24"/>
        <w:ind w:left="259" w:hanging="173"/>
      </w:pPr>
      <w:r>
        <w:rPr>
          <w:b/>
        </w:rPr>
        <w:t xml:space="preserve">• </w:t>
      </w:r>
      <w:r>
        <w:t>Use customer loyalty insights to strengthen retention activity for Platinum customers and develop targeted offers for other tiers.</w:t>
      </w:r>
    </w:p>
    <w:p>
      <w:pPr>
        <w:spacing w:after="24"/>
        <w:ind w:left="259" w:hanging="173"/>
      </w:pPr>
      <w:r>
        <w:rPr>
          <w:b/>
        </w:rPr>
        <w:t xml:space="preserve">• </w:t>
      </w:r>
      <w:r>
        <w:t>Continue monitoring PayPal and North-region performance while comparing results with the other payment channels and regions.</w:t>
      </w:r>
    </w:p>
    <w:p>
      <w:pPr>
        <w:spacing w:before="80" w:after="40"/>
      </w:pPr>
      <w:r>
        <w:rPr>
          <w:b/>
          <w:sz w:val="21"/>
        </w:rPr>
        <w:t>Analysis Approach</w:t>
      </w:r>
    </w:p>
    <w:p>
      <w:pPr>
        <w:spacing w:after="0"/>
      </w:pPr>
      <w:r>
        <w:t>The workbook includes cleaned dimension and fact tables, a Master_Sales sheet created with XLOOKUP, KPI/formula analysis, mean/median/mode/standard-deviation statistics, multi-dimensional PivotTables, multiple chart types, and an interactive dashboard with Category, Region, Store and Payment Type slicers.</w:t>
      </w:r>
    </w:p>
    <w:p>
      <w:pPr>
        <w:spacing w:before="80"/>
        <w:jc w:val="right"/>
      </w:pPr>
      <w:r>
        <w:rPr>
          <w:i/>
          <w:sz w:val="16"/>
        </w:rPr>
        <w:t>Prepared from the final Excel analysis workbook.</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