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4F908" w14:textId="77777777" w:rsidR="00FC2AF6" w:rsidRPr="00FC2AF6" w:rsidRDefault="00FC2AF6" w:rsidP="00FC2AF6">
      <w:pPr>
        <w:rPr>
          <w:b/>
          <w:bCs/>
          <w:sz w:val="44"/>
          <w:szCs w:val="44"/>
        </w:rPr>
      </w:pPr>
      <w:r w:rsidRPr="00FC2AF6">
        <w:rPr>
          <w:b/>
          <w:bCs/>
          <w:sz w:val="44"/>
          <w:szCs w:val="44"/>
        </w:rPr>
        <w:t>Tesla in Transition: Unpacking Shareholder Value and Strategic Resilience (2021–2024)</w:t>
      </w:r>
    </w:p>
    <w:p w14:paraId="74A28603" w14:textId="77777777" w:rsidR="00FC2AF6" w:rsidRPr="00FC2AF6" w:rsidRDefault="00FC2AF6" w:rsidP="00FC2AF6">
      <w:pPr>
        <w:rPr>
          <w:b/>
          <w:bCs/>
          <w:sz w:val="32"/>
          <w:szCs w:val="32"/>
        </w:rPr>
      </w:pPr>
      <w:r w:rsidRPr="00FC2AF6">
        <w:rPr>
          <w:b/>
          <w:bCs/>
          <w:sz w:val="32"/>
          <w:szCs w:val="32"/>
        </w:rPr>
        <w:t>Executive Summary</w:t>
      </w:r>
    </w:p>
    <w:p w14:paraId="19FC26B1" w14:textId="77777777" w:rsidR="00FC2AF6" w:rsidRPr="00FC2AF6" w:rsidRDefault="00FC2AF6" w:rsidP="00FC2AF6">
      <w:r w:rsidRPr="00FC2AF6">
        <w:t xml:space="preserve">Between 2021 and 2024, Tesla, Inc. epitomized both the opportunities and challenges that confront disruptive enterprises in a rapidly evolving sector. </w:t>
      </w:r>
      <w:proofErr w:type="spellStart"/>
      <w:r w:rsidRPr="00FC2AF6">
        <w:t>Fueled</w:t>
      </w:r>
      <w:proofErr w:type="spellEnd"/>
      <w:r w:rsidRPr="00FC2AF6">
        <w:t xml:space="preserve"> by early pandemic momentum and innovation, Tesla later encountered significant volatility stemming from macroeconomic shifts, competitive pressures, and internal transitions. This case study dissects Tesla's journey through these years, </w:t>
      </w:r>
      <w:proofErr w:type="spellStart"/>
      <w:r w:rsidRPr="00FC2AF6">
        <w:t>analyzing</w:t>
      </w:r>
      <w:proofErr w:type="spellEnd"/>
      <w:r w:rsidRPr="00FC2AF6">
        <w:t xml:space="preserve"> its market performance, financial trajectory, response strategies, and </w:t>
      </w:r>
      <w:proofErr w:type="gramStart"/>
      <w:r w:rsidRPr="00FC2AF6">
        <w:t>future outlook</w:t>
      </w:r>
      <w:proofErr w:type="gramEnd"/>
      <w:r w:rsidRPr="00FC2AF6">
        <w:t>.</w:t>
      </w:r>
    </w:p>
    <w:p w14:paraId="796502AE" w14:textId="77777777" w:rsidR="00FC2AF6" w:rsidRPr="00FC2AF6" w:rsidRDefault="00FC2AF6" w:rsidP="00FC2AF6">
      <w:r w:rsidRPr="00FC2AF6">
        <w:t>Market Dynamics: Share Price Evolution and Investor Sentiment</w:t>
      </w:r>
    </w:p>
    <w:p w14:paraId="236B8F6E" w14:textId="77777777" w:rsidR="00FC2AF6" w:rsidRDefault="00FC2AF6" w:rsidP="00FC2AF6">
      <w:pPr>
        <w:rPr>
          <w:b/>
          <w:bCs/>
        </w:rPr>
      </w:pPr>
      <w:r w:rsidRPr="00FC2AF6">
        <w:rPr>
          <w:b/>
          <w:bCs/>
        </w:rPr>
        <w:t>Momentum and Peak (2021):</w:t>
      </w:r>
    </w:p>
    <w:p w14:paraId="3324B7C3" w14:textId="27773651" w:rsidR="00FC2AF6" w:rsidRPr="00FC2AF6" w:rsidRDefault="00FC2AF6" w:rsidP="00FC2AF6">
      <w:r w:rsidRPr="00FC2AF6">
        <w:br/>
        <w:t>At the onset of 2021, Tesla's market standing was formidable. Its inclusion in the S&amp;P 500, alongside surging electric vehicle demand and record-busting deliveries, propelled its share price over 50% through November to a high of $1,243.49 (post-split-adjusted). This period was characterized by exceptional investor optimism and a “growth stock” halo.</w:t>
      </w:r>
    </w:p>
    <w:p w14:paraId="22AA72B5" w14:textId="77777777" w:rsidR="00FC2AF6" w:rsidRPr="00FC2AF6" w:rsidRDefault="00FC2AF6" w:rsidP="00FC2AF6">
      <w:r w:rsidRPr="00FC2AF6">
        <w:rPr>
          <w:b/>
          <w:bCs/>
        </w:rPr>
        <w:t>Correction and Headwinds (2022):</w:t>
      </w:r>
      <w:r w:rsidRPr="00FC2AF6">
        <w:br/>
        <w:t>However, in 2022, macroeconomic realities—chiefly inflation, interest rate hikes, and global supply chain snarls—prompted a broad market pullback, disproportionately impacting high-valuation technology firms like Tesla. The company’s stock plummeted nearly 65% from its previous high, closing the year near $123.18. The turbulence intensified with CEO Elon Musk’s high-profile acquisition of Twitter, which led to Tesla share sales and concerns about leadership distraction.</w:t>
      </w:r>
    </w:p>
    <w:p w14:paraId="7FFF4C70" w14:textId="77777777" w:rsidR="00FC2AF6" w:rsidRPr="00FC2AF6" w:rsidRDefault="00FC2AF6" w:rsidP="00FC2AF6">
      <w:r w:rsidRPr="00FC2AF6">
        <w:rPr>
          <w:b/>
          <w:bCs/>
        </w:rPr>
        <w:t>Recovery and Resistance (2023):</w:t>
      </w:r>
      <w:r w:rsidRPr="00FC2AF6">
        <w:br/>
        <w:t>After the nadir at the close of 2022, Tesla showed remarkable resilience. Strong operational results, cost strategy pivots, and steady production recoveries allowed shares to rebound 70% by mid-2023, stabilizing around $250. Technical analysis identified a persistent descending triangle formation, with key resistance at $275–$285 and support at the $130–$140 threshold—levels repeatedly tested throughout the period.</w:t>
      </w:r>
    </w:p>
    <w:p w14:paraId="002457DB" w14:textId="77777777" w:rsidR="00FC2AF6" w:rsidRPr="00FC2AF6" w:rsidRDefault="00FC2AF6" w:rsidP="00FC2AF6">
      <w:r w:rsidRPr="00FC2AF6">
        <w:t>Financial Health and Operational Performance</w:t>
      </w:r>
    </w:p>
    <w:tbl>
      <w:tblPr>
        <w:tblW w:w="11100" w:type="dxa"/>
        <w:tblCellMar>
          <w:top w:w="15" w:type="dxa"/>
          <w:left w:w="15" w:type="dxa"/>
          <w:bottom w:w="15" w:type="dxa"/>
          <w:right w:w="15" w:type="dxa"/>
        </w:tblCellMar>
        <w:tblLook w:val="04A0" w:firstRow="1" w:lastRow="0" w:firstColumn="1" w:lastColumn="0" w:noHBand="0" w:noVBand="1"/>
      </w:tblPr>
      <w:tblGrid>
        <w:gridCol w:w="1023"/>
        <w:gridCol w:w="2247"/>
        <w:gridCol w:w="3526"/>
        <w:gridCol w:w="4304"/>
      </w:tblGrid>
      <w:tr w:rsidR="00FC2AF6" w:rsidRPr="00FC2AF6" w14:paraId="52200B55" w14:textId="77777777">
        <w:trPr>
          <w:tblHeader/>
        </w:trPr>
        <w:tc>
          <w:tcPr>
            <w:tcW w:w="0" w:type="auto"/>
            <w:tcMar>
              <w:top w:w="120" w:type="dxa"/>
              <w:left w:w="120" w:type="dxa"/>
              <w:bottom w:w="120" w:type="dxa"/>
              <w:right w:w="120" w:type="dxa"/>
            </w:tcMar>
            <w:hideMark/>
          </w:tcPr>
          <w:p w14:paraId="75AEE4B5" w14:textId="77777777" w:rsidR="00FC2AF6" w:rsidRPr="00FC2AF6" w:rsidRDefault="00FC2AF6" w:rsidP="00FC2AF6">
            <w:pPr>
              <w:rPr>
                <w:b/>
                <w:bCs/>
              </w:rPr>
            </w:pPr>
            <w:r w:rsidRPr="00FC2AF6">
              <w:rPr>
                <w:b/>
                <w:bCs/>
              </w:rPr>
              <w:lastRenderedPageBreak/>
              <w:t>Year</w:t>
            </w:r>
          </w:p>
        </w:tc>
        <w:tc>
          <w:tcPr>
            <w:tcW w:w="0" w:type="auto"/>
            <w:tcMar>
              <w:top w:w="120" w:type="dxa"/>
              <w:left w:w="120" w:type="dxa"/>
              <w:bottom w:w="120" w:type="dxa"/>
              <w:right w:w="120" w:type="dxa"/>
            </w:tcMar>
            <w:hideMark/>
          </w:tcPr>
          <w:p w14:paraId="5188E831" w14:textId="77777777" w:rsidR="00FC2AF6" w:rsidRPr="00FC2AF6" w:rsidRDefault="00FC2AF6" w:rsidP="00FC2AF6">
            <w:pPr>
              <w:rPr>
                <w:b/>
                <w:bCs/>
              </w:rPr>
            </w:pPr>
            <w:r w:rsidRPr="00FC2AF6">
              <w:rPr>
                <w:b/>
                <w:bCs/>
              </w:rPr>
              <w:t>Revenue ($B)</w:t>
            </w:r>
          </w:p>
        </w:tc>
        <w:tc>
          <w:tcPr>
            <w:tcW w:w="0" w:type="auto"/>
            <w:tcMar>
              <w:top w:w="120" w:type="dxa"/>
              <w:left w:w="120" w:type="dxa"/>
              <w:bottom w:w="120" w:type="dxa"/>
              <w:right w:w="120" w:type="dxa"/>
            </w:tcMar>
            <w:hideMark/>
          </w:tcPr>
          <w:p w14:paraId="0C408422" w14:textId="77777777" w:rsidR="00FC2AF6" w:rsidRPr="00FC2AF6" w:rsidRDefault="00FC2AF6" w:rsidP="00FC2AF6">
            <w:pPr>
              <w:rPr>
                <w:b/>
                <w:bCs/>
              </w:rPr>
            </w:pPr>
            <w:r w:rsidRPr="00FC2AF6">
              <w:rPr>
                <w:b/>
                <w:bCs/>
              </w:rPr>
              <w:t>Earnings Per Share ($)</w:t>
            </w:r>
          </w:p>
        </w:tc>
        <w:tc>
          <w:tcPr>
            <w:tcW w:w="0" w:type="auto"/>
            <w:tcMar>
              <w:top w:w="120" w:type="dxa"/>
              <w:left w:w="120" w:type="dxa"/>
              <w:bottom w:w="120" w:type="dxa"/>
              <w:right w:w="120" w:type="dxa"/>
            </w:tcMar>
            <w:hideMark/>
          </w:tcPr>
          <w:p w14:paraId="2219C826" w14:textId="77777777" w:rsidR="00FC2AF6" w:rsidRPr="00FC2AF6" w:rsidRDefault="00FC2AF6" w:rsidP="00FC2AF6">
            <w:pPr>
              <w:rPr>
                <w:b/>
                <w:bCs/>
              </w:rPr>
            </w:pPr>
            <w:r w:rsidRPr="00FC2AF6">
              <w:rPr>
                <w:b/>
                <w:bCs/>
              </w:rPr>
              <w:t>Margin Trend</w:t>
            </w:r>
          </w:p>
        </w:tc>
      </w:tr>
      <w:tr w:rsidR="00FC2AF6" w:rsidRPr="00FC2AF6" w14:paraId="6356552B" w14:textId="77777777">
        <w:tc>
          <w:tcPr>
            <w:tcW w:w="0" w:type="auto"/>
            <w:tcMar>
              <w:top w:w="137" w:type="dxa"/>
              <w:left w:w="120" w:type="dxa"/>
              <w:bottom w:w="137" w:type="dxa"/>
              <w:right w:w="120" w:type="dxa"/>
            </w:tcMar>
            <w:vAlign w:val="bottom"/>
            <w:hideMark/>
          </w:tcPr>
          <w:p w14:paraId="325F9831" w14:textId="77777777" w:rsidR="00FC2AF6" w:rsidRPr="00FC2AF6" w:rsidRDefault="00FC2AF6" w:rsidP="00FC2AF6">
            <w:r w:rsidRPr="00FC2AF6">
              <w:t>2021</w:t>
            </w:r>
          </w:p>
        </w:tc>
        <w:tc>
          <w:tcPr>
            <w:tcW w:w="0" w:type="auto"/>
            <w:tcMar>
              <w:top w:w="137" w:type="dxa"/>
              <w:left w:w="120" w:type="dxa"/>
              <w:bottom w:w="137" w:type="dxa"/>
              <w:right w:w="120" w:type="dxa"/>
            </w:tcMar>
            <w:vAlign w:val="bottom"/>
            <w:hideMark/>
          </w:tcPr>
          <w:p w14:paraId="185E6140" w14:textId="77777777" w:rsidR="00FC2AF6" w:rsidRPr="00FC2AF6" w:rsidRDefault="00FC2AF6" w:rsidP="00FC2AF6">
            <w:r w:rsidRPr="00FC2AF6">
              <w:t>53.82</w:t>
            </w:r>
          </w:p>
        </w:tc>
        <w:tc>
          <w:tcPr>
            <w:tcW w:w="0" w:type="auto"/>
            <w:tcMar>
              <w:top w:w="137" w:type="dxa"/>
              <w:left w:w="120" w:type="dxa"/>
              <w:bottom w:w="137" w:type="dxa"/>
              <w:right w:w="120" w:type="dxa"/>
            </w:tcMar>
            <w:vAlign w:val="bottom"/>
            <w:hideMark/>
          </w:tcPr>
          <w:p w14:paraId="77C598BB" w14:textId="77777777" w:rsidR="00FC2AF6" w:rsidRPr="00FC2AF6" w:rsidRDefault="00FC2AF6" w:rsidP="00FC2AF6">
            <w:r w:rsidRPr="00FC2AF6">
              <w:t>6.78</w:t>
            </w:r>
          </w:p>
        </w:tc>
        <w:tc>
          <w:tcPr>
            <w:tcW w:w="0" w:type="auto"/>
            <w:tcMar>
              <w:top w:w="137" w:type="dxa"/>
              <w:left w:w="120" w:type="dxa"/>
              <w:bottom w:w="137" w:type="dxa"/>
              <w:right w:w="120" w:type="dxa"/>
            </w:tcMar>
            <w:vAlign w:val="bottom"/>
            <w:hideMark/>
          </w:tcPr>
          <w:p w14:paraId="72813EE2" w14:textId="77777777" w:rsidR="00FC2AF6" w:rsidRPr="00FC2AF6" w:rsidRDefault="00FC2AF6" w:rsidP="00FC2AF6">
            <w:r w:rsidRPr="00FC2AF6">
              <w:t>High: Robust demand</w:t>
            </w:r>
          </w:p>
        </w:tc>
      </w:tr>
      <w:tr w:rsidR="00FC2AF6" w:rsidRPr="00FC2AF6" w14:paraId="2A669DDB" w14:textId="77777777">
        <w:tc>
          <w:tcPr>
            <w:tcW w:w="0" w:type="auto"/>
            <w:tcMar>
              <w:top w:w="137" w:type="dxa"/>
              <w:left w:w="120" w:type="dxa"/>
              <w:bottom w:w="137" w:type="dxa"/>
              <w:right w:w="120" w:type="dxa"/>
            </w:tcMar>
            <w:vAlign w:val="bottom"/>
            <w:hideMark/>
          </w:tcPr>
          <w:p w14:paraId="020E3036" w14:textId="77777777" w:rsidR="00FC2AF6" w:rsidRPr="00FC2AF6" w:rsidRDefault="00FC2AF6" w:rsidP="00FC2AF6">
            <w:r w:rsidRPr="00FC2AF6">
              <w:t>2022</w:t>
            </w:r>
          </w:p>
        </w:tc>
        <w:tc>
          <w:tcPr>
            <w:tcW w:w="0" w:type="auto"/>
            <w:tcMar>
              <w:top w:w="137" w:type="dxa"/>
              <w:left w:w="120" w:type="dxa"/>
              <w:bottom w:w="137" w:type="dxa"/>
              <w:right w:w="120" w:type="dxa"/>
            </w:tcMar>
            <w:vAlign w:val="bottom"/>
            <w:hideMark/>
          </w:tcPr>
          <w:p w14:paraId="755C3612" w14:textId="77777777" w:rsidR="00FC2AF6" w:rsidRPr="00FC2AF6" w:rsidRDefault="00FC2AF6" w:rsidP="00FC2AF6">
            <w:r w:rsidRPr="00FC2AF6">
              <w:t>81.46</w:t>
            </w:r>
          </w:p>
        </w:tc>
        <w:tc>
          <w:tcPr>
            <w:tcW w:w="0" w:type="auto"/>
            <w:tcMar>
              <w:top w:w="137" w:type="dxa"/>
              <w:left w:w="120" w:type="dxa"/>
              <w:bottom w:w="137" w:type="dxa"/>
              <w:right w:w="120" w:type="dxa"/>
            </w:tcMar>
            <w:vAlign w:val="bottom"/>
            <w:hideMark/>
          </w:tcPr>
          <w:p w14:paraId="6D93420E" w14:textId="77777777" w:rsidR="00FC2AF6" w:rsidRPr="00FC2AF6" w:rsidRDefault="00FC2AF6" w:rsidP="00FC2AF6">
            <w:r w:rsidRPr="00FC2AF6">
              <w:t>3.62</w:t>
            </w:r>
          </w:p>
        </w:tc>
        <w:tc>
          <w:tcPr>
            <w:tcW w:w="0" w:type="auto"/>
            <w:tcMar>
              <w:top w:w="137" w:type="dxa"/>
              <w:left w:w="120" w:type="dxa"/>
              <w:bottom w:w="137" w:type="dxa"/>
              <w:right w:w="120" w:type="dxa"/>
            </w:tcMar>
            <w:vAlign w:val="bottom"/>
            <w:hideMark/>
          </w:tcPr>
          <w:p w14:paraId="455A0B0C" w14:textId="77777777" w:rsidR="00FC2AF6" w:rsidRPr="00FC2AF6" w:rsidRDefault="00FC2AF6" w:rsidP="00FC2AF6">
            <w:r w:rsidRPr="00FC2AF6">
              <w:t>Lower: Price competition</w:t>
            </w:r>
          </w:p>
        </w:tc>
      </w:tr>
      <w:tr w:rsidR="00FC2AF6" w:rsidRPr="00FC2AF6" w14:paraId="043E7C22" w14:textId="77777777">
        <w:tc>
          <w:tcPr>
            <w:tcW w:w="0" w:type="auto"/>
            <w:tcMar>
              <w:top w:w="137" w:type="dxa"/>
              <w:left w:w="120" w:type="dxa"/>
              <w:bottom w:w="137" w:type="dxa"/>
              <w:right w:w="120" w:type="dxa"/>
            </w:tcMar>
            <w:vAlign w:val="bottom"/>
            <w:hideMark/>
          </w:tcPr>
          <w:p w14:paraId="3DC2B3E0" w14:textId="77777777" w:rsidR="00FC2AF6" w:rsidRPr="00FC2AF6" w:rsidRDefault="00FC2AF6" w:rsidP="00FC2AF6">
            <w:r w:rsidRPr="00FC2AF6">
              <w:t>2023</w:t>
            </w:r>
          </w:p>
        </w:tc>
        <w:tc>
          <w:tcPr>
            <w:tcW w:w="0" w:type="auto"/>
            <w:tcMar>
              <w:top w:w="137" w:type="dxa"/>
              <w:left w:w="120" w:type="dxa"/>
              <w:bottom w:w="137" w:type="dxa"/>
              <w:right w:w="120" w:type="dxa"/>
            </w:tcMar>
            <w:vAlign w:val="bottom"/>
            <w:hideMark/>
          </w:tcPr>
          <w:p w14:paraId="717B5FA1" w14:textId="77777777" w:rsidR="00FC2AF6" w:rsidRPr="00FC2AF6" w:rsidRDefault="00FC2AF6" w:rsidP="00FC2AF6">
            <w:r w:rsidRPr="00FC2AF6">
              <w:t>&gt;81.46*</w:t>
            </w:r>
          </w:p>
        </w:tc>
        <w:tc>
          <w:tcPr>
            <w:tcW w:w="0" w:type="auto"/>
            <w:tcMar>
              <w:top w:w="137" w:type="dxa"/>
              <w:left w:w="120" w:type="dxa"/>
              <w:bottom w:w="137" w:type="dxa"/>
              <w:right w:w="120" w:type="dxa"/>
            </w:tcMar>
            <w:vAlign w:val="bottom"/>
            <w:hideMark/>
          </w:tcPr>
          <w:p w14:paraId="251099BA" w14:textId="77777777" w:rsidR="00FC2AF6" w:rsidRPr="00FC2AF6" w:rsidRDefault="00FC2AF6" w:rsidP="00FC2AF6">
            <w:r w:rsidRPr="00FC2AF6">
              <w:t>[Declined]</w:t>
            </w:r>
          </w:p>
        </w:tc>
        <w:tc>
          <w:tcPr>
            <w:tcW w:w="0" w:type="auto"/>
            <w:tcMar>
              <w:top w:w="137" w:type="dxa"/>
              <w:left w:w="120" w:type="dxa"/>
              <w:bottom w:w="137" w:type="dxa"/>
              <w:right w:w="120" w:type="dxa"/>
            </w:tcMar>
            <w:vAlign w:val="bottom"/>
            <w:hideMark/>
          </w:tcPr>
          <w:p w14:paraId="08E64054" w14:textId="77777777" w:rsidR="00FC2AF6" w:rsidRPr="00FC2AF6" w:rsidRDefault="00FC2AF6" w:rsidP="00FC2AF6">
            <w:r w:rsidRPr="00FC2AF6">
              <w:t>Under pressure, still positive</w:t>
            </w:r>
          </w:p>
        </w:tc>
      </w:tr>
    </w:tbl>
    <w:p w14:paraId="6C2CDEDE" w14:textId="77777777" w:rsidR="00FC2AF6" w:rsidRPr="00FC2AF6" w:rsidRDefault="00FC2AF6" w:rsidP="00FC2AF6">
      <w:r w:rsidRPr="00FC2AF6">
        <w:t>*2023 revenue estimated to modestly exceed 2022 values.</w:t>
      </w:r>
    </w:p>
    <w:p w14:paraId="106EE589" w14:textId="77777777" w:rsidR="00FC2AF6" w:rsidRPr="00FC2AF6" w:rsidRDefault="00FC2AF6" w:rsidP="00FC2AF6">
      <w:r w:rsidRPr="00FC2AF6">
        <w:rPr>
          <w:b/>
          <w:bCs/>
        </w:rPr>
        <w:t>Revenue Expansion:</w:t>
      </w:r>
      <w:r w:rsidRPr="00FC2AF6">
        <w:br/>
        <w:t>Tesla’s topline growth was underpinned by commissioning new gigafactories in Berlin and Texas, driving deliveries and scale. Revenues jumped over 50% in the year between 2021 and 2022.</w:t>
      </w:r>
    </w:p>
    <w:p w14:paraId="0968680E" w14:textId="77777777" w:rsidR="00FC2AF6" w:rsidRPr="00FC2AF6" w:rsidRDefault="00FC2AF6" w:rsidP="00FC2AF6">
      <w:r w:rsidRPr="00FC2AF6">
        <w:rPr>
          <w:b/>
          <w:bCs/>
        </w:rPr>
        <w:t>Profitability and Margin Management:</w:t>
      </w:r>
      <w:r w:rsidRPr="00FC2AF6">
        <w:br/>
        <w:t>While profitability remained positive, margin pressure grew in 2023. Rival EV launches forced Tesla to lower vehicle prices to defend market share, compressing automotive margins. However, energy products and after-sales services became increasingly significant profit contributors.</w:t>
      </w:r>
    </w:p>
    <w:p w14:paraId="056C85CE" w14:textId="77777777" w:rsidR="00FC2AF6" w:rsidRPr="00FC2AF6" w:rsidRDefault="00FC2AF6" w:rsidP="00FC2AF6">
      <w:r w:rsidRPr="00FC2AF6">
        <w:rPr>
          <w:b/>
          <w:bCs/>
        </w:rPr>
        <w:t>Earnings Per Share:</w:t>
      </w:r>
      <w:r w:rsidRPr="00FC2AF6">
        <w:br/>
        <w:t>EPS peaked in 2021 and softened in subsequent years largely due to macro headwinds and the deliberate strategic decision to prioritize volume and market penetration over near-term margin maximization.</w:t>
      </w:r>
    </w:p>
    <w:p w14:paraId="2F55E376" w14:textId="77777777" w:rsidR="00FC2AF6" w:rsidRPr="00FC2AF6" w:rsidRDefault="00FC2AF6" w:rsidP="00FC2AF6">
      <w:r w:rsidRPr="00FC2AF6">
        <w:t>Strategic Moves and Competitive Response</w:t>
      </w:r>
    </w:p>
    <w:p w14:paraId="0D04057B" w14:textId="77777777" w:rsidR="00FC2AF6" w:rsidRPr="00FC2AF6" w:rsidRDefault="00FC2AF6" w:rsidP="00FC2AF6">
      <w:r w:rsidRPr="00FC2AF6">
        <w:rPr>
          <w:b/>
          <w:bCs/>
        </w:rPr>
        <w:t>Supply Chain Navigation:</w:t>
      </w:r>
      <w:r w:rsidRPr="00FC2AF6">
        <w:br/>
        <w:t>Chip shortages and logistics challenges, especially acute in 2022, threatened output. Tesla’s ability to swiftly scale new production capacity in gigafactories proved central to ensuring supply continuity and regaining production momentum by 2023.</w:t>
      </w:r>
    </w:p>
    <w:p w14:paraId="6E52EA77" w14:textId="77777777" w:rsidR="00FC2AF6" w:rsidRPr="00FC2AF6" w:rsidRDefault="00FC2AF6" w:rsidP="00FC2AF6">
      <w:r w:rsidRPr="00FC2AF6">
        <w:rPr>
          <w:b/>
          <w:bCs/>
        </w:rPr>
        <w:t>Adapting to Competition:</w:t>
      </w:r>
      <w:r w:rsidRPr="00FC2AF6">
        <w:br/>
        <w:t>An influx of new entrants and legacy manufacturers reshaped the electric vehicle landscape. Tesla’s countermeasure—aggressive price cuts on its key volume models—offset competitive threats, although at the expense of some gross margin.</w:t>
      </w:r>
    </w:p>
    <w:p w14:paraId="7DF9CC91" w14:textId="77777777" w:rsidR="00FC2AF6" w:rsidRPr="00FC2AF6" w:rsidRDefault="00FC2AF6" w:rsidP="00FC2AF6">
      <w:r w:rsidRPr="00FC2AF6">
        <w:rPr>
          <w:b/>
          <w:bCs/>
        </w:rPr>
        <w:t>Technological Venture and Innovation:</w:t>
      </w:r>
      <w:r w:rsidRPr="00FC2AF6">
        <w:br/>
        <w:t xml:space="preserve">Tesla maintained leading investment into Full-Self Driving (FSD) technology and AI. Public showcases, including 2022’s AI Day and early work on robotics (Optimus), highlighted the company’s ambition to push the envelope on automotive autonomy and </w:t>
      </w:r>
      <w:r w:rsidRPr="00FC2AF6">
        <w:lastRenderedPageBreak/>
        <w:t>adjacent industries, though these efforts faced delays from regulatory and technical hurdles.</w:t>
      </w:r>
    </w:p>
    <w:p w14:paraId="7329C1E5" w14:textId="77777777" w:rsidR="00FC2AF6" w:rsidRPr="00FC2AF6" w:rsidRDefault="00FC2AF6" w:rsidP="00FC2AF6">
      <w:r w:rsidRPr="00FC2AF6">
        <w:t>Market Perception and Risk Management</w:t>
      </w:r>
    </w:p>
    <w:p w14:paraId="24006BB3" w14:textId="77777777" w:rsidR="00FC2AF6" w:rsidRPr="00FC2AF6" w:rsidRDefault="00FC2AF6" w:rsidP="00FC2AF6">
      <w:r w:rsidRPr="00FC2AF6">
        <w:rPr>
          <w:b/>
          <w:bCs/>
        </w:rPr>
        <w:t>Leadership-Related Volatility:</w:t>
      </w:r>
      <w:r w:rsidRPr="00FC2AF6">
        <w:br/>
        <w:t>The acquisition of Twitter by CEO Elon Musk introduced dual concerns: overextension and distraction at the executive level, and direct downward pressure on TSLA stock through share sales.</w:t>
      </w:r>
    </w:p>
    <w:p w14:paraId="3F306F18" w14:textId="77777777" w:rsidR="00FC2AF6" w:rsidRPr="00FC2AF6" w:rsidRDefault="00FC2AF6" w:rsidP="00FC2AF6">
      <w:r w:rsidRPr="00FC2AF6">
        <w:rPr>
          <w:b/>
          <w:bCs/>
        </w:rPr>
        <w:t>ESG and Reputation:</w:t>
      </w:r>
      <w:r w:rsidRPr="00FC2AF6">
        <w:br/>
        <w:t>Tesla’s removal from the S&amp;P 500 ESG Index in 2022 triggered debate about its commitment to social responsibility, despite its undeniable sustainability credentials and outsized impact on emission reduction.</w:t>
      </w:r>
    </w:p>
    <w:p w14:paraId="4022C6FB" w14:textId="77777777" w:rsidR="00FC2AF6" w:rsidRPr="00FC2AF6" w:rsidRDefault="00FC2AF6" w:rsidP="00FC2AF6">
      <w:r w:rsidRPr="00FC2AF6">
        <w:t>Perspectives for Growth &amp; Challenges Ahead</w:t>
      </w:r>
    </w:p>
    <w:p w14:paraId="11386E2B" w14:textId="77777777" w:rsidR="00FC2AF6" w:rsidRPr="00FC2AF6" w:rsidRDefault="00FC2AF6" w:rsidP="00FC2AF6">
      <w:r w:rsidRPr="00FC2AF6">
        <w:rPr>
          <w:b/>
          <w:bCs/>
        </w:rPr>
        <w:t>Diversification in Energy:</w:t>
      </w:r>
      <w:r w:rsidRPr="00FC2AF6">
        <w:br/>
        <w:t>Tesla’s energy storage and solar efforts—especially Powerwall and Megapack—are poised for continued growth. Expansion beyond automotive offers crucial revenue diversification and resilience against automotive cyclicality.</w:t>
      </w:r>
    </w:p>
    <w:p w14:paraId="3CE71913" w14:textId="77777777" w:rsidR="00FC2AF6" w:rsidRPr="00FC2AF6" w:rsidRDefault="00FC2AF6" w:rsidP="00FC2AF6">
      <w:r w:rsidRPr="00FC2AF6">
        <w:rPr>
          <w:b/>
          <w:bCs/>
        </w:rPr>
        <w:t>Technological Roadmap:</w:t>
      </w:r>
      <w:r w:rsidRPr="00FC2AF6">
        <w:br/>
        <w:t>Further advances in autonomy and AI are tentatively expected, with regulatory approval as the key constraint to commercial deployment.</w:t>
      </w:r>
    </w:p>
    <w:p w14:paraId="08B9C340" w14:textId="77777777" w:rsidR="00FC2AF6" w:rsidRPr="00FC2AF6" w:rsidRDefault="00FC2AF6" w:rsidP="00FC2AF6">
      <w:r w:rsidRPr="00FC2AF6">
        <w:rPr>
          <w:b/>
          <w:bCs/>
        </w:rPr>
        <w:t>Emerging Market Entry:</w:t>
      </w:r>
      <w:r w:rsidRPr="00FC2AF6">
        <w:br/>
        <w:t>Geographical expansion, notably into India and Southeast Asia, remains a key plank of Tesla’s long-term growth strategy as those regions begin scaling clean transportation efforts.</w:t>
      </w:r>
    </w:p>
    <w:p w14:paraId="59841D74" w14:textId="77777777" w:rsidR="00FC2AF6" w:rsidRPr="00FC2AF6" w:rsidRDefault="00FC2AF6" w:rsidP="00FC2AF6">
      <w:r w:rsidRPr="00FC2AF6">
        <w:t>Conclusion</w:t>
      </w:r>
    </w:p>
    <w:p w14:paraId="3C6AD59D" w14:textId="77777777" w:rsidR="00FC2AF6" w:rsidRPr="00FC2AF6" w:rsidRDefault="00FC2AF6" w:rsidP="00FC2AF6">
      <w:r w:rsidRPr="00FC2AF6">
        <w:t>Tesla’s path from 2021 through 2024 illuminates the multifaceted realities of leading disruptive change at global scale. Its periods of brilliance and setback reveal a company agile enough to adapt business models and operational strategies to fluid market and regulatory environments. As it moves forward, the focus shifts to maintaining financial discipline, unlocking new markets, and realizing its technological ambitions—each a significant lever in sustaining shareholder value and industry leadership in years to come.</w:t>
      </w:r>
    </w:p>
    <w:p w14:paraId="6669D033" w14:textId="77777777" w:rsidR="00FC2AF6" w:rsidRDefault="00FC2AF6"/>
    <w:sectPr w:rsidR="00FC2A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AF6"/>
    <w:rsid w:val="007B63EA"/>
    <w:rsid w:val="00FC2AF6"/>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06B67"/>
  <w15:chartTrackingRefBased/>
  <w15:docId w15:val="{9DB5A486-5EA0-422E-945D-B0A73BCE0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A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A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A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A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A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A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A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A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A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A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AF6"/>
    <w:rPr>
      <w:rFonts w:eastAsiaTheme="majorEastAsia" w:cstheme="majorBidi"/>
      <w:color w:val="272727" w:themeColor="text1" w:themeTint="D8"/>
    </w:rPr>
  </w:style>
  <w:style w:type="paragraph" w:styleId="Title">
    <w:name w:val="Title"/>
    <w:basedOn w:val="Normal"/>
    <w:next w:val="Normal"/>
    <w:link w:val="TitleChar"/>
    <w:uiPriority w:val="10"/>
    <w:qFormat/>
    <w:rsid w:val="00FC2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AF6"/>
    <w:pPr>
      <w:spacing w:before="160"/>
      <w:jc w:val="center"/>
    </w:pPr>
    <w:rPr>
      <w:i/>
      <w:iCs/>
      <w:color w:val="404040" w:themeColor="text1" w:themeTint="BF"/>
    </w:rPr>
  </w:style>
  <w:style w:type="character" w:customStyle="1" w:styleId="QuoteChar">
    <w:name w:val="Quote Char"/>
    <w:basedOn w:val="DefaultParagraphFont"/>
    <w:link w:val="Quote"/>
    <w:uiPriority w:val="29"/>
    <w:rsid w:val="00FC2AF6"/>
    <w:rPr>
      <w:i/>
      <w:iCs/>
      <w:color w:val="404040" w:themeColor="text1" w:themeTint="BF"/>
    </w:rPr>
  </w:style>
  <w:style w:type="paragraph" w:styleId="ListParagraph">
    <w:name w:val="List Paragraph"/>
    <w:basedOn w:val="Normal"/>
    <w:uiPriority w:val="34"/>
    <w:qFormat/>
    <w:rsid w:val="00FC2AF6"/>
    <w:pPr>
      <w:ind w:left="720"/>
      <w:contextualSpacing/>
    </w:pPr>
  </w:style>
  <w:style w:type="character" w:styleId="IntenseEmphasis">
    <w:name w:val="Intense Emphasis"/>
    <w:basedOn w:val="DefaultParagraphFont"/>
    <w:uiPriority w:val="21"/>
    <w:qFormat/>
    <w:rsid w:val="00FC2AF6"/>
    <w:rPr>
      <w:i/>
      <w:iCs/>
      <w:color w:val="0F4761" w:themeColor="accent1" w:themeShade="BF"/>
    </w:rPr>
  </w:style>
  <w:style w:type="paragraph" w:styleId="IntenseQuote">
    <w:name w:val="Intense Quote"/>
    <w:basedOn w:val="Normal"/>
    <w:next w:val="Normal"/>
    <w:link w:val="IntenseQuoteChar"/>
    <w:uiPriority w:val="30"/>
    <w:qFormat/>
    <w:rsid w:val="00FC2A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AF6"/>
    <w:rPr>
      <w:i/>
      <w:iCs/>
      <w:color w:val="0F4761" w:themeColor="accent1" w:themeShade="BF"/>
    </w:rPr>
  </w:style>
  <w:style w:type="character" w:styleId="IntenseReference">
    <w:name w:val="Intense Reference"/>
    <w:basedOn w:val="DefaultParagraphFont"/>
    <w:uiPriority w:val="32"/>
    <w:qFormat/>
    <w:rsid w:val="00FC2A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845</Words>
  <Characters>4818</Characters>
  <Application>Microsoft Office Word</Application>
  <DocSecurity>0</DocSecurity>
  <Lines>40</Lines>
  <Paragraphs>11</Paragraphs>
  <ScaleCrop>false</ScaleCrop>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jayansh sahu</dc:creator>
  <cp:keywords/>
  <dc:description/>
  <cp:lastModifiedBy>jayansh sahu</cp:lastModifiedBy>
  <cp:revision>1</cp:revision>
  <dcterms:created xsi:type="dcterms:W3CDTF">2025-07-26T11:09:00Z</dcterms:created>
  <dcterms:modified xsi:type="dcterms:W3CDTF">2025-07-26T11:11:00Z</dcterms:modified>
</cp:coreProperties>
</file>