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CLOUD SERVICES AGREEMENT (VERSION 1.0)</w:t>
      </w:r>
    </w:p>
    <w:p>
      <w:r>
        <w:t xml:space="preserve">This Master Cloud Services Agreement (the 'Agreement') is effective as of January 15, 2024 ('Effective Date') by and between CloudCore Inc. ('Provider') and Acme Corporation ('Customer').</w:t>
      </w:r>
    </w:p>
    <w:p>
      <w:pPr>
        <w:pStyle w:val="Heading1"/>
      </w:pPr>
      <w:r>
        <w:t xml:space="preserve">Section 1. Scope of Services</w:t>
      </w:r>
    </w:p>
    <w:p>
      <w:r>
        <w:t xml:space="preserve">Provider shall provide Customer with access to the hosted CloudCore enterprise software suite in accordance with the Service Level Agreement (SLA).</w:t>
      </w:r>
    </w:p>
    <w:p>
      <w:pPr>
        <w:pStyle w:val="Heading1"/>
      </w:pPr>
      <w:r>
        <w:t xml:space="preserve">Section 2. Fees and Invoicing</w:t>
      </w:r>
    </w:p>
    <w:p>
      <w:r>
        <w:t xml:space="preserve">Customer shall pay all recurring subscription fees annually in advance. Invoices are due within thirty (30) days of receipt.</w:t>
      </w:r>
    </w:p>
    <w:p>
      <w:pPr>
        <w:pStyle w:val="Heading1"/>
      </w:pPr>
      <w:r>
        <w:t xml:space="preserve">Section 3. Term and Termination</w:t>
      </w:r>
    </w:p>
    <w:p>
      <w:r>
        <w:t xml:space="preserve">This Agreement shall remain in effect for an initial term of twelve (12) months. Either party may terminate this Agreement for convenience upon thirty (30) days prior written notice to the other party.</w:t>
      </w:r>
    </w:p>
    <w:p>
      <w:pPr>
        <w:pStyle w:val="Heading1"/>
      </w:pPr>
      <w:r>
        <w:t xml:space="preserve">Section 4. Limitation of Liability</w:t>
      </w:r>
    </w:p>
    <w:p>
      <w:r>
        <w:t xml:space="preserve">In no event shall either party's aggregate liability arising out of or related to this Agreement exceed the sum of $500,000 (five hundred thousand dollars). Neither party shall be liable for indirect, punitive, or consequential damages.</w:t>
      </w:r>
    </w:p>
    <w:p>
      <w:pPr>
        <w:pStyle w:val="Heading1"/>
      </w:pPr>
      <w:r>
        <w:t xml:space="preserve">Section 5. Confidentiality</w:t>
      </w:r>
    </w:p>
    <w:p>
      <w:r>
        <w:t xml:space="preserve">Each party agrees to safeguard Confidential Information disclosed by the other party with the same degree of care it uses for its own confidential information, but in no event less than reasonable care.</w:t>
      </w:r>
    </w:p>
    <w:p>
      <w:pPr>
        <w:pStyle w:val="Heading1"/>
      </w:pPr>
      <w:r>
        <w:t xml:space="preserve">Section 6. Governing Law and Jurisdiction</w:t>
      </w:r>
    </w:p>
    <w:p>
      <w:r>
        <w:t xml:space="preserve">This Agreement shall be governed by and construed in accordance with the laws of the State of New York, without regard to its conflict of laws principles.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2026-10-01T19:33:32.548Z</dcterms:created>
  <dcterms:modified xsi:type="dcterms:W3CDTF">2026-10-01T19:33:32.548Z</dcterms:modified>
</cp:coreProperties>
</file>

<file path=docProps/custom.xml><?xml version="1.0" encoding="utf-8"?>
<Properties xmlns="http://schemas.openxmlformats.org/officeDocument/2006/custom-properties" xmlns:vt="http://schemas.openxmlformats.org/officeDocument/2006/docPropsVTypes"/>
</file>