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2563EB"/>
          <w:sz w:val="22"/>
        </w:rPr>
        <w:t>TRINETRA-AI | TECHNICAL &amp; LEGAL BRIEF</w:t>
      </w:r>
    </w:p>
    <w:p>
      <w:pPr>
        <w:spacing w:before="80" w:after="160"/>
      </w:pPr>
      <w:r>
        <w:rPr>
          <w:rFonts w:ascii="Arial" w:hAnsi="Arial"/>
          <w:b/>
          <w:color w:val="0F172A"/>
          <w:sz w:val="44"/>
        </w:rPr>
        <w:t>IMEI Acquisition, Law Enforcement Bottlenecks, and High-Velocity Requisition Architecture</w:t>
      </w:r>
    </w:p>
    <w:p>
      <w:pPr>
        <w:spacing w:before="0" w:after="360"/>
      </w:pPr>
      <w:r>
        <w:rPr>
          <w:rFonts w:ascii="Calibri" w:hAnsi="Calibri"/>
          <w:i/>
          <w:color w:val="64748B"/>
          <w:sz w:val="22"/>
        </w:rPr>
        <w:t>A Comprehensive Operational Guide on Cellular Handset Identities, Indian Telecom Regulatory Friction, the 14-Day Paperwork Bottleneck, and the TriNetra-AI 5-Minute Solution.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0"/>
            </w:pPr>
            <w:r>
              <w:rPr>
                <w:rFonts w:ascii="Arial" w:hAnsi="Arial"/>
                <w:b/>
                <w:color w:val="1E3A8A"/>
                <w:sz w:val="19"/>
              </w:rPr>
              <w:t>EXECUTIVE SUMMARY: In traditional Indian law enforcement, acquiring an IMEI and its associated Call Detail Records (CDRs) takes 7 to 14 days due to manual paperwork under Section 91 CrPC (now Section 94 BNSS), supervisory desk queues, and telecom liaison delays. Meanwhile, suspects swap burner SIMs in seconds. TriNetra-AI replaces this bureaucratic inertia with an automated, cryptographically signed Section 94 BNSS digital workflow and hardware stitching engine, collapsing turnaround from 14 days to under 5 minutes.</w:t>
            </w:r>
          </w:p>
        </w:tc>
      </w:tr>
    </w:tbl>
    <w:p>
      <w:pPr>
        <w:spacing w:after="240"/>
      </w:pPr>
    </w:p>
    <w:p>
      <w:pPr>
        <w:pStyle w:val="Heading1"/>
        <w:spacing w:before="280" w:after="120"/>
      </w:pPr>
      <w:r>
        <w:rPr>
          <w:rFonts w:ascii="Arial" w:hAnsi="Arial"/>
          <w:b/>
          <w:color w:val="1E3A8A"/>
          <w:sz w:val="30"/>
        </w:rPr>
        <w:t>1. How IMEI Numbers are Found and Tracked</w:t>
      </w:r>
    </w:p>
    <w:p>
      <w:pPr>
        <w:spacing w:after="120"/>
      </w:pPr>
      <w:r>
        <w:rPr>
          <w:rFonts w:ascii="Calibri" w:hAnsi="Calibri"/>
          <w:sz w:val="21"/>
        </w:rPr>
        <w:t>An International Mobile Station Equipment Identity (IMEI) is a globally unique 15-digit hardware serial number hardcoded into the baseband radio modem of every mobile device. In telecommunications and digital forensics, IMEIs are identified and acquired through four primary mechanisms:</w:t>
      </w:r>
    </w:p>
    <w:p>
      <w:pPr>
        <w:spacing w:before="160" w:after="40"/>
      </w:pPr>
      <w:r>
        <w:rPr>
          <w:rFonts w:ascii="Arial" w:hAnsi="Arial"/>
          <w:b/>
          <w:color w:val="2563EB"/>
          <w:sz w:val="23"/>
        </w:rPr>
        <w:t>A. Cellular Signaling Handshakes (Over-the-Air Registration)</w:t>
      </w:r>
    </w:p>
    <w:p>
      <w:pPr>
        <w:pStyle w:val="ListBullet"/>
        <w:spacing w:after="60"/>
      </w:pPr>
      <w:r>
        <w:rPr>
          <w:rFonts w:ascii="Calibri" w:hAnsi="Calibri"/>
          <w:b/>
          <w:sz w:val="20"/>
        </w:rPr>
        <w:t>Identity Request Procedure:</w:t>
      </w:r>
      <w:r>
        <w:rPr>
          <w:rFonts w:ascii="Calibri" w:hAnsi="Calibri"/>
          <w:sz w:val="20"/>
        </w:rPr>
        <w:t xml:space="preserve"> Whenever a handset powers on, attaches to a cellular tower (BTS/NodeB/gNodeB), places a call, or sends an SMS, the cellular core network initiates a Layer 3 NAS (Non-Access Stratum) signaling procedure.</w:t>
      </w:r>
    </w:p>
    <w:p>
      <w:pPr>
        <w:pStyle w:val="ListBullet"/>
        <w:spacing w:after="60"/>
      </w:pPr>
      <w:r>
        <w:rPr>
          <w:rFonts w:ascii="Calibri" w:hAnsi="Calibri"/>
          <w:b/>
          <w:sz w:val="20"/>
        </w:rPr>
        <w:t>Baseband Transmission:</w:t>
      </w:r>
      <w:r>
        <w:rPr>
          <w:rFonts w:ascii="Calibri" w:hAnsi="Calibri"/>
          <w:sz w:val="20"/>
        </w:rPr>
        <w:t xml:space="preserve"> The phone's radio baseband firmware responds with its 15-digit IMEI alongside the SIM card's International Mobile Subscriber Identity (IMSI). This handshake occurs automatically regardless of user interaction.</w:t>
      </w:r>
    </w:p>
    <w:p>
      <w:pPr>
        <w:spacing w:before="160" w:after="40"/>
      </w:pPr>
      <w:r>
        <w:rPr>
          <w:rFonts w:ascii="Arial" w:hAnsi="Arial"/>
          <w:b/>
          <w:color w:val="2563EB"/>
          <w:sz w:val="23"/>
        </w:rPr>
        <w:t>B. Call Detail Records (CDRs) &amp; IPDRs (Telecom Data Ingestion)</w:t>
      </w:r>
    </w:p>
    <w:p>
      <w:pPr>
        <w:pStyle w:val="ListBullet"/>
        <w:spacing w:after="60"/>
      </w:pPr>
      <w:r>
        <w:rPr>
          <w:rFonts w:ascii="Calibri" w:hAnsi="Calibri"/>
          <w:b/>
          <w:sz w:val="20"/>
        </w:rPr>
        <w:t>Core Network Logging:</w:t>
      </w:r>
      <w:r>
        <w:rPr>
          <w:rFonts w:ascii="Calibri" w:hAnsi="Calibri"/>
          <w:sz w:val="20"/>
        </w:rPr>
        <w:t xml:space="preserve"> Telecom Service Providers (TSPs: Reliance Jio, Bharti Airtel, Vodafone Idea, BSNL) log every call, SMS, and data connection into Call Detail Records (CDRs) and Internet Protocol Detail Records (IPDRs).</w:t>
      </w:r>
    </w:p>
    <w:p>
      <w:pPr>
        <w:pStyle w:val="ListBullet"/>
        <w:spacing w:after="60"/>
      </w:pPr>
      <w:r>
        <w:rPr>
          <w:rFonts w:ascii="Calibri" w:hAnsi="Calibri"/>
          <w:b/>
          <w:sz w:val="20"/>
        </w:rPr>
        <w:t>Mandatory CDR Fields:</w:t>
      </w:r>
      <w:r>
        <w:rPr>
          <w:rFonts w:ascii="Calibri" w:hAnsi="Calibri"/>
          <w:sz w:val="20"/>
        </w:rPr>
        <w:t xml:space="preserve"> Standard Indian telecom CDRs record: Calling Phone Number (MSISDN), SIM ID (IMSI), Handset Hardware (IMEI), First &amp; Last Cell Tower ID (BTS Azimuth), Timestamp, and Call Duration.</w:t>
      </w:r>
    </w:p>
    <w:p>
      <w:pPr>
        <w:pStyle w:val="ListBullet"/>
        <w:spacing w:after="60"/>
      </w:pPr>
      <w:r>
        <w:rPr>
          <w:rFonts w:ascii="Calibri" w:hAnsi="Calibri"/>
          <w:b/>
          <w:sz w:val="20"/>
        </w:rPr>
        <w:t>Tower Dumps:</w:t>
      </w:r>
      <w:r>
        <w:rPr>
          <w:rFonts w:ascii="Calibri" w:hAnsi="Calibri"/>
          <w:sz w:val="20"/>
        </w:rPr>
        <w:t xml:space="preserve"> In crime scene analysis, law enforcement requests a 'Tower Dump' from all operators covering a specific location and timeframe. This generates a complete log of every IMEI that registered with that antenna sector.</w:t>
      </w:r>
    </w:p>
    <w:p>
      <w:pPr>
        <w:spacing w:before="160" w:after="40"/>
      </w:pPr>
      <w:r>
        <w:rPr>
          <w:rFonts w:ascii="Arial" w:hAnsi="Arial"/>
          <w:b/>
          <w:color w:val="2563EB"/>
          <w:sz w:val="23"/>
        </w:rPr>
        <w:t>C. Type Allocation Codes (TAC) &amp; Hardware Decomposition</w:t>
      </w:r>
    </w:p>
    <w:p>
      <w:pPr>
        <w:pStyle w:val="ListBullet"/>
        <w:spacing w:after="60"/>
      </w:pPr>
      <w:r>
        <w:rPr>
          <w:rFonts w:ascii="Calibri" w:hAnsi="Calibri"/>
          <w:b/>
          <w:sz w:val="20"/>
        </w:rPr>
        <w:t>First 8 Digits (TAC):</w:t>
      </w:r>
      <w:r>
        <w:rPr>
          <w:rFonts w:ascii="Calibri" w:hAnsi="Calibri"/>
          <w:sz w:val="20"/>
        </w:rPr>
        <w:t xml:space="preserve"> The first 8 digits of an IMEI constitute the Type Allocation Code assigned by the GSMA. This uniquely identifies the exact manufacturer, model, and radio band capabilities (e.g., TAC 35823409 translates to Xiaomi Redmi 12 5G).</w:t>
      </w:r>
    </w:p>
    <w:p>
      <w:pPr>
        <w:pStyle w:val="ListBullet"/>
        <w:spacing w:after="60"/>
      </w:pPr>
      <w:r>
        <w:rPr>
          <w:rFonts w:ascii="Calibri" w:hAnsi="Calibri"/>
          <w:b/>
          <w:sz w:val="20"/>
        </w:rPr>
        <w:t>15th Digit (Luhn Checksum):</w:t>
      </w:r>
      <w:r>
        <w:rPr>
          <w:rFonts w:ascii="Calibri" w:hAnsi="Calibri"/>
          <w:sz w:val="20"/>
        </w:rPr>
        <w:t xml:space="preserve"> The final digit is a cryptographic check digit calculated via the Luhn Algorithm (mod-10), allowing instant filtering of corrupt or invalid data entries.</w:t>
      </w:r>
    </w:p>
    <w:p>
      <w:pPr>
        <w:spacing w:before="160" w:after="40"/>
      </w:pPr>
      <w:r>
        <w:rPr>
          <w:rFonts w:ascii="Arial" w:hAnsi="Arial"/>
          <w:b/>
          <w:color w:val="2563EB"/>
          <w:sz w:val="23"/>
        </w:rPr>
        <w:t>D. Physical &amp; Digital Forensics Seizure</w:t>
      </w:r>
    </w:p>
    <w:p>
      <w:pPr>
        <w:pStyle w:val="ListBullet"/>
        <w:spacing w:after="60"/>
      </w:pPr>
      <w:r>
        <w:rPr>
          <w:rFonts w:ascii="Calibri" w:hAnsi="Calibri"/>
          <w:b/>
          <w:sz w:val="20"/>
        </w:rPr>
        <w:t>Firmware USSD Query:</w:t>
      </w:r>
      <w:r>
        <w:rPr>
          <w:rFonts w:ascii="Calibri" w:hAnsi="Calibri"/>
          <w:sz w:val="20"/>
        </w:rPr>
        <w:t xml:space="preserve"> Dialing *#06# forces the device's baseband processor to display its programmed IMEI 1, IMEI 2 (for dual-SIM), and serial number directly from firmware.</w:t>
      </w:r>
    </w:p>
    <w:p>
      <w:pPr>
        <w:pStyle w:val="ListBullet"/>
        <w:spacing w:after="60"/>
      </w:pPr>
      <w:r>
        <w:rPr>
          <w:rFonts w:ascii="Calibri" w:hAnsi="Calibri"/>
          <w:b/>
          <w:sz w:val="20"/>
        </w:rPr>
        <w:t>Physical Markings:</w:t>
      </w:r>
      <w:r>
        <w:rPr>
          <w:rFonts w:ascii="Calibri" w:hAnsi="Calibri"/>
          <w:sz w:val="20"/>
        </w:rPr>
        <w:t xml:space="preserve"> Laser-etched on the SIM card tray, internal chassis, or under removable batteries on legacy hardware.</w:t>
      </w:r>
    </w:p>
    <w:p>
      <w:pPr>
        <w:pStyle w:val="ListBullet"/>
        <w:spacing w:after="60"/>
      </w:pPr>
      <w:r>
        <w:rPr>
          <w:rFonts w:ascii="Calibri" w:hAnsi="Calibri"/>
          <w:b/>
          <w:sz w:val="20"/>
        </w:rPr>
        <w:t>Forensic Extraction Bridges:</w:t>
      </w:r>
      <w:r>
        <w:rPr>
          <w:rFonts w:ascii="Calibri" w:hAnsi="Calibri"/>
          <w:sz w:val="20"/>
        </w:rPr>
        <w:t xml:space="preserve"> Forensic hardware (Cellebrite UFED, Oxygen Forensics, or ADB shell) queries low-level Android properties (`getprop ro.boot.serialno` or AT commands `AT+CGSN`) to extract the hardware identifier directly.</w:t>
      </w:r>
    </w:p>
    <w:p>
      <w:pPr>
        <w:spacing w:after="160"/>
      </w:pPr>
    </w:p>
    <w:p>
      <w:pPr>
        <w:pStyle w:val="Heading1"/>
        <w:spacing w:before="280" w:after="120"/>
      </w:pPr>
      <w:r>
        <w:rPr>
          <w:rFonts w:ascii="Arial" w:hAnsi="Arial"/>
          <w:b/>
          <w:color w:val="1E3A8A"/>
          <w:sz w:val="30"/>
        </w:rPr>
        <w:t>2. The Painful Bottlenecks in Indian Law Enforcement</w:t>
      </w:r>
    </w:p>
    <w:p>
      <w:pPr>
        <w:spacing w:after="120"/>
      </w:pPr>
      <w:r>
        <w:rPr>
          <w:rFonts w:ascii="Calibri" w:hAnsi="Calibri"/>
          <w:sz w:val="21"/>
        </w:rPr>
        <w:t>In real-world policing, obtaining an IMEI is neither instantaneous nor straightforward. Investigating Officers (IOs) face substantial administrative friction, technical loopholes, and jurisdictional barriers:</w:t>
      </w:r>
    </w:p>
    <w:p>
      <w:pPr>
        <w:spacing w:before="120" w:after="60"/>
      </w:pPr>
      <w:r>
        <w:rPr>
          <w:rFonts w:ascii="Arial" w:hAnsi="Arial"/>
          <w:b/>
          <w:color w:val="0F172A"/>
          <w:sz w:val="21"/>
        </w:rPr>
        <w:t xml:space="preserve">• 1. The 7 to 14-Day Paper Trail (Section 94 BNSS / 91 CrPC): </w:t>
      </w:r>
      <w:r>
        <w:rPr>
          <w:rFonts w:ascii="Calibri" w:hAnsi="Calibri"/>
          <w:sz w:val="20"/>
        </w:rPr>
        <w:t>Investigating Officers cannot unilaterally demand telecom data. Under Section 94 of the Bharatiya Nagarik Suraksha Sanhita, 2023 (formerly Section 91 CrPC), formal requisition notices must be drafted, manually printed, and physically signed by a Gazetted Officer (Superintendent of Police / Deputy Commissioner of Police level). Files languish in administrative approval queues for days before being formally dispatched to telecom nodal officers.</w:t>
      </w:r>
    </w:p>
    <w:p>
      <w:pPr>
        <w:spacing w:before="120" w:after="60"/>
      </w:pPr>
      <w:r>
        <w:rPr>
          <w:rFonts w:ascii="Arial" w:hAnsi="Arial"/>
          <w:b/>
          <w:color w:val="0F172A"/>
          <w:sz w:val="21"/>
        </w:rPr>
        <w:t xml:space="preserve">• 2. Telecom Operator Fragmentation &amp; Multi-Nodal Queries: </w:t>
      </w:r>
      <w:r>
        <w:rPr>
          <w:rFonts w:ascii="Calibri" w:hAnsi="Calibri"/>
          <w:sz w:val="20"/>
        </w:rPr>
        <w:t>When an investigator only has a handset IMEI, they cannot query a single central database. They must serve legal notices to each private operator individually (Reliance Jio, Bharti Airtel, Vodafone Idea, BSNL). Each operator maintains separate legal liaisons, separate ticketing portals, and separate response queues, compounding delays.</w:t>
      </w:r>
    </w:p>
    <w:p>
      <w:pPr>
        <w:spacing w:before="120" w:after="60"/>
      </w:pPr>
      <w:r>
        <w:rPr>
          <w:rFonts w:ascii="Arial" w:hAnsi="Arial"/>
          <w:b/>
          <w:color w:val="0F172A"/>
          <w:sz w:val="21"/>
        </w:rPr>
        <w:t xml:space="preserve">• 3. The 'Gaffar Market' Hardware Flashing Problem: </w:t>
      </w:r>
      <w:r>
        <w:rPr>
          <w:rFonts w:ascii="Calibri" w:hAnsi="Calibri"/>
          <w:sz w:val="20"/>
        </w:rPr>
        <w:t>Under Indian law, altering an IMEI is illegal. However, illicit repair markets (such as Gaffar Market in Delhi or Lamington Road in Mumbai) utilize flashing dongles to rewrite baseband firmware. Criminal syndicates mass-duplicate legitimate IMEIs or flash all-zero strings (`000000000000000`), causing single IMEIs to ping simultaneously across multiple Indian states, confusing legacy analysis tools.</w:t>
      </w:r>
    </w:p>
    <w:p>
      <w:pPr>
        <w:spacing w:before="120" w:after="60"/>
      </w:pPr>
      <w:r>
        <w:rPr>
          <w:rFonts w:ascii="Arial" w:hAnsi="Arial"/>
          <w:b/>
          <w:color w:val="0F172A"/>
          <w:sz w:val="21"/>
        </w:rPr>
        <w:t xml:space="preserve">• 4. The OTT &amp; Wi-Fi Blindspot (WhatsApp, Telegram, Signal): </w:t>
      </w:r>
      <w:r>
        <w:rPr>
          <w:rFonts w:ascii="Calibri" w:hAnsi="Calibri"/>
          <w:sz w:val="20"/>
        </w:rPr>
        <w:t>An IMEI is strictly a cellular baseband identifier. Modern criminal networks, extortion gangs, and drug cartels conduct their communications over Over-The-Top (OTT) encrypted VoIP apps (WhatsApp, Telegram, Signal) connected to local Wi-Fi or broadband. In these scenarios, cellular switches do not record the IMEI—only IP and MAC addresses are registered, leaving a blindspot until the device reconnects to a cellular tower.</w:t>
      </w:r>
    </w:p>
    <w:p>
      <w:pPr>
        <w:spacing w:before="120" w:after="60"/>
      </w:pPr>
      <w:r>
        <w:rPr>
          <w:rFonts w:ascii="Arial" w:hAnsi="Arial"/>
          <w:b/>
          <w:color w:val="0F172A"/>
          <w:sz w:val="21"/>
        </w:rPr>
        <w:t xml:space="preserve">• 5. Inter-State Telecom Circle Jurisdictions: </w:t>
      </w:r>
      <w:r>
        <w:rPr>
          <w:rFonts w:ascii="Calibri" w:hAnsi="Calibri"/>
          <w:sz w:val="20"/>
        </w:rPr>
        <w:t>India is divided into 22 Licensed Service Areas (LSAs/Circles). If a suspect moves from Delhi into Noida (UP West) or Gurugram (Haryana), the call data shifts to a different telecom circle. State police must coordinate across state borders and circle boundaries, adding days of inter-agency liaison.</w:t>
      </w:r>
    </w:p>
    <w:p>
      <w:pPr>
        <w:spacing w:before="120" w:after="60"/>
      </w:pPr>
      <w:r>
        <w:rPr>
          <w:rFonts w:ascii="Arial" w:hAnsi="Arial"/>
          <w:b/>
          <w:color w:val="0F172A"/>
          <w:sz w:val="21"/>
        </w:rPr>
        <w:t xml:space="preserve">• 6. Format Inconsistency &amp; The Excel Nightmare: </w:t>
      </w:r>
      <w:r>
        <w:rPr>
          <w:rFonts w:ascii="Calibri" w:hAnsi="Calibri"/>
          <w:sz w:val="20"/>
        </w:rPr>
        <w:t>When telecom providers finally respond, they send massive zipped files (often containing hundreds of thousands of raw lines) in disparate CSV/Excel schemas with differing column headers (`DEVICE_ID`, `CALLING_IMEI`, `IMEISV`). IOs spend 2 to 4 days manually cleaning and cross-referencing spreadsheets.</w:t>
      </w:r>
    </w:p>
    <w:p>
      <w:pPr>
        <w:spacing w:after="160"/>
      </w:pPr>
    </w:p>
    <w:p>
      <w:pPr>
        <w:pStyle w:val="Heading1"/>
        <w:spacing w:before="280" w:after="120"/>
      </w:pPr>
      <w:r>
        <w:rPr>
          <w:rFonts w:ascii="Arial" w:hAnsi="Arial"/>
          <w:b/>
          <w:color w:val="1E3A8A"/>
          <w:sz w:val="30"/>
        </w:rPr>
        <w:t>3. Overcoming the Bottlenecks: The 5-Minute Solution</w:t>
      </w:r>
    </w:p>
    <w:p>
      <w:pPr>
        <w:spacing w:after="160"/>
      </w:pPr>
      <w:r>
        <w:rPr>
          <w:rFonts w:ascii="Calibri" w:hAnsi="Calibri"/>
          <w:sz w:val="21"/>
        </w:rPr>
        <w:t>TriNetra-AI solves this systemic delay not by simply asking officers to work faster, but by digitizing the statutory chain-of-custody and implementing automated machine-to-machine intelligence. The 14-day turnaround is collapsed into a 5-minute automated pipeline across six integrated pillars:</w:t>
      </w:r>
    </w:p>
    <w:p>
      <w:pPr>
        <w:spacing w:before="120" w:after="60"/>
      </w:pPr>
      <w:r>
        <w:rPr>
          <w:rFonts w:ascii="Arial" w:hAnsi="Arial"/>
          <w:b/>
          <w:color w:val="1E3A8A"/>
          <w:sz w:val="22"/>
        </w:rPr>
        <w:t>✔ Pillar 1: Automated Digital Requisition Protocol (ADRIP) under Section 94 BNSS</w:t>
        <w:br/>
      </w:r>
      <w:r>
        <w:rPr>
          <w:rFonts w:ascii="Calibri" w:hAnsi="Calibri"/>
          <w:sz w:val="20"/>
        </w:rPr>
        <w:t>Instead of manual drafting, the IO clicks 'One-Click Auto-Draft'. TriNetra automatically pulls the FIR number, police station jurisdiction, target phone number or IMEI, legal justifications, and relevant date ranges into a legally formatted Section 94 BNSS statutory notice in under 30 seconds.</w:t>
      </w:r>
    </w:p>
    <w:p>
      <w:pPr>
        <w:spacing w:before="120" w:after="60"/>
      </w:pPr>
      <w:r>
        <w:rPr>
          <w:rFonts w:ascii="Arial" w:hAnsi="Arial"/>
          <w:b/>
          <w:color w:val="1E3A8A"/>
          <w:sz w:val="22"/>
        </w:rPr>
        <w:t>✔ Pillar 2: SP/DCP Mobile e-Sign Integration</w:t>
        <w:br/>
      </w:r>
      <w:r>
        <w:rPr>
          <w:rFonts w:ascii="Calibri" w:hAnsi="Calibri"/>
          <w:sz w:val="20"/>
        </w:rPr>
        <w:t>Instead of physical paper files waiting on desks, the statutory requisition is pushed instantly to the designated SP or DCP's secure mobile dashboard. The senior officer reviews the case justification and authenticates the notice in 60 seconds using an MHA PKI digital token or Aadhaar e-Sign OTP.</w:t>
      </w:r>
    </w:p>
    <w:p>
      <w:pPr>
        <w:spacing w:before="120" w:after="60"/>
      </w:pPr>
      <w:r>
        <w:rPr>
          <w:rFonts w:ascii="Arial" w:hAnsi="Arial"/>
          <w:b/>
          <w:color w:val="1E3A8A"/>
          <w:sz w:val="22"/>
        </w:rPr>
        <w:t>✔ Pillar 3: C-DOT Central Monitoring System (CMS) API Hook</w:t>
        <w:br/>
      </w:r>
      <w:r>
        <w:rPr>
          <w:rFonts w:ascii="Calibri" w:hAnsi="Calibri"/>
          <w:sz w:val="20"/>
        </w:rPr>
        <w:t>The cryptographically signed Section 94 BNSS warrant is transmitted machine-to-machine via direct API to the C-DOT CMS / NATGRID / CMSP telecom legal gateway. The telecom switch automatically executes the database query against core Equipment Identity Registers (EIR), eliminating human ticketing queues.</w:t>
      </w:r>
    </w:p>
    <w:p>
      <w:pPr>
        <w:spacing w:before="120" w:after="60"/>
      </w:pPr>
      <w:r>
        <w:rPr>
          <w:rFonts w:ascii="Arial" w:hAnsi="Arial"/>
          <w:b/>
          <w:color w:val="1E3A8A"/>
          <w:sz w:val="22"/>
        </w:rPr>
        <w:t>✔ Pillar 4: Automated Ingestion &amp; Multi-Telco Normalization</w:t>
        <w:br/>
      </w:r>
      <w:r>
        <w:rPr>
          <w:rFonts w:ascii="Calibri" w:hAnsi="Calibri"/>
          <w:sz w:val="20"/>
        </w:rPr>
        <w:t>As encrypted AES-256 streams return from Airtel, Jio, Vi, and BSNL, TriNetra's ingestion pipeline automatically normalizes disparate column schemas into a single canonical format. The Luhn checksum algorithm filters spoofed IMEIs, and GSMA TAC tables instantly resolve device brands and models.</w:t>
      </w:r>
    </w:p>
    <w:p>
      <w:pPr>
        <w:spacing w:before="120" w:after="60"/>
      </w:pPr>
      <w:r>
        <w:rPr>
          <w:rFonts w:ascii="Arial" w:hAnsi="Arial"/>
          <w:b/>
          <w:color w:val="1E3A8A"/>
          <w:sz w:val="22"/>
        </w:rPr>
        <w:t>✔ Pillar 5: Hardware Node Stitching (Unmasking Burner SIM Hopping)</w:t>
        <w:br/>
      </w:r>
      <w:r>
        <w:rPr>
          <w:rFonts w:ascii="Calibri" w:hAnsi="Calibri"/>
          <w:sz w:val="20"/>
        </w:rPr>
        <w:t>Criminals routinely swap SIM cards to disrupt wiretaps. Traditional policing requires filing a new 2-week requisition for every new phone number. TriNetra anchors surveillance to the physical IMEI hardware node instead of phone numbers. When 6 different SIMs are used in one handset over 15 days, TriNetra automatically stitches all 6 ephemeral identities into a single unified suspect graph node (PER-001).</w:t>
      </w:r>
    </w:p>
    <w:p>
      <w:pPr>
        <w:spacing w:before="120" w:after="60"/>
      </w:pPr>
      <w:r>
        <w:rPr>
          <w:rFonts w:ascii="Arial" w:hAnsi="Arial"/>
          <w:b/>
          <w:color w:val="1E3A8A"/>
          <w:sz w:val="22"/>
        </w:rPr>
        <w:t>✔ Pillar 6: Automated Section 63 BSA 2023 Evidentiary Vault</w:t>
        <w:br/>
      </w:r>
      <w:r>
        <w:rPr>
          <w:rFonts w:ascii="Calibri" w:hAnsi="Calibri"/>
          <w:sz w:val="20"/>
        </w:rPr>
        <w:t>Even when police obtain data rapidly, evidence is frequently dismissed in court due to broken custody chains. TriNetra automatically calculates SHA-256 hashes upon ingestion, batches records into an immutable Hyperledger Fabric Merkle tree, and auto-compiles the statutory Schedule certificate under Section 63(4)(c) of the Bharatiya Sakshya Adhiniyam, 2023 for instant courtroom admissibility.</w:t>
      </w:r>
    </w:p>
    <w:p>
      <w:pPr>
        <w:spacing w:after="160"/>
      </w:pPr>
    </w:p>
    <w:p>
      <w:pPr>
        <w:pStyle w:val="Heading1"/>
        <w:spacing w:before="280" w:after="120"/>
      </w:pPr>
      <w:r>
        <w:rPr>
          <w:rFonts w:ascii="Arial" w:hAnsi="Arial"/>
          <w:b/>
          <w:color w:val="1E3A8A"/>
          <w:sz w:val="30"/>
        </w:rPr>
        <w:t>4. Traditional Policing vs. TriNetra-AI Comparison Matrix</w:t>
      </w:r>
    </w:p>
    <w:tbl>
      <w:tblPr>
        <w:tblW w:type="auto" w:w="0"/>
        <w:jc w:val="center"/>
        <w:tblLook w:firstColumn="1" w:firstRow="1" w:lastColumn="0" w:lastRow="0" w:noHBand="0" w:noVBand="1" w:val="04A0"/>
      </w:tblPr>
      <w:tblGrid>
        <w:gridCol w:w="2592"/>
        <w:gridCol w:w="3456"/>
        <w:gridCol w:w="3312"/>
      </w:tblGrid>
      <w:tr>
        <w:tc>
          <w:tcPr>
            <w:tcW w:type="dxa" w:w="3120"/>
            <w:shd w:fill="0F172A"/>
            <w:tcMar>
              <w:top w:w="80" w:type="dxa"/>
              <w:bottom w:w="80" w:type="dxa"/>
              <w:left w:w="120" w:type="dxa"/>
              <w:right w:w="120" w:type="dxa"/>
            </w:tcMar>
          </w:tcPr>
          <w:p>
            <w:pPr>
              <w:spacing w:before="40" w:after="40"/>
            </w:pPr>
            <w:r>
              <w:rPr>
                <w:rFonts w:ascii="Arial" w:hAnsi="Arial"/>
                <w:b/>
                <w:color w:val="FFFFFF"/>
                <w:sz w:val="19"/>
              </w:rPr>
              <w:t>Workflow Dimension</w:t>
            </w:r>
          </w:p>
        </w:tc>
        <w:tc>
          <w:tcPr>
            <w:tcW w:type="dxa" w:w="3120"/>
            <w:shd w:fill="0F172A"/>
            <w:tcMar>
              <w:top w:w="80" w:type="dxa"/>
              <w:bottom w:w="80" w:type="dxa"/>
              <w:left w:w="120" w:type="dxa"/>
              <w:right w:w="120" w:type="dxa"/>
            </w:tcMar>
          </w:tcPr>
          <w:p>
            <w:pPr>
              <w:spacing w:before="40" w:after="40"/>
            </w:pPr>
            <w:r>
              <w:rPr>
                <w:rFonts w:ascii="Arial" w:hAnsi="Arial"/>
                <w:b/>
                <w:color w:val="FFFFFF"/>
                <w:sz w:val="19"/>
              </w:rPr>
              <w:t>Traditional Indian Policing</w:t>
            </w:r>
          </w:p>
        </w:tc>
        <w:tc>
          <w:tcPr>
            <w:tcW w:type="dxa" w:w="3120"/>
            <w:shd w:fill="0F172A"/>
            <w:tcMar>
              <w:top w:w="80" w:type="dxa"/>
              <w:bottom w:w="80" w:type="dxa"/>
              <w:left w:w="120" w:type="dxa"/>
              <w:right w:w="120" w:type="dxa"/>
            </w:tcMar>
          </w:tcPr>
          <w:p>
            <w:pPr>
              <w:spacing w:before="40" w:after="40"/>
            </w:pPr>
            <w:r>
              <w:rPr>
                <w:rFonts w:ascii="Arial" w:hAnsi="Arial"/>
                <w:b/>
                <w:color w:val="FFFFFF"/>
                <w:sz w:val="19"/>
              </w:rPr>
              <w:t>TriNetra-AI Automated Architecture</w:t>
            </w:r>
          </w:p>
        </w:tc>
      </w:tr>
      <w:tr>
        <w:tc>
          <w:tcPr>
            <w:tcW w:type="dxa" w:w="3120"/>
            <w:shd w:fill="F8FAFC"/>
            <w:tcMar>
              <w:top w:w="80" w:type="dxa"/>
              <w:bottom w:w="80" w:type="dxa"/>
              <w:left w:w="120" w:type="dxa"/>
              <w:right w:w="120" w:type="dxa"/>
            </w:tcMar>
          </w:tcPr>
          <w:p>
            <w:pPr>
              <w:spacing w:before="40" w:after="40"/>
            </w:pPr>
            <w:r>
              <w:rPr>
                <w:rFonts w:ascii="Calibri" w:hAnsi="Calibri"/>
                <w:b/>
                <w:sz w:val="19"/>
              </w:rPr>
              <w:t>Requisition Drafting</w:t>
            </w:r>
          </w:p>
        </w:tc>
        <w:tc>
          <w:tcPr>
            <w:tcW w:type="dxa" w:w="3120"/>
            <w:shd w:fill="F8FAFC"/>
            <w:tcMar>
              <w:top w:w="80" w:type="dxa"/>
              <w:bottom w:w="80" w:type="dxa"/>
              <w:left w:w="120" w:type="dxa"/>
              <w:right w:w="120" w:type="dxa"/>
            </w:tcMar>
          </w:tcPr>
          <w:p>
            <w:pPr>
              <w:spacing w:before="40" w:after="40"/>
            </w:pPr>
            <w:r>
              <w:rPr>
                <w:rFonts w:ascii="Calibri" w:hAnsi="Calibri"/>
                <w:sz w:val="19"/>
              </w:rPr>
              <w:t>Manual Microsoft Word typing &amp; physical printing (1-2 days)</w:t>
            </w:r>
          </w:p>
        </w:tc>
        <w:tc>
          <w:tcPr>
            <w:tcW w:type="dxa" w:w="3120"/>
            <w:shd w:fill="F8FAFC"/>
            <w:tcMar>
              <w:top w:w="80" w:type="dxa"/>
              <w:bottom w:w="80" w:type="dxa"/>
              <w:left w:w="120" w:type="dxa"/>
              <w:right w:w="120" w:type="dxa"/>
            </w:tcMar>
          </w:tcPr>
          <w:p>
            <w:pPr>
              <w:spacing w:before="40" w:after="40"/>
            </w:pPr>
            <w:r>
              <w:rPr>
                <w:rFonts w:ascii="Calibri" w:hAnsi="Calibri"/>
                <w:b/>
                <w:color w:val="2563EB"/>
                <w:sz w:val="19"/>
              </w:rPr>
              <w:t>One-click auto-fill from active FIR dossier (&lt; 30 sec)</w:t>
            </w:r>
          </w:p>
        </w:tc>
      </w:tr>
      <w:tr>
        <w:tc>
          <w:tcPr>
            <w:tcW w:type="dxa" w:w="3120"/>
            <w:shd w:fill="FFFFFF"/>
            <w:tcMar>
              <w:top w:w="80" w:type="dxa"/>
              <w:bottom w:w="80" w:type="dxa"/>
              <w:left w:w="120" w:type="dxa"/>
              <w:right w:w="120" w:type="dxa"/>
            </w:tcMar>
          </w:tcPr>
          <w:p>
            <w:pPr>
              <w:spacing w:before="40" w:after="40"/>
            </w:pPr>
            <w:r>
              <w:rPr>
                <w:rFonts w:ascii="Calibri" w:hAnsi="Calibri"/>
                <w:b/>
                <w:sz w:val="19"/>
              </w:rPr>
              <w:t>Supervisory Sign-Off</w:t>
            </w:r>
          </w:p>
        </w:tc>
        <w:tc>
          <w:tcPr>
            <w:tcW w:type="dxa" w:w="3120"/>
            <w:shd w:fill="FFFFFF"/>
            <w:tcMar>
              <w:top w:w="80" w:type="dxa"/>
              <w:bottom w:w="80" w:type="dxa"/>
              <w:left w:w="120" w:type="dxa"/>
              <w:right w:w="120" w:type="dxa"/>
            </w:tcMar>
          </w:tcPr>
          <w:p>
            <w:pPr>
              <w:spacing w:before="40" w:after="40"/>
            </w:pPr>
            <w:r>
              <w:rPr>
                <w:rFonts w:ascii="Calibri" w:hAnsi="Calibri"/>
                <w:sz w:val="19"/>
              </w:rPr>
              <w:t>Physical paper file routed through SP/DCP desk (2-4 days)</w:t>
            </w:r>
          </w:p>
        </w:tc>
        <w:tc>
          <w:tcPr>
            <w:tcW w:type="dxa" w:w="3120"/>
            <w:shd w:fill="FFFFFF"/>
            <w:tcMar>
              <w:top w:w="80" w:type="dxa"/>
              <w:bottom w:w="80" w:type="dxa"/>
              <w:left w:w="120" w:type="dxa"/>
              <w:right w:w="120" w:type="dxa"/>
            </w:tcMar>
          </w:tcPr>
          <w:p>
            <w:pPr>
              <w:spacing w:before="40" w:after="40"/>
            </w:pPr>
            <w:r>
              <w:rPr>
                <w:rFonts w:ascii="Calibri" w:hAnsi="Calibri"/>
                <w:b/>
                <w:color w:val="2563EB"/>
                <w:sz w:val="19"/>
              </w:rPr>
              <w:t>Mobile push notification with MHA PKI / Aadhaar e-Sign (&lt; 60 sec)</w:t>
            </w:r>
          </w:p>
        </w:tc>
      </w:tr>
      <w:tr>
        <w:tc>
          <w:tcPr>
            <w:tcW w:type="dxa" w:w="3120"/>
            <w:shd w:fill="F8FAFC"/>
            <w:tcMar>
              <w:top w:w="80" w:type="dxa"/>
              <w:bottom w:w="80" w:type="dxa"/>
              <w:left w:w="120" w:type="dxa"/>
              <w:right w:w="120" w:type="dxa"/>
            </w:tcMar>
          </w:tcPr>
          <w:p>
            <w:pPr>
              <w:spacing w:before="40" w:after="40"/>
            </w:pPr>
            <w:r>
              <w:rPr>
                <w:rFonts w:ascii="Calibri" w:hAnsi="Calibri"/>
                <w:b/>
                <w:sz w:val="19"/>
              </w:rPr>
              <w:t>Telco Transmission</w:t>
            </w:r>
          </w:p>
        </w:tc>
        <w:tc>
          <w:tcPr>
            <w:tcW w:type="dxa" w:w="3120"/>
            <w:shd w:fill="F8FAFC"/>
            <w:tcMar>
              <w:top w:w="80" w:type="dxa"/>
              <w:bottom w:w="80" w:type="dxa"/>
              <w:left w:w="120" w:type="dxa"/>
              <w:right w:w="120" w:type="dxa"/>
            </w:tcMar>
          </w:tcPr>
          <w:p>
            <w:pPr>
              <w:spacing w:before="40" w:after="40"/>
            </w:pPr>
            <w:r>
              <w:rPr>
                <w:rFonts w:ascii="Calibri" w:hAnsi="Calibri"/>
                <w:sz w:val="19"/>
              </w:rPr>
              <w:t>Physical courier or manual email to liaison desks (1-2 days)</w:t>
            </w:r>
          </w:p>
        </w:tc>
        <w:tc>
          <w:tcPr>
            <w:tcW w:type="dxa" w:w="3120"/>
            <w:shd w:fill="F8FAFC"/>
            <w:tcMar>
              <w:top w:w="80" w:type="dxa"/>
              <w:bottom w:w="80" w:type="dxa"/>
              <w:left w:w="120" w:type="dxa"/>
              <w:right w:w="120" w:type="dxa"/>
            </w:tcMar>
          </w:tcPr>
          <w:p>
            <w:pPr>
              <w:spacing w:before="40" w:after="40"/>
            </w:pPr>
            <w:r>
              <w:rPr>
                <w:rFonts w:ascii="Calibri" w:hAnsi="Calibri"/>
                <w:b/>
                <w:color w:val="2563EB"/>
                <w:sz w:val="19"/>
              </w:rPr>
              <w:t>Direct API hook into C-DOT CMS / NATGRID Gateway (Instant)</w:t>
            </w:r>
          </w:p>
        </w:tc>
      </w:tr>
      <w:tr>
        <w:tc>
          <w:tcPr>
            <w:tcW w:type="dxa" w:w="3120"/>
            <w:shd w:fill="FFFFFF"/>
            <w:tcMar>
              <w:top w:w="80" w:type="dxa"/>
              <w:bottom w:w="80" w:type="dxa"/>
              <w:left w:w="120" w:type="dxa"/>
              <w:right w:w="120" w:type="dxa"/>
            </w:tcMar>
          </w:tcPr>
          <w:p>
            <w:pPr>
              <w:spacing w:before="40" w:after="40"/>
            </w:pPr>
            <w:r>
              <w:rPr>
                <w:rFonts w:ascii="Calibri" w:hAnsi="Calibri"/>
                <w:b/>
                <w:sz w:val="19"/>
              </w:rPr>
              <w:t>Telco Processing</w:t>
            </w:r>
          </w:p>
        </w:tc>
        <w:tc>
          <w:tcPr>
            <w:tcW w:type="dxa" w:w="3120"/>
            <w:shd w:fill="FFFFFF"/>
            <w:tcMar>
              <w:top w:w="80" w:type="dxa"/>
              <w:bottom w:w="80" w:type="dxa"/>
              <w:left w:w="120" w:type="dxa"/>
              <w:right w:w="120" w:type="dxa"/>
            </w:tcMar>
          </w:tcPr>
          <w:p>
            <w:pPr>
              <w:spacing w:before="40" w:after="40"/>
            </w:pPr>
            <w:r>
              <w:rPr>
                <w:rFonts w:ascii="Calibri" w:hAnsi="Calibri"/>
                <w:sz w:val="19"/>
              </w:rPr>
              <w:t>Operator staff manually queue database extract (3-5 days)</w:t>
            </w:r>
          </w:p>
        </w:tc>
        <w:tc>
          <w:tcPr>
            <w:tcW w:type="dxa" w:w="3120"/>
            <w:shd w:fill="FFFFFF"/>
            <w:tcMar>
              <w:top w:w="80" w:type="dxa"/>
              <w:bottom w:w="80" w:type="dxa"/>
              <w:left w:w="120" w:type="dxa"/>
              <w:right w:w="120" w:type="dxa"/>
            </w:tcMar>
          </w:tcPr>
          <w:p>
            <w:pPr>
              <w:spacing w:before="40" w:after="40"/>
            </w:pPr>
            <w:r>
              <w:rPr>
                <w:rFonts w:ascii="Calibri" w:hAnsi="Calibri"/>
                <w:b/>
                <w:color w:val="2563EB"/>
                <w:sz w:val="19"/>
              </w:rPr>
              <w:t>Automated query execution against core EIR switches (&lt; 2 min)</w:t>
            </w:r>
          </w:p>
        </w:tc>
      </w:tr>
      <w:tr>
        <w:tc>
          <w:tcPr>
            <w:tcW w:type="dxa" w:w="3120"/>
            <w:shd w:fill="F8FAFC"/>
            <w:tcMar>
              <w:top w:w="80" w:type="dxa"/>
              <w:bottom w:w="80" w:type="dxa"/>
              <w:left w:w="120" w:type="dxa"/>
              <w:right w:w="120" w:type="dxa"/>
            </w:tcMar>
          </w:tcPr>
          <w:p>
            <w:pPr>
              <w:spacing w:before="40" w:after="40"/>
            </w:pPr>
            <w:r>
              <w:rPr>
                <w:rFonts w:ascii="Calibri" w:hAnsi="Calibri"/>
                <w:b/>
                <w:sz w:val="19"/>
              </w:rPr>
              <w:t>Data Cleaning</w:t>
            </w:r>
          </w:p>
        </w:tc>
        <w:tc>
          <w:tcPr>
            <w:tcW w:type="dxa" w:w="3120"/>
            <w:shd w:fill="F8FAFC"/>
            <w:tcMar>
              <w:top w:w="80" w:type="dxa"/>
              <w:bottom w:w="80" w:type="dxa"/>
              <w:left w:w="120" w:type="dxa"/>
              <w:right w:w="120" w:type="dxa"/>
            </w:tcMar>
          </w:tcPr>
          <w:p>
            <w:pPr>
              <w:spacing w:before="40" w:after="40"/>
            </w:pPr>
            <w:r>
              <w:rPr>
                <w:rFonts w:ascii="Calibri" w:hAnsi="Calibri"/>
                <w:sz w:val="19"/>
              </w:rPr>
              <w:t>Tedious manual Excel filtering across disparate schemas (2-3 days)</w:t>
            </w:r>
          </w:p>
        </w:tc>
        <w:tc>
          <w:tcPr>
            <w:tcW w:type="dxa" w:w="3120"/>
            <w:shd w:fill="F8FAFC"/>
            <w:tcMar>
              <w:top w:w="80" w:type="dxa"/>
              <w:bottom w:w="80" w:type="dxa"/>
              <w:left w:w="120" w:type="dxa"/>
              <w:right w:w="120" w:type="dxa"/>
            </w:tcMar>
          </w:tcPr>
          <w:p>
            <w:pPr>
              <w:spacing w:before="40" w:after="40"/>
            </w:pPr>
            <w:r>
              <w:rPr>
                <w:rFonts w:ascii="Calibri" w:hAnsi="Calibri"/>
                <w:b/>
                <w:color w:val="2563EB"/>
                <w:sz w:val="19"/>
              </w:rPr>
              <w:t>Automated ingestion, Luhn validation &amp; TAC parsing (&lt; 15 sec)</w:t>
            </w:r>
          </w:p>
        </w:tc>
      </w:tr>
      <w:tr>
        <w:tc>
          <w:tcPr>
            <w:tcW w:type="dxa" w:w="3120"/>
            <w:shd w:fill="FFFFFF"/>
            <w:tcMar>
              <w:top w:w="80" w:type="dxa"/>
              <w:bottom w:w="80" w:type="dxa"/>
              <w:left w:w="120" w:type="dxa"/>
              <w:right w:w="120" w:type="dxa"/>
            </w:tcMar>
          </w:tcPr>
          <w:p>
            <w:pPr>
              <w:spacing w:before="40" w:after="40"/>
            </w:pPr>
            <w:r>
              <w:rPr>
                <w:rFonts w:ascii="Calibri" w:hAnsi="Calibri"/>
                <w:b/>
                <w:sz w:val="19"/>
              </w:rPr>
              <w:t>Burner SIM Response</w:t>
            </w:r>
          </w:p>
        </w:tc>
        <w:tc>
          <w:tcPr>
            <w:tcW w:type="dxa" w:w="3120"/>
            <w:shd w:fill="FFFFFF"/>
            <w:tcMar>
              <w:top w:w="80" w:type="dxa"/>
              <w:bottom w:w="80" w:type="dxa"/>
              <w:left w:w="120" w:type="dxa"/>
              <w:right w:w="120" w:type="dxa"/>
            </w:tcMar>
          </w:tcPr>
          <w:p>
            <w:pPr>
              <w:spacing w:before="40" w:after="40"/>
            </w:pPr>
            <w:r>
              <w:rPr>
                <w:rFonts w:ascii="Calibri" w:hAnsi="Calibri"/>
                <w:sz w:val="19"/>
              </w:rPr>
              <w:t>Must re-file fresh 2-week requisition for each new SIM</w:t>
            </w:r>
          </w:p>
        </w:tc>
        <w:tc>
          <w:tcPr>
            <w:tcW w:type="dxa" w:w="3120"/>
            <w:shd w:fill="FFFFFF"/>
            <w:tcMar>
              <w:top w:w="80" w:type="dxa"/>
              <w:bottom w:w="80" w:type="dxa"/>
              <w:left w:w="120" w:type="dxa"/>
              <w:right w:w="120" w:type="dxa"/>
            </w:tcMar>
          </w:tcPr>
          <w:p>
            <w:pPr>
              <w:spacing w:before="40" w:after="40"/>
            </w:pPr>
            <w:r>
              <w:rPr>
                <w:rFonts w:ascii="Calibri" w:hAnsi="Calibri"/>
                <w:b/>
                <w:color w:val="2563EB"/>
                <w:sz w:val="19"/>
              </w:rPr>
              <w:t>Hardware Stitching Engine automatically anchors to physical IMEI</w:t>
            </w:r>
          </w:p>
        </w:tc>
      </w:tr>
      <w:tr>
        <w:tc>
          <w:tcPr>
            <w:tcW w:type="dxa" w:w="3120"/>
            <w:shd w:fill="F8FAFC"/>
            <w:tcMar>
              <w:top w:w="80" w:type="dxa"/>
              <w:bottom w:w="80" w:type="dxa"/>
              <w:left w:w="120" w:type="dxa"/>
              <w:right w:w="120" w:type="dxa"/>
            </w:tcMar>
          </w:tcPr>
          <w:p>
            <w:pPr>
              <w:spacing w:before="40" w:after="40"/>
            </w:pPr>
            <w:r>
              <w:rPr>
                <w:rFonts w:ascii="Calibri" w:hAnsi="Calibri"/>
                <w:b/>
                <w:sz w:val="19"/>
              </w:rPr>
              <w:t>Total Turnaround Time</w:t>
            </w:r>
          </w:p>
        </w:tc>
        <w:tc>
          <w:tcPr>
            <w:tcW w:type="dxa" w:w="3120"/>
            <w:shd w:fill="F8FAFC"/>
            <w:tcMar>
              <w:top w:w="80" w:type="dxa"/>
              <w:bottom w:w="80" w:type="dxa"/>
              <w:left w:w="120" w:type="dxa"/>
              <w:right w:w="120" w:type="dxa"/>
            </w:tcMar>
          </w:tcPr>
          <w:p>
            <w:pPr>
              <w:spacing w:before="40" w:after="40"/>
            </w:pPr>
            <w:r>
              <w:rPr>
                <w:rFonts w:ascii="Calibri" w:hAnsi="Calibri"/>
                <w:sz w:val="19"/>
              </w:rPr>
              <w:t>10 to 14 Days</w:t>
            </w:r>
          </w:p>
        </w:tc>
        <w:tc>
          <w:tcPr>
            <w:tcW w:type="dxa" w:w="3120"/>
            <w:shd w:fill="F8FAFC"/>
            <w:tcMar>
              <w:top w:w="80" w:type="dxa"/>
              <w:bottom w:w="80" w:type="dxa"/>
              <w:left w:w="120" w:type="dxa"/>
              <w:right w:w="120" w:type="dxa"/>
            </w:tcMar>
          </w:tcPr>
          <w:p>
            <w:pPr>
              <w:spacing w:before="40" w:after="40"/>
            </w:pPr>
            <w:r>
              <w:rPr>
                <w:rFonts w:ascii="Calibri" w:hAnsi="Calibri"/>
                <w:b/>
                <w:color w:val="2563EB"/>
                <w:sz w:val="19"/>
              </w:rPr>
              <w:t>Under 5 Minutes (&lt; 300 Seconds)</w:t>
            </w:r>
          </w:p>
        </w:tc>
      </w:tr>
      <w:tr>
        <w:tc>
          <w:tcPr>
            <w:tcW w:type="dxa" w:w="3120"/>
            <w:shd w:fill="FFFFFF"/>
            <w:tcMar>
              <w:top w:w="80" w:type="dxa"/>
              <w:bottom w:w="80" w:type="dxa"/>
              <w:left w:w="120" w:type="dxa"/>
              <w:right w:w="120" w:type="dxa"/>
            </w:tcMar>
          </w:tcPr>
          <w:p>
            <w:pPr>
              <w:spacing w:before="40" w:after="40"/>
            </w:pPr>
            <w:r>
              <w:rPr>
                <w:rFonts w:ascii="Calibri" w:hAnsi="Calibri"/>
                <w:b/>
                <w:sz w:val="19"/>
              </w:rPr>
              <w:t>Courtroom Admissibility</w:t>
            </w:r>
          </w:p>
        </w:tc>
        <w:tc>
          <w:tcPr>
            <w:tcW w:type="dxa" w:w="3120"/>
            <w:shd w:fill="FFFFFF"/>
            <w:tcMar>
              <w:top w:w="80" w:type="dxa"/>
              <w:bottom w:w="80" w:type="dxa"/>
              <w:left w:w="120" w:type="dxa"/>
              <w:right w:w="120" w:type="dxa"/>
            </w:tcMar>
          </w:tcPr>
          <w:p>
            <w:pPr>
              <w:spacing w:before="40" w:after="40"/>
            </w:pPr>
            <w:r>
              <w:rPr>
                <w:rFonts w:ascii="Calibri" w:hAnsi="Calibri"/>
                <w:sz w:val="19"/>
              </w:rPr>
              <w:t>Manual Section 65B affidavits prone to legal challenge</w:t>
            </w:r>
          </w:p>
        </w:tc>
        <w:tc>
          <w:tcPr>
            <w:tcW w:type="dxa" w:w="3120"/>
            <w:shd w:fill="FFFFFF"/>
            <w:tcMar>
              <w:top w:w="80" w:type="dxa"/>
              <w:bottom w:w="80" w:type="dxa"/>
              <w:left w:w="120" w:type="dxa"/>
              <w:right w:w="120" w:type="dxa"/>
            </w:tcMar>
          </w:tcPr>
          <w:p>
            <w:pPr>
              <w:spacing w:before="40" w:after="40"/>
            </w:pPr>
            <w:r>
              <w:rPr>
                <w:rFonts w:ascii="Calibri" w:hAnsi="Calibri"/>
                <w:b/>
                <w:color w:val="2563EB"/>
                <w:sz w:val="19"/>
              </w:rPr>
              <w:t>Automated Section 63 BSA Schedule with SHA-256 Merkle Ledger</w:t>
            </w:r>
          </w:p>
        </w:tc>
      </w:tr>
    </w:tbl>
    <w:p>
      <w:pPr>
        <w:spacing w:after="160"/>
      </w:pPr>
    </w:p>
    <w:p>
      <w:pPr>
        <w:pStyle w:val="Heading1"/>
        <w:spacing w:before="280" w:after="120"/>
      </w:pPr>
      <w:r>
        <w:rPr>
          <w:rFonts w:ascii="Arial" w:hAnsi="Arial"/>
          <w:b/>
          <w:color w:val="1E3A8A"/>
          <w:sz w:val="30"/>
        </w:rPr>
        <w:t>5. SIH / Jury Defense Q&amp;A Cheat-Sheet</w:t>
      </w:r>
    </w:p>
    <w:p>
      <w:pPr>
        <w:spacing w:before="120" w:after="40"/>
      </w:pPr>
      <w:r>
        <w:rPr>
          <w:rFonts w:ascii="Arial" w:hAnsi="Arial"/>
          <w:b/>
          <w:color w:val="0F172A"/>
          <w:sz w:val="21"/>
        </w:rPr>
        <w:t>Judge Question: 'Can any police officer track an IMEI directly from their laptop?'</w:t>
      </w:r>
    </w:p>
    <w:p>
      <w:pPr>
        <w:spacing w:after="120"/>
      </w:pPr>
      <w:r>
        <w:rPr>
          <w:rFonts w:ascii="Calibri" w:hAnsi="Calibri"/>
          <w:sz w:val="20"/>
        </w:rPr>
        <w:t>Answer: No. In India, privacy safeguards require statutory compliance under Section 94 BNSS (formerly 91 CrPC). Only an authorized Gazetted Officer (SP/DCP) can approve a requisition. TriNetra-AI preserves this constitutional safeguard by implementing role-based digital approvals while eliminating the physical paperwork bottleneck.</w:t>
      </w:r>
    </w:p>
    <w:p>
      <w:pPr>
        <w:spacing w:before="120" w:after="40"/>
      </w:pPr>
      <w:r>
        <w:rPr>
          <w:rFonts w:ascii="Arial" w:hAnsi="Arial"/>
          <w:b/>
          <w:color w:val="0F172A"/>
          <w:sz w:val="21"/>
        </w:rPr>
        <w:t>Judge Question: 'How does TriNetra handle criminals who switch SIM cards every 48 hours?'</w:t>
      </w:r>
    </w:p>
    <w:p>
      <w:pPr>
        <w:spacing w:after="120"/>
      </w:pPr>
      <w:r>
        <w:rPr>
          <w:rFonts w:ascii="Calibri" w:hAnsi="Calibri"/>
          <w:sz w:val="20"/>
        </w:rPr>
        <w:t>Answer: We track the physical handset (IMEI) rather than ephemeral phone numbers. Our Hardware Stitching Engine detects multiple IMSIs pinging from the same baseband IMEI over short windows, automatically merging all burner numbers into a single persistent suspect entity (PER-001).</w:t>
      </w:r>
    </w:p>
    <w:p>
      <w:pPr>
        <w:spacing w:before="120" w:after="40"/>
      </w:pPr>
      <w:r>
        <w:rPr>
          <w:rFonts w:ascii="Arial" w:hAnsi="Arial"/>
          <w:b/>
          <w:color w:val="0F172A"/>
          <w:sz w:val="21"/>
        </w:rPr>
        <w:t>Judge Question: 'How do you ensure this data is admissible in an Indian court under the new criminal laws?'</w:t>
      </w:r>
    </w:p>
    <w:p>
      <w:pPr>
        <w:spacing w:after="120"/>
      </w:pPr>
      <w:r>
        <w:rPr>
          <w:rFonts w:ascii="Calibri" w:hAnsi="Calibri"/>
          <w:sz w:val="20"/>
        </w:rPr>
        <w:t>Answer: Under Section 63(4)(c) of the Bharatiya Sakshya Adhiniyam, 2023, electronic evidence requires a prescribed statutory certificate. TriNetra auto-generates the exact Schedule format (Part A and Part B) backed by SHA-256 cryptographic hashes and an immutable Hyperledger Fabric blockchain audit trail.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