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jc w:val="center"/>
      </w:pPr>
      <w:r>
        <w:rPr>
          <w:b/>
          <w:i w:val="0"/>
          <w:sz w:val="40"/>
        </w:rPr>
        <w:t>ESTIMATE</w:t>
      </w:r>
    </w:p>
    <w:tbl>
      <w:tblPr>
        <w:tblW w:type="auto" w:w="0"/>
        <w:jc w:val="center"/>
        <w:tblLayout w:type="fixed"/>
        <w:tblLook w:firstColumn="1" w:firstRow="1" w:lastColumn="0" w:lastRow="0" w:noHBand="0" w:noVBand="1" w:val="04A0"/>
      </w:tblPr>
      <w:tblGrid>
        <w:gridCol w:w="6768"/>
        <w:gridCol w:w="3312"/>
      </w:tblGrid>
      <w:tr>
        <w:tc>
          <w:tcPr>
            <w:tcW w:type="dxa" w:w="5400"/>
          </w:tcPr>
          <w:p>
            <w:pPr>
              <w:spacing w:after="20" w:before="0" w:line="264" w:lineRule="auto"/>
            </w:pPr>
            <w:r>
              <w:rPr>
                <w:b/>
              </w:rPr>
              <w:t>Beats Production Private Limited</w:t>
              <w:br/>
            </w:r>
            <w:r>
              <w:t>No 204, Laxminarayana Complex,</w:t>
              <w:br/>
              <w:t>Bilekahalli, Bengaluru, Karnataka, 560076</w:t>
              <w:br/>
              <w:t>PAN : AAMCB8470E. TAN : BLRB28005F. SAC Code: 998596 HSN Code: 997319</w:t>
              <w:br/>
              <w:t>Mobile: +918050641361 | Telephone: +918050402447</w:t>
              <w:br/>
              <w:t>Email: accounts@beatsproduction.in | beatsproduction.in</w:t>
              <w:br/>
              <w:t>GST: 29AAMCB8470E1ZB</w:t>
            </w:r>
          </w:p>
        </w:tc>
        <w:tc>
          <w:tcPr>
            <w:tcW w:type="dxa" w:w="5400"/>
          </w:tcPr>
          <w:p>
            <w:pPr>
              <w:spacing w:after="0" w:before="0" w:line="264" w:lineRule="auto"/>
              <w:jc w:val="right"/>
            </w:pPr>
            <w:r>
              <w:drawing>
                <wp:inline xmlns:a="http://schemas.openxmlformats.org/drawingml/2006/main" xmlns:pic="http://schemas.openxmlformats.org/drawingml/2006/picture">
                  <wp:extent cx="822960" cy="914400"/>
                  <wp:docPr id="1" name="Picture 1"/>
                  <wp:cNvGraphicFramePr>
                    <a:graphicFrameLocks noChangeAspect="1"/>
                  </wp:cNvGraphicFramePr>
                  <a:graphic>
                    <a:graphicData uri="http://schemas.openxmlformats.org/drawingml/2006/picture">
                      <pic:pic>
                        <pic:nvPicPr>
                          <pic:cNvPr id="0" name="bp-logo.png"/>
                          <pic:cNvPicPr/>
                        </pic:nvPicPr>
                        <pic:blipFill>
                          <a:blip r:embed="rId9"/>
                          <a:stretch>
                            <a:fillRect/>
                          </a:stretch>
                        </pic:blipFill>
                        <pic:spPr>
                          <a:xfrm>
                            <a:off x="0" y="0"/>
                            <a:ext cx="822960" cy="914400"/>
                          </a:xfrm>
                          <a:prstGeom prst="rect"/>
                        </pic:spPr>
                      </pic:pic>
                    </a:graphicData>
                  </a:graphic>
                </wp:inline>
              </w:drawing>
            </w:r>
          </w:p>
        </w:tc>
      </w:tr>
    </w:tbl>
    <w:p>
      <w:pPr>
        <w:spacing w:after="160" w:before="80" w:line="276" w:lineRule="auto"/>
        <w:jc w:val="center"/>
      </w:pPr>
      <w:r>
        <w:rPr>
          <w:b w:val="0"/>
          <w:i w:val="0"/>
          <w:sz w:val="18"/>
        </w:rPr>
        <w:t>_________________________________________________________________________________</w:t>
      </w:r>
    </w:p>
    <w:tbl>
      <w:tblPr>
        <w:tblW w:type="auto" w:w="0"/>
        <w:tblLayout w:type="fixed"/>
        <w:tblLook w:firstColumn="1" w:firstRow="1" w:lastColumn="0" w:lastRow="0" w:noHBand="0" w:noVBand="1" w:val="04A0"/>
      </w:tblPr>
      <w:tblGrid>
        <w:gridCol w:w="6336"/>
        <w:gridCol w:w="3744"/>
      </w:tblGrid>
      <w:tr>
        <w:tc>
          <w:tcPr>
            <w:tcW w:type="dxa" w:w="5400"/>
          </w:tcPr>
          <w:p>
            <w:pPr>
              <w:spacing w:after="40" w:before="0" w:line="264" w:lineRule="auto"/>
            </w:pPr>
            <w:r>
              <w:rPr>
                <w:b/>
              </w:rPr>
              <w:t>Bill To</w:t>
              <w:br/>
            </w:r>
            <w:r>
              <w:t>Oscotel</w:t>
              <w:br/>
              <w:t>52 , 2nd Main , Nataraja Layout, JP Nagar 7th Phase</w:t>
              <w:br/>
              <w:t>GST No: 9865AAQUW2134E1</w:t>
            </w:r>
          </w:p>
        </w:tc>
        <w:tc>
          <w:tcPr>
            <w:tcW w:type="dxa" w:w="5400"/>
          </w:tcPr>
          <w:p>
            <w:pPr>
              <w:spacing w:after="40" w:before="0" w:line="264" w:lineRule="auto"/>
              <w:jc w:val="right"/>
            </w:pPr>
            <w:r>
              <w:rPr>
                <w:b/>
              </w:rPr>
              <w:t xml:space="preserve">Quo : </w:t>
            </w:r>
            <w:r>
              <w:t>BP/EST/26-27/378</w:t>
              <w:br/>
            </w:r>
            <w:r>
              <w:rPr>
                <w:b/>
              </w:rPr>
              <w:t xml:space="preserve">Date : </w:t>
            </w:r>
            <w:r>
              <w:t>31 July 2026</w:t>
              <w:br/>
            </w:r>
            <w:r>
              <w:rPr>
                <w:b/>
              </w:rPr>
              <w:t xml:space="preserve">Event Date : </w:t>
            </w:r>
            <w:r>
              <w:t>04-08-2026</w:t>
            </w:r>
          </w:p>
        </w:tc>
      </w:tr>
    </w:tbl>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pPr>
              <w:spacing w:after="80" w:before="80" w:line="264" w:lineRule="auto"/>
            </w:pPr>
            <w:r>
              <w:rPr>
                <w:b/>
              </w:rPr>
              <w:t>SI.</w:t>
            </w:r>
          </w:p>
        </w:tc>
        <w:tc>
          <w:tcPr>
            <w:tcW w:type="dxa" w:w="2160"/>
          </w:tcPr>
          <w:p>
            <w:pPr>
              <w:spacing w:after="80" w:before="80" w:line="264" w:lineRule="auto"/>
            </w:pPr>
            <w:r>
              <w:rPr>
                <w:b/>
              </w:rPr>
              <w:t>Description</w:t>
            </w:r>
          </w:p>
        </w:tc>
        <w:tc>
          <w:tcPr>
            <w:tcW w:type="dxa" w:w="2160"/>
          </w:tcPr>
          <w:p>
            <w:pPr>
              <w:spacing w:after="80" w:before="80" w:line="264" w:lineRule="auto"/>
            </w:pPr>
            <w:r>
              <w:rPr>
                <w:b/>
              </w:rPr>
              <w:t>Qty</w:t>
            </w:r>
          </w:p>
        </w:tc>
        <w:tc>
          <w:tcPr>
            <w:tcW w:type="dxa" w:w="2160"/>
          </w:tcPr>
          <w:p>
            <w:pPr>
              <w:spacing w:after="80" w:before="80" w:line="264" w:lineRule="auto"/>
            </w:pPr>
            <w:r>
              <w:rPr>
                <w:b/>
              </w:rPr>
              <w:t>Rate</w:t>
            </w:r>
          </w:p>
        </w:tc>
        <w:tc>
          <w:tcPr>
            <w:tcW w:type="dxa" w:w="2160"/>
          </w:tcPr>
          <w:p>
            <w:pPr>
              <w:spacing w:after="80" w:before="80" w:line="264" w:lineRule="auto"/>
            </w:pPr>
            <w:r>
              <w:rPr>
                <w:b/>
              </w:rPr>
              <w:t>Amount</w:t>
            </w:r>
          </w:p>
        </w:tc>
      </w:tr>
      <w:tr>
        <w:tc>
          <w:tcPr>
            <w:tcW w:type="dxa" w:w="2160"/>
          </w:tcPr>
          <w:p>
            <w:pPr>
              <w:spacing w:after="60" w:before="60" w:line="264" w:lineRule="auto"/>
            </w:pPr>
            <w:r>
              <w:t>1</w:t>
            </w:r>
          </w:p>
        </w:tc>
        <w:tc>
          <w:tcPr>
            <w:tcW w:type="dxa" w:w="2160"/>
          </w:tcPr>
          <w:p>
            <w:pPr>
              <w:spacing w:after="60" w:before="60" w:line="264" w:lineRule="auto"/>
            </w:pPr>
            <w:r>
              <w:t>Temi Robot</w:t>
            </w:r>
          </w:p>
        </w:tc>
        <w:tc>
          <w:tcPr>
            <w:tcW w:type="dxa" w:w="2160"/>
          </w:tcPr>
          <w:p>
            <w:pPr>
              <w:spacing w:after="60" w:before="60" w:line="264" w:lineRule="auto"/>
            </w:pPr>
            <w:r>
              <w:t>1</w:t>
            </w:r>
          </w:p>
        </w:tc>
        <w:tc>
          <w:tcPr>
            <w:tcW w:type="dxa" w:w="2160"/>
          </w:tcPr>
          <w:p>
            <w:pPr>
              <w:spacing w:after="60" w:before="60" w:line="264" w:lineRule="auto"/>
            </w:pPr>
            <w:r>
              <w:t>₹ 25,000.00</w:t>
            </w:r>
          </w:p>
        </w:tc>
        <w:tc>
          <w:tcPr>
            <w:tcW w:type="dxa" w:w="2160"/>
          </w:tcPr>
          <w:p>
            <w:pPr>
              <w:spacing w:after="60" w:before="60" w:line="264" w:lineRule="auto"/>
            </w:pPr>
            <w:r>
              <w:t>₹ 25,000.00</w:t>
            </w:r>
          </w:p>
        </w:tc>
      </w:tr>
      <w:tr>
        <w:tc>
          <w:tcPr>
            <w:tcW w:type="dxa" w:w="2160"/>
          </w:tcPr>
          <w:p>
            <w:pPr>
              <w:spacing w:after="60" w:before="60" w:line="264" w:lineRule="auto"/>
            </w:pPr>
            <w:r>
              <w:t>2</w:t>
            </w:r>
          </w:p>
        </w:tc>
        <w:tc>
          <w:tcPr>
            <w:tcW w:type="dxa" w:w="2160"/>
          </w:tcPr>
          <w:p>
            <w:pPr>
              <w:spacing w:after="60" w:before="60" w:line="264" w:lineRule="auto"/>
            </w:pPr>
            <w:r>
              <w:t>AI Photobooth</w:t>
            </w:r>
          </w:p>
        </w:tc>
        <w:tc>
          <w:tcPr>
            <w:tcW w:type="dxa" w:w="2160"/>
          </w:tcPr>
          <w:p>
            <w:pPr>
              <w:spacing w:after="60" w:before="60" w:line="264" w:lineRule="auto"/>
            </w:pPr>
            <w:r>
              <w:t>1</w:t>
            </w:r>
          </w:p>
        </w:tc>
        <w:tc>
          <w:tcPr>
            <w:tcW w:type="dxa" w:w="2160"/>
          </w:tcPr>
          <w:p>
            <w:pPr>
              <w:spacing w:after="60" w:before="60" w:line="264" w:lineRule="auto"/>
            </w:pPr>
            <w:r>
              <w:t>₹ 20,000.00</w:t>
            </w:r>
          </w:p>
        </w:tc>
        <w:tc>
          <w:tcPr>
            <w:tcW w:type="dxa" w:w="2160"/>
          </w:tcPr>
          <w:p>
            <w:pPr>
              <w:spacing w:after="60" w:before="60" w:line="264" w:lineRule="auto"/>
            </w:pPr>
            <w:r>
              <w:t>₹ 20,000.00</w:t>
            </w:r>
          </w:p>
        </w:tc>
      </w:tr>
    </w:tbl>
    <w:p>
      <w:pPr>
        <w:spacing w:after="120" w:before="0" w:line="276" w:lineRule="auto"/>
      </w:pPr>
    </w:p>
    <w:tbl>
      <w:tblPr>
        <w:tblW w:type="auto" w:w="0"/>
        <w:tblLayout w:type="fixed"/>
        <w:tblLook w:firstColumn="1" w:firstRow="1" w:lastColumn="0" w:lastRow="0" w:noHBand="0" w:noVBand="1" w:val="04A0"/>
      </w:tblPr>
      <w:tblGrid>
        <w:gridCol w:w="6048"/>
        <w:gridCol w:w="4032"/>
      </w:tblGrid>
      <w:tr>
        <w:tc>
          <w:tcPr>
            <w:tcW w:type="dxa" w:w="5400"/>
          </w:tcPr>
          <w:p>
            <w:pPr>
              <w:spacing w:after="20" w:before="0" w:line="264" w:lineRule="auto"/>
            </w:pPr>
            <w:r>
              <w:rPr>
                <w:b/>
              </w:rPr>
              <w:t>Payment Instructions</w:t>
              <w:br/>
            </w:r>
            <w:r>
              <w:t>Pay Check to</w:t>
              <w:br/>
            </w:r>
            <w:r>
              <w:rPr>
                <w:b/>
              </w:rPr>
              <w:t>Beats Production Private Limited</w:t>
              <w:br/>
              <w:br/>
            </w:r>
            <w:r>
              <w:t>Send to bank</w:t>
              <w:br/>
            </w:r>
            <w:r>
              <w:rPr>
                <w:i/>
              </w:rPr>
              <w:t xml:space="preserve">Account Name : </w:t>
            </w:r>
            <w:r>
              <w:rPr>
                <w:b/>
              </w:rPr>
              <w:t>Beats Production Private Limited</w:t>
              <w:br/>
            </w:r>
            <w:r>
              <w:rPr>
                <w:b/>
              </w:rPr>
              <w:t>Account No : 50200099233710.</w:t>
              <w:br/>
            </w:r>
            <w:r>
              <w:rPr>
                <w:b/>
              </w:rPr>
              <w:t>IFSC Code HDFC0004053.</w:t>
              <w:br/>
            </w:r>
            <w:r>
              <w:rPr>
                <w:b/>
              </w:rPr>
              <w:t>Bank Name : HDFC Bank.</w:t>
            </w:r>
          </w:p>
        </w:tc>
        <w:tc>
          <w:tcPr>
            <w:tcW w:type="dxa" w:w="5400"/>
          </w:tcPr>
          <w:p>
            <w:pPr>
              <w:spacing w:after="60" w:before="0" w:line="264" w:lineRule="auto"/>
              <w:jc w:val="right"/>
            </w:pPr>
            <w:r>
              <w:rPr>
                <w:b/>
              </w:rPr>
              <w:t xml:space="preserve">Subtotal: </w:t>
            </w:r>
            <w:r>
              <w:t>₹ 45,000.00</w:t>
              <w:br/>
            </w:r>
            <w:r>
              <w:rPr>
                <w:b/>
              </w:rPr>
              <w:t xml:space="preserve">IGST (18%): </w:t>
            </w:r>
            <w:r>
              <w:t>₹ 8,100.00</w:t>
              <w:br/>
            </w:r>
            <w:r>
              <w:rPr>
                <w:b/>
              </w:rPr>
              <w:t xml:space="preserve">Total: </w:t>
            </w:r>
            <w:r>
              <w:t>₹ 53,100.00</w:t>
            </w:r>
          </w:p>
        </w:tc>
      </w:tr>
    </w:tbl>
    <w:p>
      <w:pPr>
        <w:spacing w:after="160" w:before="160" w:line="276" w:lineRule="auto"/>
      </w:pPr>
      <w:r>
        <w:rPr>
          <w:b/>
        </w:rPr>
        <w:t>Total Amount (in words) :</w:t>
        <w:br/>
      </w:r>
      <w:r>
        <w:t>Fifty Three Thousand One Hundred Rupees Only</w:t>
      </w:r>
    </w:p>
    <w:p>
      <w:pPr>
        <w:spacing w:after="240" w:before="80" w:line="276" w:lineRule="auto"/>
      </w:pPr>
      <w:r>
        <w:rPr>
          <w:b/>
        </w:rPr>
        <w:t>Terms</w:t>
        <w:br/>
      </w:r>
      <w:r>
        <w:t>a) All prices quoted by BP may be amended when agreed with the Client and the Client will reasonably consider any errors or omissions or where an increase is caused by a change in the circumstances beyond the reasonable control of BP.</w:t>
        <w:br/>
        <w:t>b) Any query arising from an invoice must be notified to BP in writing by the Client within 24 hours of the date of the invoice receipt. Failure to comply will render the full invoice payable on the due date.</w:t>
        <w:br/>
        <w:t>c) It is strictly the responsibility of the representative of the Client confirming the booking to inform all relevant parties of the payment terms, as set out by BP.</w:t>
        <w:br/>
        <w:t>d) Deposit – A deposit of 50% of the total fee payable (including GST), as quoted and agreed in the written proposal (attached), of any event or programme shall be payable on confirmation of the order. The remaining 50% shall be known as the 'balance'.</w:t>
        <w:br/>
        <w:t>e) Balance Due – the balance of the total fee shall be payable at the end of the same event date.</w:t>
        <w:br/>
        <w:t>f) Additional Expenses – any additional expenses or fees resulting from any changes made by the Client, that have not been quoted in the agreed proposal but subsequently incurred by BP, will be invoiced separately after the event.</w:t>
        <w:br/>
        <w:t>g) BP will agree on any additional expenses or fees with the client prior to these being incurred. Liability At some events, the activities that the Clients will undertake may be inherently dangerous although all guests are fully supervised throughout. As such neither BP nor its employees or agents shall be liable for any damage, loss, delay, or expenses caused to the client, its employees, agents, licensees or invitees, or any other persons attending the event except insofar as it results from the negligence of BP or breach of contract. Please note that during particular events and on certain activities it may be necessary to request individuals to sign a liability waiver on the day of the event (although the same does not purport to exclude liability for damage to personal property of the Clients employees or staff or property damage caused to the Clients property or personal injury arising as a result of the negligence of BP), in which instances BP agrees to indemnify and hold the Client harmless against all such claims.</w:t>
      </w:r>
    </w:p>
    <w:p>
      <w:r>
        <w:br w:type="page"/>
      </w:r>
    </w:p>
    <w:tbl>
      <w:tblPr>
        <w:tblStyle w:val="TableGrid"/>
        <w:tblW w:type="auto" w:w="0"/>
        <w:tblLook w:firstColumn="1" w:firstRow="1" w:lastColumn="0" w:lastRow="0" w:noHBand="0" w:noVBand="1" w:val="04A0"/>
      </w:tblPr>
      <w:tblGrid>
        <w:gridCol w:w="10800"/>
      </w:tblGrid>
      <w:tr>
        <w:tc>
          <w:tcPr>
            <w:tcW w:type="dxa" w:w="10800"/>
          </w:tcPr>
          <w:p>
            <w:pPr>
              <w:spacing w:after="120" w:before="120" w:line="264" w:lineRule="auto"/>
            </w:pPr>
            <w:r>
              <w:t>By signing this document, the customer agrees to the services and conditions described in this document.</w:t>
            </w:r>
          </w:p>
        </w:tc>
      </w:tr>
    </w:tbl>
    <w:p>
      <w:pPr>
        <w:spacing w:after="360" w:before="0" w:line="276" w:lineRule="auto"/>
      </w:pPr>
    </w:p>
    <w:tbl>
      <w:tblPr>
        <w:tblStyle w:val="TableGrid"/>
        <w:tblW w:type="auto" w:w="0"/>
        <w:tblLook w:firstColumn="1" w:firstRow="1" w:lastColumn="0" w:lastRow="0" w:noHBand="0" w:noVBand="1" w:val="04A0"/>
      </w:tblPr>
      <w:tblGrid>
        <w:gridCol w:w="5400"/>
        <w:gridCol w:w="5400"/>
      </w:tblGrid>
      <w:tr>
        <w:tc>
          <w:tcPr>
            <w:tcW w:type="dxa" w:w="5400"/>
          </w:tcPr>
          <w:p>
            <w:pPr>
              <w:spacing w:after="80" w:before="80" w:line="264" w:lineRule="auto"/>
            </w:pPr>
            <w:r>
              <w:drawing>
                <wp:inline xmlns:a="http://schemas.openxmlformats.org/drawingml/2006/main" xmlns:pic="http://schemas.openxmlformats.org/drawingml/2006/picture">
                  <wp:extent cx="822960" cy="676656"/>
                  <wp:docPr id="2" name="Picture 2"/>
                  <wp:cNvGraphicFramePr>
                    <a:graphicFrameLocks noChangeAspect="1"/>
                  </wp:cNvGraphicFramePr>
                  <a:graphic>
                    <a:graphicData uri="http://schemas.openxmlformats.org/drawingml/2006/picture">
                      <pic:pic>
                        <pic:nvPicPr>
                          <pic:cNvPr id="0" name="signature.png"/>
                          <pic:cNvPicPr/>
                        </pic:nvPicPr>
                        <pic:blipFill>
                          <a:blip r:embed="rId10"/>
                          <a:stretch>
                            <a:fillRect/>
                          </a:stretch>
                        </pic:blipFill>
                        <pic:spPr>
                          <a:xfrm>
                            <a:off x="0" y="0"/>
                            <a:ext cx="822960" cy="676656"/>
                          </a:xfrm>
                          <a:prstGeom prst="rect"/>
                        </pic:spPr>
                      </pic:pic>
                    </a:graphicData>
                  </a:graphic>
                </wp:inline>
              </w:drawing>
            </w:r>
          </w:p>
        </w:tc>
        <w:tc>
          <w:tcPr>
            <w:tcW w:type="dxa" w:w="5400"/>
          </w:tcPr>
          <w:p>
            <w:pPr>
              <w:spacing w:after="80" w:before="80" w:line="264" w:lineRule="auto"/>
              <w:jc w:val="right"/>
            </w:pPr>
            <w:r>
              <w:br/>
              <w:br/>
            </w:r>
          </w:p>
        </w:tc>
      </w:tr>
      <w:tr>
        <w:tc>
          <w:tcPr>
            <w:tcW w:type="dxa" w:w="5400"/>
          </w:tcPr>
          <w:p>
            <w:pPr>
              <w:spacing w:after="80" w:before="80" w:line="264" w:lineRule="auto"/>
            </w:pPr>
            <w:r>
              <w:rPr>
                <w:b/>
              </w:rPr>
              <w:t>For Beats Production Private Limited</w:t>
            </w:r>
          </w:p>
        </w:tc>
        <w:tc>
          <w:tcPr>
            <w:tcW w:type="dxa" w:w="5400"/>
          </w:tcPr>
          <w:p>
            <w:pPr>
              <w:spacing w:after="80" w:before="80" w:line="264" w:lineRule="auto"/>
              <w:jc w:val="right"/>
            </w:pPr>
            <w:r>
              <w:rPr>
                <w:b/>
              </w:rPr>
              <w:t>Client Signatory</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