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Q2 2026 Sales Performance Report - SaaS Company</w:t>
      </w:r>
    </w:p>
    <w:p>
      <w:pPr>
        <w:pStyle w:val="Heading1"/>
      </w:pPr>
      <w:r>
        <w:t>Executive Summary</w:t>
      </w:r>
    </w:p>
    <w:p>
      <w:r>
        <w:t>The second quarter of 2026 demonstrated robust sales performance for the company, showing a 12% increase in total revenue compared to Q1 2026, and a 19% increase year-over-year. Growth was driven primarily by expanding markets in North America and Europe, alongside strong adoption of newly launched product features. Customer acquisition remained solid with a notable increase in enterprise-level subscriptions. However, challenges in the Asia Pacific region and customer churn in the SMB segment warrant strategic attention.</w:t>
      </w:r>
    </w:p>
    <w:p>
      <w:r>
        <w:br w:type="page"/>
      </w:r>
    </w:p>
    <w:p>
      <w:pPr>
        <w:pStyle w:val="Heading1"/>
      </w:pPr>
      <w:r>
        <w:t>Revenue Breakdown by Region</w:t>
      </w:r>
    </w:p>
    <w:p>
      <w:pPr>
        <w:pStyle w:val="Heading2"/>
      </w:pPr>
      <w:r>
        <w:t>Q2 2026 Revenue by Region (in USD Millions)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w:t>
            </w:r>
          </w:p>
        </w:tc>
        <w:tc>
          <w:tcPr>
            <w:tcW w:type="dxa" w:w="2160"/>
          </w:tcPr>
          <w:p>
            <w:r>
              <w:t>% of Total Revenue</w:t>
            </w:r>
          </w:p>
        </w:tc>
        <w:tc>
          <w:tcPr>
            <w:tcW w:type="dxa" w:w="2160"/>
          </w:tcPr>
          <w:p>
            <w:r>
              <w:t>QoQ Growth</w:t>
            </w:r>
          </w:p>
        </w:tc>
      </w:tr>
      <w:tr>
        <w:tc>
          <w:tcPr>
            <w:tcW w:type="dxa" w:w="2160"/>
          </w:tcPr>
          <w:p>
            <w:r>
              <w:t>North America</w:t>
            </w:r>
          </w:p>
        </w:tc>
        <w:tc>
          <w:tcPr>
            <w:tcW w:type="dxa" w:w="2160"/>
          </w:tcPr>
          <w:p>
            <w:r>
              <w:t>45.2</w:t>
            </w:r>
          </w:p>
        </w:tc>
        <w:tc>
          <w:tcPr>
            <w:tcW w:type="dxa" w:w="2160"/>
          </w:tcPr>
          <w:p>
            <w:r>
              <w:t>48%</w:t>
            </w:r>
          </w:p>
        </w:tc>
        <w:tc>
          <w:tcPr>
            <w:tcW w:type="dxa" w:w="2160"/>
          </w:tcPr>
          <w:p>
            <w:r>
              <w:t>14%</w:t>
            </w:r>
          </w:p>
        </w:tc>
      </w:tr>
      <w:tr>
        <w:tc>
          <w:tcPr>
            <w:tcW w:type="dxa" w:w="2160"/>
          </w:tcPr>
          <w:p>
            <w:r>
              <w:t>Europe</w:t>
            </w:r>
          </w:p>
        </w:tc>
        <w:tc>
          <w:tcPr>
            <w:tcW w:type="dxa" w:w="2160"/>
          </w:tcPr>
          <w:p>
            <w:r>
              <w:t>25.7</w:t>
            </w:r>
          </w:p>
        </w:tc>
        <w:tc>
          <w:tcPr>
            <w:tcW w:type="dxa" w:w="2160"/>
          </w:tcPr>
          <w:p>
            <w:r>
              <w:t>27%</w:t>
            </w:r>
          </w:p>
        </w:tc>
        <w:tc>
          <w:tcPr>
            <w:tcW w:type="dxa" w:w="2160"/>
          </w:tcPr>
          <w:p>
            <w:r>
              <w:t>10%</w:t>
            </w:r>
          </w:p>
        </w:tc>
      </w:tr>
      <w:tr>
        <w:tc>
          <w:tcPr>
            <w:tcW w:type="dxa" w:w="2160"/>
          </w:tcPr>
          <w:p>
            <w:r>
              <w:t>Asia Pacific</w:t>
            </w:r>
          </w:p>
        </w:tc>
        <w:tc>
          <w:tcPr>
            <w:tcW w:type="dxa" w:w="2160"/>
          </w:tcPr>
          <w:p>
            <w:r>
              <w:t>15.4</w:t>
            </w:r>
          </w:p>
        </w:tc>
        <w:tc>
          <w:tcPr>
            <w:tcW w:type="dxa" w:w="2160"/>
          </w:tcPr>
          <w:p>
            <w:r>
              <w:t>16%</w:t>
            </w:r>
          </w:p>
        </w:tc>
        <w:tc>
          <w:tcPr>
            <w:tcW w:type="dxa" w:w="2160"/>
          </w:tcPr>
          <w:p>
            <w:r>
              <w:t>4%</w:t>
            </w:r>
          </w:p>
        </w:tc>
      </w:tr>
      <w:tr>
        <w:tc>
          <w:tcPr>
            <w:tcW w:type="dxa" w:w="2160"/>
          </w:tcPr>
          <w:p>
            <w:r>
              <w:t>Latin America</w:t>
            </w:r>
          </w:p>
        </w:tc>
        <w:tc>
          <w:tcPr>
            <w:tcW w:type="dxa" w:w="2160"/>
          </w:tcPr>
          <w:p>
            <w:r>
              <w:t>6.1</w:t>
            </w:r>
          </w:p>
        </w:tc>
        <w:tc>
          <w:tcPr>
            <w:tcW w:type="dxa" w:w="2160"/>
          </w:tcPr>
          <w:p>
            <w:r>
              <w:t>6%</w:t>
            </w:r>
          </w:p>
        </w:tc>
        <w:tc>
          <w:tcPr>
            <w:tcW w:type="dxa" w:w="2160"/>
          </w:tcPr>
          <w:p>
            <w:r>
              <w:t>8%</w:t>
            </w:r>
          </w:p>
        </w:tc>
      </w:tr>
      <w:tr>
        <w:tc>
          <w:tcPr>
            <w:tcW w:type="dxa" w:w="2160"/>
          </w:tcPr>
          <w:p>
            <w:r>
              <w:t>Middle East &amp; Africa</w:t>
            </w:r>
          </w:p>
        </w:tc>
        <w:tc>
          <w:tcPr>
            <w:tcW w:type="dxa" w:w="2160"/>
          </w:tcPr>
          <w:p>
            <w:r>
              <w:t>3.2</w:t>
            </w:r>
          </w:p>
        </w:tc>
        <w:tc>
          <w:tcPr>
            <w:tcW w:type="dxa" w:w="2160"/>
          </w:tcPr>
          <w:p>
            <w:r>
              <w:t>3%</w:t>
            </w:r>
          </w:p>
        </w:tc>
        <w:tc>
          <w:tcPr>
            <w:tcW w:type="dxa" w:w="2160"/>
          </w:tcPr>
          <w:p>
            <w:r>
              <w:t>5%</w:t>
            </w:r>
          </w:p>
        </w:tc>
      </w:tr>
    </w:tbl>
    <w:p>
      <w:r>
        <w:t>North America remained the largest revenue contributor, benefitting from enterprise client expansions and strong upselling efforts. Europe showed steady growth supported by mid-size business adoption. The Asia Pacific region's slower growth signals increased competition and market entry challenges. Latin America and Middle East &amp; Africa regions continue to develop as emerging markets with moderate growth rates.</w:t>
      </w:r>
    </w:p>
    <w:p>
      <w:r>
        <w:br w:type="page"/>
      </w:r>
    </w:p>
    <w:p>
      <w:pPr>
        <w:pStyle w:val="Heading1"/>
      </w:pPr>
      <w:r>
        <w:t>Top Performing Products</w:t>
      </w:r>
    </w:p>
    <w:p>
      <w:pPr>
        <w:pStyle w:val="Heading2"/>
      </w:pPr>
      <w:r>
        <w:t>Q2 2026 Product Revenue Contribution (in USD Millions)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Product Name</w:t>
            </w:r>
          </w:p>
        </w:tc>
        <w:tc>
          <w:tcPr>
            <w:tcW w:type="dxa" w:w="2160"/>
          </w:tcPr>
          <w:p>
            <w:r>
              <w:t>Revenue</w:t>
            </w:r>
          </w:p>
        </w:tc>
        <w:tc>
          <w:tcPr>
            <w:tcW w:type="dxa" w:w="2160"/>
          </w:tcPr>
          <w:p>
            <w:r>
              <w:t>% of Total Product Revenue</w:t>
            </w:r>
          </w:p>
        </w:tc>
        <w:tc>
          <w:tcPr>
            <w:tcW w:type="dxa" w:w="2160"/>
          </w:tcPr>
          <w:p>
            <w:r>
              <w:t>Key Highlights</w:t>
            </w:r>
          </w:p>
        </w:tc>
      </w:tr>
      <w:tr>
        <w:tc>
          <w:tcPr>
            <w:tcW w:type="dxa" w:w="2160"/>
          </w:tcPr>
          <w:p>
            <w:r>
              <w:t>CloudCRM Pro</w:t>
            </w:r>
          </w:p>
        </w:tc>
        <w:tc>
          <w:tcPr>
            <w:tcW w:type="dxa" w:w="2160"/>
          </w:tcPr>
          <w:p>
            <w:r>
              <w:t>28.0</w:t>
            </w:r>
          </w:p>
        </w:tc>
        <w:tc>
          <w:tcPr>
            <w:tcW w:type="dxa" w:w="2160"/>
          </w:tcPr>
          <w:p>
            <w:r>
              <w:t>38%</w:t>
            </w:r>
          </w:p>
        </w:tc>
        <w:tc>
          <w:tcPr>
            <w:tcW w:type="dxa" w:w="2160"/>
          </w:tcPr>
          <w:p>
            <w:r>
              <w:t>Record sales driven by new automation tools</w:t>
            </w:r>
          </w:p>
        </w:tc>
      </w:tr>
      <w:tr>
        <w:tc>
          <w:tcPr>
            <w:tcW w:type="dxa" w:w="2160"/>
          </w:tcPr>
          <w:p>
            <w:r>
              <w:t>DataAnalytics Suite</w:t>
            </w:r>
          </w:p>
        </w:tc>
        <w:tc>
          <w:tcPr>
            <w:tcW w:type="dxa" w:w="2160"/>
          </w:tcPr>
          <w:p>
            <w:r>
              <w:t>22.5</w:t>
            </w:r>
          </w:p>
        </w:tc>
        <w:tc>
          <w:tcPr>
            <w:tcW w:type="dxa" w:w="2160"/>
          </w:tcPr>
          <w:p>
            <w:r>
              <w:t>31%</w:t>
            </w:r>
          </w:p>
        </w:tc>
        <w:tc>
          <w:tcPr>
            <w:tcW w:type="dxa" w:w="2160"/>
          </w:tcPr>
          <w:p>
            <w:r>
              <w:t>Increased uptake following latest release</w:t>
            </w:r>
          </w:p>
        </w:tc>
      </w:tr>
      <w:tr>
        <w:tc>
          <w:tcPr>
            <w:tcW w:type="dxa" w:w="2160"/>
          </w:tcPr>
          <w:p>
            <w:r>
              <w:t>SecureCloud Storage</w:t>
            </w:r>
          </w:p>
        </w:tc>
        <w:tc>
          <w:tcPr>
            <w:tcW w:type="dxa" w:w="2160"/>
          </w:tcPr>
          <w:p>
            <w:r>
              <w:t>14.7</w:t>
            </w:r>
          </w:p>
        </w:tc>
        <w:tc>
          <w:tcPr>
            <w:tcW w:type="dxa" w:w="2160"/>
          </w:tcPr>
          <w:p>
            <w:r>
              <w:t>20%</w:t>
            </w:r>
          </w:p>
        </w:tc>
        <w:tc>
          <w:tcPr>
            <w:tcW w:type="dxa" w:w="2160"/>
          </w:tcPr>
          <w:p>
            <w:r>
              <w:t>Strong demand from regulated industries</w:t>
            </w:r>
          </w:p>
        </w:tc>
      </w:tr>
      <w:tr>
        <w:tc>
          <w:tcPr>
            <w:tcW w:type="dxa" w:w="2160"/>
          </w:tcPr>
          <w:p>
            <w:r>
              <w:t>TeamCollab Platform</w:t>
            </w:r>
          </w:p>
        </w:tc>
        <w:tc>
          <w:tcPr>
            <w:tcW w:type="dxa" w:w="2160"/>
          </w:tcPr>
          <w:p>
            <w:r>
              <w:t>8.4</w:t>
            </w:r>
          </w:p>
        </w:tc>
        <w:tc>
          <w:tcPr>
            <w:tcW w:type="dxa" w:w="2160"/>
          </w:tcPr>
          <w:p>
            <w:r>
              <w:t>11%</w:t>
            </w:r>
          </w:p>
        </w:tc>
        <w:tc>
          <w:tcPr>
            <w:tcW w:type="dxa" w:w="2160"/>
          </w:tcPr>
          <w:p>
            <w:r>
              <w:t>Growth supported by SMB-focused initiatives</w:t>
            </w:r>
          </w:p>
        </w:tc>
      </w:tr>
    </w:tbl>
    <w:p>
      <w:r>
        <w:t>CloudCRM Pro remained the flagship offering, fueled by a successful product upgrade that enhanced process automation and AI capabilities. The DataAnalytics Suite gained market share through advanced predictive analytics features. SecureCloud Storage saw consistent demand primarily in finance and healthcare sectors. TeamCollab Platform showed promising growth but requires further marketing support to expand beyond SMB customers.</w:t>
      </w:r>
    </w:p>
    <w:p>
      <w:r>
        <w:br w:type="page"/>
      </w:r>
    </w:p>
    <w:p>
      <w:pPr>
        <w:pStyle w:val="Heading1"/>
      </w:pPr>
      <w:r>
        <w:t>Recommendations</w:t>
      </w:r>
    </w:p>
    <w:p>
      <w:pPr>
        <w:pStyle w:val="ListBullet"/>
      </w:pPr>
      <w:r>
        <w:t>Focus on strengthening presence and competitive positioning in the Asia Pacific region by localizing product features and increasing regional marketing investments.</w:t>
      </w:r>
    </w:p>
    <w:p>
      <w:pPr>
        <w:pStyle w:val="ListBullet"/>
      </w:pPr>
      <w:r>
        <w:t>Enhance customer retention strategies in the SMB segment, including tailored onboarding programs and expanded support resources.</w:t>
      </w:r>
    </w:p>
    <w:p>
      <w:pPr>
        <w:pStyle w:val="ListBullet"/>
      </w:pPr>
      <w:r>
        <w:t>Prioritize further innovation and marketing efforts on CloudCRM Pro and DataAnalytics Suite to capitalize on their current momentum.</w:t>
      </w:r>
    </w:p>
    <w:p>
      <w:pPr>
        <w:pStyle w:val="ListBullet"/>
      </w:pPr>
      <w:r>
        <w:t>Explore strategic partnerships in Latin America and Middle East &amp; Africa to accelerate market penetration and development.</w:t>
      </w:r>
    </w:p>
    <w:p>
      <w:pPr>
        <w:pStyle w:val="ListBullet"/>
      </w:pPr>
      <w:r>
        <w:t>Invest in predictive churn analytics to proactively identify at-risk customers and promptly engage them with retention initiatives.</w:t>
      </w:r>
    </w:p>
    <w:p>
      <w:r>
        <w:t>This report underlines a positive sales trajectory overall but highlights key areas that require focused efforts to ensure sustained growth and competitive advantage in coming quarters.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