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30"/>
        </w:rPr>
        <w:t>Blood Bank System Architecture Justification</w:t>
      </w:r>
    </w:p>
    <w:p>
      <w:pPr>
        <w:spacing w:before="0" w:after="160"/>
      </w:pPr>
      <w:r>
        <w:rPr>
          <w:rFonts w:ascii="Calibri" w:hAnsi="Calibri"/>
          <w:i/>
          <w:color w:val="2B6CB0"/>
          <w:sz w:val="20"/>
        </w:rPr>
        <w:t>Component Model, Interface Contracts &amp; Non-Functional Traceability</w:t>
      </w:r>
    </w:p>
    <w:p>
      <w:pPr>
        <w:keepNext/>
        <w:spacing w:before="200" w:after="60"/>
      </w:pPr>
      <w:r>
        <w:rPr>
          <w:rFonts w:ascii="Calibri" w:hAnsi="Calibri"/>
          <w:b/>
          <w:color w:val="1A365D"/>
          <w:sz w:val="24"/>
        </w:rPr>
        <w:t>1. Executive Summary</w:t>
      </w:r>
    </w:p>
    <w:p>
      <w:pPr>
        <w:spacing w:after="120" w:line="276" w:lineRule="auto"/>
      </w:pPr>
      <w:r>
        <w:t>The Blood Bank Inventory and Emergency Donor Matcher System is built on a domain-driven, microservices architecture utilizing strict UML2 ball-and-socket contracts. It decouples real-time triage intake, strict transactional inventory allocation, routine shelf-life scanning, and low-latency geospatial donor notifications.</w:t>
      </w:r>
    </w:p>
    <w:p>
      <w:pPr>
        <w:keepNext/>
        <w:spacing w:before="200" w:after="60"/>
      </w:pPr>
      <w:r>
        <w:rPr>
          <w:rFonts w:ascii="Calibri" w:hAnsi="Calibri"/>
          <w:b/>
          <w:color w:val="1A365D"/>
          <w:sz w:val="24"/>
        </w:rPr>
        <w:t>2. Front-End &amp; Perimeter Ingress Components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Emergency Request Portal: </w:t>
      </w:r>
      <w:r>
        <w:rPr>
          <w:rFonts w:ascii="Calibri" w:hAnsi="Calibri"/>
          <w:color w:val="2D3748"/>
          <w:sz w:val="20"/>
        </w:rPr>
        <w:t>Provides the clinical user interface for triage units to request blood products. It invokes IAuth for authentication and sends requests via IRequestIntake. Decoupling this portal ensures high-availability intake without exposing internal services directly.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Manager Dashboard: </w:t>
      </w:r>
      <w:r>
        <w:rPr>
          <w:rFonts w:ascii="Calibri" w:hAnsi="Calibri"/>
          <w:color w:val="2D3748"/>
          <w:sz w:val="20"/>
        </w:rPr>
        <w:t>Dedicated operational UI for bank supervisors to monitor ticket states via IRequestStatus and handle administrative overrides over IInventoryAdmin and IDonorAdmin, enforcing strict segregation between intake and administration.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Donor Response Handler: </w:t>
      </w:r>
      <w:r>
        <w:rPr>
          <w:rFonts w:ascii="Calibri" w:hAnsi="Calibri"/>
          <w:color w:val="2D3748"/>
          <w:sz w:val="20"/>
        </w:rPr>
        <w:t>Perimeter webhook listener exposing IDonorReplyWebhook to capture incoming donor responses. It isolates core services from external SMS provider connection drops and callback spikes.</w:t>
      </w:r>
    </w:p>
    <w:p>
      <w:pPr>
        <w:keepNext/>
        <w:spacing w:before="200" w:after="60"/>
      </w:pPr>
      <w:r>
        <w:rPr>
          <w:rFonts w:ascii="Calibri" w:hAnsi="Calibri"/>
          <w:b/>
          <w:color w:val="1A365D"/>
          <w:sz w:val="24"/>
        </w:rPr>
        <w:t>3. Core Application &amp; Processing Services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Authentication Service: </w:t>
      </w:r>
      <w:r>
        <w:rPr>
          <w:rFonts w:ascii="Calibri" w:hAnsi="Calibri"/>
          <w:color w:val="2D3748"/>
          <w:sz w:val="20"/>
        </w:rPr>
        <w:t>Exposes IAuth to validate credentials and issue security tokens. It standardizes role-based access control across all entry points, removing redundant auth code.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Emergency Request Service: </w:t>
      </w:r>
      <w:r>
        <w:rPr>
          <w:rFonts w:ascii="Calibri" w:hAnsi="Calibri"/>
          <w:color w:val="2D3748"/>
          <w:sz w:val="20"/>
        </w:rPr>
        <w:t>The primary business orchestrator. It consumes IRequestIntake, queries available stock via IAllocation, calls IDonorMatch during shortages, and writes immutable records via IAuditLog to ensure end-to-end traceability.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Inventory &amp; Allocation Service: </w:t>
      </w:r>
      <w:r>
        <w:rPr>
          <w:rFonts w:ascii="Calibri" w:hAnsi="Calibri"/>
          <w:color w:val="2D3748"/>
          <w:sz w:val="20"/>
        </w:rPr>
        <w:t>Maintains blood unit states and cold-chain balances. Exposes IAllocation and IInventoryAdmin, and drives ILedgerTx to guarantee row-level transactional isolation and eliminate double-allocations.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Shelf-Life Monitor: </w:t>
      </w:r>
      <w:r>
        <w:rPr>
          <w:rFonts w:ascii="Calibri" w:hAnsi="Calibri"/>
          <w:color w:val="2D3748"/>
          <w:sz w:val="20"/>
        </w:rPr>
        <w:t>Background daemon polling inventory batches via IInventoryQuery. Isolating expiry sweeps ensures resource-heavy queries do not impact response times on emergency requests.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Donor Matching Engine: </w:t>
      </w:r>
      <w:r>
        <w:rPr>
          <w:rFonts w:ascii="Calibri" w:hAnsi="Calibri"/>
          <w:color w:val="2D3748"/>
          <w:sz w:val="20"/>
        </w:rPr>
        <w:t>Algorithmic matcher triggered via IDonorMatch. Evaluates donor blood compatibility and proximity using IDonorLookup, then dispatches broadcast commands to INotify.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Donor Registry Service: </w:t>
      </w:r>
      <w:r>
        <w:rPr>
          <w:rFonts w:ascii="Calibri" w:hAnsi="Calibri"/>
          <w:color w:val="2D3748"/>
          <w:sz w:val="20"/>
        </w:rPr>
        <w:t>Secures donor records, historical cooldowns, and location coordinates via IDonorData. Keeps donor PII within a dedicated, encrypted boundary.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Notification Service: </w:t>
      </w:r>
      <w:r>
        <w:rPr>
          <w:rFonts w:ascii="Calibri" w:hAnsi="Calibri"/>
          <w:color w:val="2D3748"/>
          <w:sz w:val="20"/>
        </w:rPr>
        <w:t>Outbound broker consuming INotify to fire SMS dispatches via the external ISMSsend interface, smoothing out third-party network latency and rate limits.</w:t>
      </w:r>
    </w:p>
    <w:p>
      <w:pPr>
        <w:keepNext/>
        <w:spacing w:before="200" w:after="60"/>
      </w:pPr>
      <w:r>
        <w:rPr>
          <w:rFonts w:ascii="Calibri" w:hAnsi="Calibri"/>
          <w:b/>
          <w:color w:val="1A365D"/>
          <w:sz w:val="24"/>
        </w:rPr>
        <w:t>4. Ball-and-Socket Interface Definitions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IAuth (Ball: Auth Service | Socket: Request Portal): </w:t>
      </w:r>
      <w:r>
        <w:rPr>
          <w:rFonts w:ascii="Calibri" w:hAnsi="Calibri"/>
          <w:color w:val="2D3748"/>
          <w:sz w:val="20"/>
        </w:rPr>
        <w:t>Validates identities and passes authorization claims.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IRequestIntake (Ball: Emergency Request Service | Socket: Request Portal): </w:t>
      </w:r>
      <w:r>
        <w:rPr>
          <w:rFonts w:ascii="Calibri" w:hAnsi="Calibri"/>
          <w:color w:val="2D3748"/>
          <w:sz w:val="20"/>
        </w:rPr>
        <w:t>Ingests urgent blood requests with required quantity and location.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IRequestStatus (Ball: Emergency Request Service | Socket: Manager Dashboard): </w:t>
      </w:r>
      <w:r>
        <w:rPr>
          <w:rFonts w:ascii="Calibri" w:hAnsi="Calibri"/>
          <w:color w:val="2D3748"/>
          <w:sz w:val="20"/>
        </w:rPr>
        <w:t>Pushes live status feeds and telemetry to operators.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IAllocation (Ball: Inventory Service | Socket: Emergency Request Service): </w:t>
      </w:r>
      <w:r>
        <w:rPr>
          <w:rFonts w:ascii="Calibri" w:hAnsi="Calibri"/>
          <w:color w:val="2D3748"/>
          <w:sz w:val="20"/>
        </w:rPr>
        <w:t>Verifies stock availability and reserves unit locks.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IInventoryQuery (Ball: Inventory Service | Socket: Shelf-Life Monitor): </w:t>
      </w:r>
      <w:r>
        <w:rPr>
          <w:rFonts w:ascii="Calibri" w:hAnsi="Calibri"/>
          <w:color w:val="2D3748"/>
          <w:sz w:val="20"/>
        </w:rPr>
        <w:t>Scans expiring batches for automated quarantine.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IInventoryAdmin (Ball: Inventory Service | Socket: Manager Dashboard): </w:t>
      </w:r>
      <w:r>
        <w:rPr>
          <w:rFonts w:ascii="Calibri" w:hAnsi="Calibri"/>
          <w:color w:val="2D3748"/>
          <w:sz w:val="20"/>
        </w:rPr>
        <w:t>Enables manual reconciliations and inventory intake.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ILedgerTx (Ball: Inventory Ledger DB | Socket: Inventory Service): </w:t>
      </w:r>
      <w:r>
        <w:rPr>
          <w:rFonts w:ascii="Calibri" w:hAnsi="Calibri"/>
          <w:color w:val="2D3748"/>
          <w:sz w:val="20"/>
        </w:rPr>
        <w:t>Executes ACID-compliant unit reservations with row locking.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IAuditLog (Ball: Request &amp; Audit Log DB | Socket: Emergency Request Service): </w:t>
      </w:r>
      <w:r>
        <w:rPr>
          <w:rFonts w:ascii="Calibri" w:hAnsi="Calibri"/>
          <w:color w:val="2D3748"/>
          <w:sz w:val="20"/>
        </w:rPr>
        <w:t>Writes immutable forensic audit entries.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IDonorAdmin (Ball: Donor Registry Service | Socket: Manager Dashboard): </w:t>
      </w:r>
      <w:r>
        <w:rPr>
          <w:rFonts w:ascii="Calibri" w:hAnsi="Calibri"/>
          <w:color w:val="2D3748"/>
          <w:sz w:val="20"/>
        </w:rPr>
        <w:t>Manages donor records and status overrides.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IDonorLookup (Ball: Donor Registry Service | Socket: Matching Engine): </w:t>
      </w:r>
      <w:r>
        <w:rPr>
          <w:rFonts w:ascii="Calibri" w:hAnsi="Calibri"/>
          <w:color w:val="2D3748"/>
          <w:sz w:val="20"/>
        </w:rPr>
        <w:t>Queries active donors by compatibility and coordinates.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IDonorData (Ball: Donor Registry DB | Socket: Donor Registry Service): </w:t>
      </w:r>
      <w:r>
        <w:rPr>
          <w:rFonts w:ascii="Calibri" w:hAnsi="Calibri"/>
          <w:color w:val="2D3748"/>
          <w:sz w:val="20"/>
        </w:rPr>
        <w:t>Encrypted persistence pipe for donor demographic data.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IDonorMatch (Ball: Donor Matching Engine | Socket: Emergency Request Service): </w:t>
      </w:r>
      <w:r>
        <w:rPr>
          <w:rFonts w:ascii="Calibri" w:hAnsi="Calibri"/>
          <w:color w:val="2D3748"/>
          <w:sz w:val="20"/>
        </w:rPr>
        <w:t>Triggers automated donor search when stock is depleted.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IDonorReplyWebhook (Ball: Donor Response Handler | Socket: SMS Gateway): </w:t>
      </w:r>
      <w:r>
        <w:rPr>
          <w:rFonts w:ascii="Calibri" w:hAnsi="Calibri"/>
          <w:color w:val="2D3748"/>
          <w:sz w:val="20"/>
        </w:rPr>
        <w:t>Ingests SMS callback responses from alerted donors.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INotify (Ball: Notification Service | Socket: Matching Engine): </w:t>
      </w:r>
      <w:r>
        <w:rPr>
          <w:rFonts w:ascii="Calibri" w:hAnsi="Calibri"/>
          <w:color w:val="2D3748"/>
          <w:sz w:val="20"/>
        </w:rPr>
        <w:t>Queues recipient batches for outbound notification.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ISMSsend (Ball: External SMS Gateway | Socket: Notification Service): </w:t>
      </w:r>
      <w:r>
        <w:rPr>
          <w:rFonts w:ascii="Calibri" w:hAnsi="Calibri"/>
          <w:color w:val="2D3748"/>
          <w:sz w:val="20"/>
        </w:rPr>
        <w:t>Provider telecommunication transit for outbound text messages.</w:t>
      </w:r>
    </w:p>
    <w:p>
      <w:pPr>
        <w:keepNext/>
        <w:spacing w:before="200" w:after="60"/>
      </w:pPr>
      <w:r>
        <w:rPr>
          <w:rFonts w:ascii="Calibri" w:hAnsi="Calibri"/>
          <w:b/>
          <w:color w:val="1A365D"/>
          <w:sz w:val="24"/>
        </w:rPr>
        <w:t>5. Data Persistence &amp; Domain Isolation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Request &amp; Audit Log DB: </w:t>
      </w:r>
      <w:r>
        <w:rPr>
          <w:rFonts w:ascii="Calibri" w:hAnsi="Calibri"/>
          <w:color w:val="2D3748"/>
          <w:sz w:val="20"/>
        </w:rPr>
        <w:t>Holds ticket histories and administrative actions. An append-only structure ensures compliance without impacting transaction throughput.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Inventory Ledger DB: </w:t>
      </w:r>
      <w:r>
        <w:rPr>
          <w:rFonts w:ascii="Calibri" w:hAnsi="Calibri"/>
          <w:color w:val="2D3748"/>
          <w:sz w:val="20"/>
        </w:rPr>
        <w:t>Stores blood bags, batch IDs, and cold storage locations. Demands ACID transactions with pessimistic row-level locking to prevent race conditions during reservations.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Donor Registry DB: </w:t>
      </w:r>
      <w:r>
        <w:rPr>
          <w:rFonts w:ascii="Calibri" w:hAnsi="Calibri"/>
          <w:color w:val="2D3748"/>
          <w:sz w:val="20"/>
        </w:rPr>
        <w:t>Holds donor PII and GPS locations. Isolated in a dedicated schema to allow independent key management, TLS 1.3 in transit, and AES-256 at rest.</w:t>
      </w:r>
    </w:p>
    <w:p>
      <w:pPr>
        <w:keepNext/>
        <w:spacing w:before="200" w:after="60"/>
      </w:pPr>
      <w:r>
        <w:rPr>
          <w:rFonts w:ascii="Calibri" w:hAnsi="Calibri"/>
          <w:b/>
          <w:color w:val="1A365D"/>
          <w:sz w:val="24"/>
        </w:rPr>
        <w:t>6. Requirements Traceability (FR &amp; NFR)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NFR-001 (Row-Level Locking &amp; Integrity): </w:t>
      </w:r>
      <w:r>
        <w:rPr>
          <w:rFonts w:ascii="Calibri" w:hAnsi="Calibri"/>
          <w:color w:val="2D3748"/>
          <w:sz w:val="20"/>
        </w:rPr>
        <w:t>Guaranteed by the Inventory &amp; Allocation Service executing pessimistic locks over ILedgerTx, ensuring a single blood unit is never double-allocated.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NFR-002 (Encryption &amp; Privacy): </w:t>
      </w:r>
      <w:r>
        <w:rPr>
          <w:rFonts w:ascii="Calibri" w:hAnsi="Calibri"/>
          <w:color w:val="2D3748"/>
          <w:sz w:val="20"/>
        </w:rPr>
        <w:t>Enforced inside the Donor Registry Service and DB. All donor PII and GPS data are encrypted with AES-256 at rest and TLS 1.3 across the wire.</w:t>
      </w:r>
    </w:p>
    <w:p>
      <w:pPr>
        <w:spacing w:before="40" w:after="80" w:line="269" w:lineRule="auto"/>
      </w:pPr>
      <w:r>
        <w:rPr>
          <w:rFonts w:ascii="Calibri" w:hAnsi="Calibri"/>
          <w:b/>
          <w:color w:val="2B6CB0"/>
          <w:sz w:val="20"/>
        </w:rPr>
        <w:t xml:space="preserve">FR-001 (Matching Latency &lt;= 30s within 10 km): </w:t>
      </w:r>
      <w:r>
        <w:rPr>
          <w:rFonts w:ascii="Calibri" w:hAnsi="Calibri"/>
          <w:color w:val="2D3748"/>
          <w:sz w:val="20"/>
        </w:rPr>
        <w:t>Emergency Request Service invokes IDonorMatch -&gt; Donor Matching Engine evaluates 10 km radius via IDonorLookup -&gt; Notification Service fires batches through ISMSsend to complete alert dispatch in under 30 seconds.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