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719B" w14:textId="6B02994C" w:rsidR="00C04C5E" w:rsidRPr="00C04C5E" w:rsidRDefault="00C04C5E" w:rsidP="00C04C5E">
      <w:pPr>
        <w:jc w:val="center"/>
        <w:rPr>
          <w:b/>
          <w:bCs/>
          <w:sz w:val="36"/>
          <w:szCs w:val="36"/>
        </w:rPr>
      </w:pPr>
      <w:r>
        <w:rPr>
          <w:b/>
          <w:bCs/>
          <w:sz w:val="36"/>
          <w:szCs w:val="36"/>
        </w:rPr>
        <w:t>SE LAB 3</w:t>
      </w:r>
    </w:p>
    <w:p w14:paraId="572C15C6" w14:textId="13F9AD27" w:rsidR="00C04C5E" w:rsidRPr="00C04C5E" w:rsidRDefault="00C04C5E" w:rsidP="00C04C5E">
      <w:r w:rsidRPr="00C04C5E">
        <w:rPr>
          <w:b/>
          <w:bCs/>
        </w:rPr>
        <w:t>Architecture Selection:</w:t>
      </w:r>
      <w:r w:rsidRPr="00C04C5E">
        <w:t xml:space="preserve"> We chose the Microservices Architecture for the Blood Bank Inventory and Emergency Donor Matcher System.</w:t>
      </w:r>
    </w:p>
    <w:p w14:paraId="514C37ED" w14:textId="77777777" w:rsidR="00C04C5E" w:rsidRPr="00C04C5E" w:rsidRDefault="00C04C5E" w:rsidP="00C04C5E">
      <w:r w:rsidRPr="00C04C5E">
        <w:rPr>
          <w:b/>
          <w:bCs/>
        </w:rPr>
        <w:t>Architectural Choice Justification:</w:t>
      </w:r>
    </w:p>
    <w:p w14:paraId="740A679F" w14:textId="77777777" w:rsidR="00C04C5E" w:rsidRPr="00C04C5E" w:rsidRDefault="00C04C5E" w:rsidP="00C04C5E">
      <w:pPr>
        <w:numPr>
          <w:ilvl w:val="0"/>
          <w:numId w:val="1"/>
        </w:numPr>
      </w:pPr>
      <w:r w:rsidRPr="00C04C5E">
        <w:rPr>
          <w:b/>
          <w:bCs/>
        </w:rPr>
        <w:t>Reason 1 (Fault Isolation):</w:t>
      </w:r>
      <w:r w:rsidRPr="00C04C5E">
        <w:t xml:space="preserve"> In an emergency medical scenario, system reliability is critical. By using microservices, if the external SMS Gateway API fails or experiences downtime, the core Inventory Ledger and Request Intake components remain fully functional. This allows the blood bank to continue intaking requests and allocating existing stock without a system-wide failure.</w:t>
      </w:r>
    </w:p>
    <w:p w14:paraId="4E362783" w14:textId="77777777" w:rsidR="00C04C5E" w:rsidRPr="00C04C5E" w:rsidRDefault="00C04C5E" w:rsidP="00C04C5E">
      <w:pPr>
        <w:numPr>
          <w:ilvl w:val="0"/>
          <w:numId w:val="1"/>
        </w:numPr>
      </w:pPr>
      <w:r w:rsidRPr="00C04C5E">
        <w:rPr>
          <w:b/>
          <w:bCs/>
        </w:rPr>
        <w:t>Reason 2 (Independent Deployment &amp; Technology Diversity):</w:t>
      </w:r>
      <w:r w:rsidRPr="00C04C5E">
        <w:t xml:space="preserve"> The Geo-Matching Component requires complex geospatial calculation algorithms to enforce the 10 km radius constraint. A microservices approach allows this specific module to be built, optimized, and deployed using specialized geographic libraries independently from the standard CRUD (Create, Read, Update, Delete) operations used by the Request Intake component.</w:t>
      </w:r>
    </w:p>
    <w:p w14:paraId="0E96A409" w14:textId="77777777" w:rsidR="00C04C5E" w:rsidRPr="00C04C5E" w:rsidRDefault="00C04C5E" w:rsidP="00C04C5E">
      <w:r w:rsidRPr="00C04C5E">
        <w:rPr>
          <w:b/>
          <w:bCs/>
        </w:rPr>
        <w:t>Security Advantage:</w:t>
      </w:r>
      <w:r w:rsidRPr="00C04C5E">
        <w:t xml:space="preserve"> Microservices allow for strict network boundary isolation. The Secure Database Component can be deployed on an isolated private subnet, ensuring that public-facing modules like the Notification Gateway and Request Intake components never have direct access to the database layer. This inherently supports our non-functional requirement to protect donor privacy and ensures that the AES-256 encrypted PII and GPS coordinates are tightly controlled.</w:t>
      </w:r>
    </w:p>
    <w:p w14:paraId="441F9FC5" w14:textId="77777777" w:rsidR="00C04C5E" w:rsidRPr="00C04C5E" w:rsidRDefault="00C04C5E" w:rsidP="00C04C5E">
      <w:r w:rsidRPr="00C04C5E">
        <w:rPr>
          <w:b/>
          <w:bCs/>
        </w:rPr>
        <w:t>Performance Benefit:</w:t>
      </w:r>
      <w:r w:rsidRPr="00C04C5E">
        <w:t xml:space="preserve"> During a mass casualty event or major emergency, request volumes and SMS broadcasting tasks will spike dramatically. Microservices allow the system to independently auto-scale the Geo-Matching and Notification Gateway components. This ensures the system maintains enough compute power to process locations and broadcast alerts within the mandatory 30-second SLA, without wasting server resources scaling the entire application infrastructure.</w:t>
      </w:r>
    </w:p>
    <w:p w14:paraId="64B55FA7" w14:textId="77777777" w:rsidR="00C04C5E" w:rsidRDefault="00C04C5E"/>
    <w:sectPr w:rsidR="00C04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65DC"/>
    <w:multiLevelType w:val="multilevel"/>
    <w:tmpl w:val="F86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3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5E"/>
    <w:rsid w:val="00187708"/>
    <w:rsid w:val="00C04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0D08"/>
  <w15:chartTrackingRefBased/>
  <w15:docId w15:val="{55F34811-6B35-4EEB-B44B-4B408718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C5E"/>
    <w:rPr>
      <w:rFonts w:eastAsiaTheme="majorEastAsia" w:cstheme="majorBidi"/>
      <w:color w:val="272727" w:themeColor="text1" w:themeTint="D8"/>
    </w:rPr>
  </w:style>
  <w:style w:type="paragraph" w:styleId="Title">
    <w:name w:val="Title"/>
    <w:basedOn w:val="Normal"/>
    <w:next w:val="Normal"/>
    <w:link w:val="TitleChar"/>
    <w:uiPriority w:val="10"/>
    <w:qFormat/>
    <w:rsid w:val="00C0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C5E"/>
    <w:pPr>
      <w:spacing w:before="160"/>
      <w:jc w:val="center"/>
    </w:pPr>
    <w:rPr>
      <w:i/>
      <w:iCs/>
      <w:color w:val="404040" w:themeColor="text1" w:themeTint="BF"/>
    </w:rPr>
  </w:style>
  <w:style w:type="character" w:customStyle="1" w:styleId="QuoteChar">
    <w:name w:val="Quote Char"/>
    <w:basedOn w:val="DefaultParagraphFont"/>
    <w:link w:val="Quote"/>
    <w:uiPriority w:val="29"/>
    <w:rsid w:val="00C04C5E"/>
    <w:rPr>
      <w:i/>
      <w:iCs/>
      <w:color w:val="404040" w:themeColor="text1" w:themeTint="BF"/>
    </w:rPr>
  </w:style>
  <w:style w:type="paragraph" w:styleId="ListParagraph">
    <w:name w:val="List Paragraph"/>
    <w:basedOn w:val="Normal"/>
    <w:uiPriority w:val="34"/>
    <w:qFormat/>
    <w:rsid w:val="00C04C5E"/>
    <w:pPr>
      <w:ind w:left="720"/>
      <w:contextualSpacing/>
    </w:pPr>
  </w:style>
  <w:style w:type="character" w:styleId="IntenseEmphasis">
    <w:name w:val="Intense Emphasis"/>
    <w:basedOn w:val="DefaultParagraphFont"/>
    <w:uiPriority w:val="21"/>
    <w:qFormat/>
    <w:rsid w:val="00C04C5E"/>
    <w:rPr>
      <w:i/>
      <w:iCs/>
      <w:color w:val="2F5496" w:themeColor="accent1" w:themeShade="BF"/>
    </w:rPr>
  </w:style>
  <w:style w:type="paragraph" w:styleId="IntenseQuote">
    <w:name w:val="Intense Quote"/>
    <w:basedOn w:val="Normal"/>
    <w:next w:val="Normal"/>
    <w:link w:val="IntenseQuoteChar"/>
    <w:uiPriority w:val="30"/>
    <w:qFormat/>
    <w:rsid w:val="00C04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C5E"/>
    <w:rPr>
      <w:i/>
      <w:iCs/>
      <w:color w:val="2F5496" w:themeColor="accent1" w:themeShade="BF"/>
    </w:rPr>
  </w:style>
  <w:style w:type="character" w:styleId="IntenseReference">
    <w:name w:val="Intense Reference"/>
    <w:basedOn w:val="DefaultParagraphFont"/>
    <w:uiPriority w:val="32"/>
    <w:qFormat/>
    <w:rsid w:val="00C04C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Kumar P</dc:creator>
  <cp:keywords/>
  <dc:description/>
  <cp:lastModifiedBy>Jayanth Kumar P</cp:lastModifiedBy>
  <cp:revision>1</cp:revision>
  <dcterms:created xsi:type="dcterms:W3CDTF">2026-09-29T07:18:00Z</dcterms:created>
  <dcterms:modified xsi:type="dcterms:W3CDTF">2026-09-29T07:18:00Z</dcterms:modified>
</cp:coreProperties>
</file>