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Integration Hub</w:t>
      </w:r>
    </w:p>
    <w:p>
      <w:pPr>
        <w:pStyle w:val="Heading1"/>
      </w:pPr>
      <w:r>
        <w:t>Technical specification</w:t>
      </w:r>
    </w:p>
    <w:p>
      <w:r>
        <w:t>Week 3 | Version 0.1.0 | Documentation baseline: 24 October 2026</w:t>
      </w:r>
    </w:p>
    <w:p>
      <w:r>
        <w:t>Project directory: C:\Projects\integration-hub</w:t>
      </w:r>
    </w:p>
    <w:p>
      <w:r>
        <w:t>This specification describes the implemented application. Verification statements refer to the saved 24 October results; this documentation update does not represent a new benchmark run.</w:t>
      </w:r>
    </w:p>
    <w:p>
      <w:pPr>
        <w:pStyle w:val="Heading1"/>
      </w:pPr>
      <w:r>
        <w:t>1. Technical purpose and boundaries</w:t>
      </w:r>
    </w:p>
    <w:p>
      <w:r>
        <w:t>The application turns a sanitized integration log excerpt into a source-linked investigation and a proposed recovery plan. A model selects a permitted read-only tool; another model-backed role drafts a structured hypothesis. Deterministic code validates evidence and enforces a durable human-approval pause before a local recovery ticket and reviewed memory are written.</w:t>
      </w:r>
    </w:p>
    <w:p>
      <w:r>
        <w:t>The current runtime is a local, single-user application. It does not restart production services, execute model-generated commands, replay transactions, send external messages, or establish that a proposed repair worked. The core runs without paid API calls after dependencies and model weights are installed.</w:t>
      </w:r>
    </w:p>
    <w:p>
      <w:pPr>
        <w:sectPr>
          <w:headerReference w:type="default" r:id="rId9"/>
          <w:footerReference w:type="default" r:id="rId10"/>
          <w:pgSz w:w="11909" w:h="16834"/>
          <w:pgMar w:top="936" w:right="1037" w:bottom="936" w:left="1037" w:header="403" w:footer="403" w:gutter="0"/>
          <w:cols w:space="720"/>
          <w:docGrid w:linePitch="360"/>
        </w:sectPr>
      </w:pPr>
    </w:p>
    <w:p>
      <w:pPr>
        <w:pStyle w:val="Heading1"/>
      </w:pPr>
      <w:r>
        <w:t>2. System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2952"/>
        <w:gridCol w:w="2952"/>
        <w:gridCol w:w="2952"/>
        <w:gridCol w:w="2952"/>
      </w:tblGrid>
      <w:tr>
        <w:trPr>
          <w:cantSplit/>
        </w:trPr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Browser workspace</w:t>
            </w:r>
            <w:r>
              <w:br/>
            </w:r>
            <w:r>
              <w:rPr>
                <w:b w:val="0"/>
                <w:color w:val="183049"/>
                <w:sz w:val="20"/>
              </w:rPr>
              <w:t>React / TypeScript :5180</w:t>
            </w:r>
          </w:p>
        </w:tc>
        <w:tc>
          <w:tcPr>
            <w:tcW w:type="dxa" w:w="648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→</w:t>
            </w:r>
          </w:p>
        </w:tc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API boundary</w:t>
            </w:r>
            <w:r>
              <w:br/>
            </w:r>
            <w:r>
              <w:rPr>
                <w:b w:val="0"/>
                <w:color w:val="183049"/>
                <w:sz w:val="20"/>
              </w:rPr>
              <w:t>FastAPI :8010</w:t>
            </w:r>
          </w:p>
        </w:tc>
        <w:tc>
          <w:tcPr>
            <w:tcW w:type="dxa" w:w="648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↔</w:t>
            </w:r>
          </w:p>
        </w:tc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Canonical records</w:t>
            </w:r>
            <w:r>
              <w:br/>
            </w:r>
            <w:r>
              <w:rPr>
                <w:b w:val="0"/>
                <w:color w:val="183049"/>
                <w:sz w:val="20"/>
              </w:rPr>
              <w:t>SQLite documents, runs, traces, evals</w:t>
            </w:r>
          </w:p>
        </w:tc>
      </w:tr>
      <w:tr>
        <w:trPr>
          <w:cantSplit/>
        </w:trPr>
        <w:tc>
          <w:tcPr>
            <w:tcW w:type="dxa" w:w="4392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  <w:tc>
          <w:tcPr>
            <w:tcW w:type="dxa" w:w="4392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  <w:t>↓</w:t>
            </w:r>
          </w:p>
        </w:tc>
        <w:tc>
          <w:tcPr>
            <w:tcW w:type="dxa" w:w="648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  <w:tc>
          <w:tcPr>
            <w:tcW w:type="dxa" w:w="4392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</w:tr>
      <w:tr>
        <w:trPr>
          <w:cantSplit/>
        </w:trPr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Provider factory</w:t>
            </w:r>
            <w:r>
              <w:br/>
            </w:r>
            <w:r>
              <w:rPr>
                <w:b w:val="0"/>
                <w:color w:val="183049"/>
                <w:sz w:val="20"/>
              </w:rPr>
              <w:t>AI_PROFILE selects adapters</w:t>
            </w:r>
          </w:p>
        </w:tc>
        <w:tc>
          <w:tcPr>
            <w:tcW w:type="dxa" w:w="648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←</w:t>
            </w:r>
          </w:p>
        </w:tc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LangGraph workflow</w:t>
            </w:r>
            <w:r>
              <w:br/>
            </w:r>
            <w:r>
              <w:rPr>
                <w:b w:val="0"/>
                <w:color w:val="183049"/>
                <w:sz w:val="20"/>
              </w:rPr>
              <w:t>Plan &gt; tools &gt; analyze &gt; verify</w:t>
            </w:r>
          </w:p>
        </w:tc>
        <w:tc>
          <w:tcPr>
            <w:tcW w:type="dxa" w:w="648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↔</w:t>
            </w:r>
          </w:p>
        </w:tc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Durable checkpoints</w:t>
            </w:r>
            <w:r>
              <w:br/>
            </w:r>
            <w:r>
              <w:rPr>
                <w:b w:val="0"/>
                <w:color w:val="183049"/>
                <w:sz w:val="20"/>
              </w:rPr>
              <w:t>SQLite state and interrupts</w:t>
            </w:r>
          </w:p>
        </w:tc>
      </w:tr>
      <w:tr>
        <w:trPr>
          <w:cantSplit/>
        </w:trPr>
        <w:tc>
          <w:tcPr>
            <w:tcW w:type="dxa" w:w="4392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  <w:t>↓ local</w:t>
            </w:r>
          </w:p>
        </w:tc>
        <w:tc>
          <w:tcPr>
            <w:tcW w:type="dxa" w:w="648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  <w:tc>
          <w:tcPr>
            <w:tcW w:type="dxa" w:w="4392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  <w:t>↓ valid evidence</w:t>
            </w:r>
          </w:p>
        </w:tc>
        <w:tc>
          <w:tcPr>
            <w:tcW w:type="dxa" w:w="648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  <w:tc>
          <w:tcPr>
            <w:tcW w:type="dxa" w:w="4392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  <w:t>Invalid evidence / failure ↓</w:t>
            </w:r>
          </w:p>
        </w:tc>
      </w:tr>
      <w:tr>
        <w:trPr>
          <w:cantSplit/>
        </w:trPr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Verified local providers</w:t>
            </w:r>
            <w:r>
              <w:br/>
            </w:r>
            <w:r>
              <w:rPr>
                <w:b w:val="0"/>
                <w:color w:val="183049"/>
                <w:sz w:val="20"/>
              </w:rPr>
              <w:t>Ollama: Qwen + embeddings</w:t>
            </w:r>
            <w:r>
              <w:br/>
            </w:r>
            <w:r>
              <w:rPr>
                <w:b w:val="0"/>
                <w:color w:val="183049"/>
                <w:sz w:val="20"/>
              </w:rPr>
              <w:t>Chroma: semantic retrieval</w:t>
            </w:r>
          </w:p>
        </w:tc>
        <w:tc>
          <w:tcPr>
            <w:tcW w:type="dxa" w:w="648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</w:r>
          </w:p>
        </w:tc>
        <w:tc>
          <w:tcPr>
            <w:tcW w:type="dxa" w:w="4392"/>
            <w:shd w:fill="FFF4DC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Human approval gate</w:t>
            </w:r>
            <w:r>
              <w:br/>
            </w:r>
            <w:r>
              <w:rPr>
                <w:b w:val="0"/>
                <w:color w:val="183049"/>
                <w:sz w:val="20"/>
              </w:rPr>
              <w:t>Review hypothesis, evidence</w:t>
            </w:r>
            <w:r>
              <w:br/>
            </w:r>
            <w:r>
              <w:rPr>
                <w:b w:val="0"/>
                <w:color w:val="183049"/>
                <w:sz w:val="20"/>
              </w:rPr>
              <w:t>and uncertainty</w:t>
            </w:r>
          </w:p>
        </w:tc>
        <w:tc>
          <w:tcPr>
            <w:tcW w:type="dxa" w:w="648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</w:r>
          </w:p>
        </w:tc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Human handoff / retry</w:t>
            </w:r>
            <w:r>
              <w:br/>
            </w:r>
            <w:r>
              <w:rPr>
                <w:b w:val="0"/>
                <w:color w:val="183049"/>
                <w:sz w:val="20"/>
              </w:rPr>
              <w:t>Evidence gaps need review</w:t>
            </w:r>
            <w:r>
              <w:br/>
            </w:r>
            <w:r>
              <w:rPr>
                <w:b w:val="0"/>
                <w:color w:val="183049"/>
                <w:sz w:val="20"/>
              </w:rPr>
              <w:t>Saved failures can resume</w:t>
            </w:r>
          </w:p>
        </w:tc>
      </w:tr>
      <w:tr>
        <w:trPr>
          <w:cantSplit/>
        </w:trPr>
        <w:tc>
          <w:tcPr>
            <w:tcW w:type="dxa" w:w="4392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  <w:tc>
          <w:tcPr>
            <w:tcW w:type="dxa" w:w="4392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  <w:t>↓ approved</w:t>
            </w:r>
          </w:p>
        </w:tc>
        <w:tc>
          <w:tcPr>
            <w:tcW w:type="dxa" w:w="648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  <w:tc>
          <w:tcPr>
            <w:tcW w:type="dxa" w:w="4392"/>
          </w:tcPr>
          <w:p>
            <w:pPr>
              <w:spacing w:before="60" w:after="60"/>
              <w:jc w:val="center"/>
            </w:pPr>
            <w:r>
              <w:rPr>
                <w:b/>
                <w:color w:val="183049"/>
                <w:sz w:val="18"/>
              </w:rPr>
            </w:r>
          </w:p>
        </w:tc>
      </w:tr>
      <w:tr>
        <w:trPr>
          <w:cantSplit/>
        </w:trPr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Optional cloud adapters</w:t>
            </w:r>
            <w:r>
              <w:br/>
            </w:r>
            <w:r>
              <w:rPr>
                <w:b w:val="0"/>
                <w:color w:val="183049"/>
                <w:sz w:val="20"/>
              </w:rPr>
              <w:t>Nebius / Pinecone / Mem0</w:t>
            </w:r>
            <w:r>
              <w:br/>
            </w:r>
            <w:r>
              <w:rPr>
                <w:b w:val="0"/>
                <w:color w:val="183049"/>
                <w:sz w:val="20"/>
              </w:rPr>
              <w:t>Explicit trace, search and voice</w:t>
            </w:r>
            <w:r>
              <w:br/>
            </w:r>
            <w:r>
              <w:rPr>
                <w:b w:val="0"/>
                <w:color w:val="183049"/>
                <w:sz w:val="20"/>
              </w:rPr>
              <w:t>Configuration + consent required</w:t>
            </w:r>
          </w:p>
        </w:tc>
        <w:tc>
          <w:tcPr>
            <w:tcW w:type="dxa" w:w="648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</w:r>
          </w:p>
        </w:tc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Approved local outcome</w:t>
            </w:r>
            <w:r>
              <w:br/>
            </w:r>
            <w:r>
              <w:rPr>
                <w:b w:val="0"/>
                <w:color w:val="183049"/>
                <w:sz w:val="20"/>
              </w:rPr>
              <w:t>Recovery ticket + reviewed memory</w:t>
            </w:r>
            <w:r>
              <w:br/>
            </w:r>
            <w:r>
              <w:rPr>
                <w:b w:val="0"/>
                <w:color w:val="183049"/>
                <w:sz w:val="20"/>
              </w:rPr>
              <w:t>No production remediation</w:t>
            </w:r>
          </w:p>
        </w:tc>
        <w:tc>
          <w:tcPr>
            <w:tcW w:type="dxa" w:w="648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</w:r>
          </w:p>
        </w:tc>
        <w:tc>
          <w:tcPr>
            <w:tcW w:type="dxa" w:w="4392"/>
            <w:shd w:fill="E6F5F1"/>
          </w:tcPr>
          <w:p>
            <w:pPr>
              <w:spacing w:before="180" w:after="180"/>
              <w:jc w:val="center"/>
            </w:pPr>
            <w:r>
              <w:rPr>
                <w:b/>
                <w:color w:val="183049"/>
                <w:sz w:val="20"/>
              </w:rPr>
              <w:t>Measured evaluations</w:t>
            </w:r>
            <w:r>
              <w:br/>
            </w:r>
            <w:r>
              <w:rPr>
                <w:b w:val="0"/>
                <w:color w:val="183049"/>
                <w:sz w:val="20"/>
              </w:rPr>
              <w:t>Executed cases &gt; saved results</w:t>
            </w:r>
            <w:r>
              <w:br/>
            </w:r>
            <w:r>
              <w:rPr>
                <w:b w:val="0"/>
                <w:color w:val="183049"/>
                <w:sz w:val="20"/>
              </w:rPr>
              <w:t>Same records feed dashboard</w:t>
            </w:r>
          </w:p>
        </w:tc>
      </w:tr>
    </w:tbl>
    <w:p>
      <w:pPr>
        <w:pStyle w:val="Caption"/>
      </w:pPr>
      <w:r>
        <w:t>Optional cloud adapters connect through the provider factory. They are not part of the verified local execution path.</w:t>
      </w:r>
    </w:p>
    <w:p>
      <w:pPr>
        <w:pStyle w:val="Caption"/>
      </w:pPr>
      <w:r>
        <w:rPr>
          <w:sz w:val="18"/>
        </w:rPr>
        <w:t>The diagram separates the verified local path from optional cloud adapters. Arrows indicate local application/data flows. The separate optional cloud box represents configuration-selected capabilities, not a tested live deployment. The Word diagram is fully editable; the standalone SVG shows the cloud branch with a dashed connection. Approval gates the ticket and reviewed-memory side effect; operational records and checkpoints are saved throughout execution.</w:t>
      </w:r>
    </w:p>
    <w:p>
      <w:pPr>
        <w:sectPr>
          <w:pgSz w:w="16834" w:h="11909" w:orient="landscape"/>
          <w:pgMar w:top="936" w:right="1037" w:bottom="936" w:left="1037" w:header="403" w:footer="403" w:gutter="0"/>
          <w:cols w:space="720"/>
          <w:docGrid w:linePitch="360"/>
        </w:sectPr>
      </w:pPr>
    </w:p>
    <w:p>
      <w:pPr>
        <w:pStyle w:val="Heading1"/>
      </w:pPr>
      <w:r>
        <w:t>3. Technology and component 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/>
        </w:trPr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Implementation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Browser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React 19, TypeScript 6, Vite 8, custom CSS, Lucide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Eleven screens, light/dark appearance, evidence review and confirmation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API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Python 3.12, FastAPI, Pydantic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Input validation, access boundary, admission control, background runs and exports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Orchestration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LangGraph 1.2.15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Explicit state, conditional routing, node execution and interrupts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Checkpointing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langgraph-checkpoint-sqlite 3.1.0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Durable graph transitions and resume after restart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Local reasoning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Ollama / qwen2.5:latest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Read-only tool selection and structured investigation synthesis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Local retrieval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nomic-embed-text:latest and Chroma 1.5.9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Query/document embeddings and semantic passage retrieval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Canonical storage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SQLite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Documents, runs, decisions, memory, traces, tickets and evaluations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HTTP adapters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httpx 0.28.1 and provider protocols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Provider requests, errors, bounded retries and consent gates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Packaging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Native Python/npm; Docker Compose assets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Separate frontend/backend and persistent local data</w:t>
            </w:r>
          </w:p>
        </w:tc>
      </w:tr>
    </w:tbl>
    <w:p/>
    <w:p>
      <w:r>
        <w:t>Exact Python pins are in requirements.txt; frontend resolution is recorded in frontend/package-lock.json. Custom CSS/components were used instead of adding shadcn/Recharts. The browser does not need remote fonts or a hosted asset CDN.</w:t>
      </w:r>
    </w:p>
    <w:p>
      <w:pPr>
        <w:pStyle w:val="Heading1"/>
      </w:pPr>
      <w:r>
        <w:t>4. Agent workflow and state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/>
        </w:trPr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Execution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Output / transition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Triage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Deterministic parser and input checks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Error categories, HTTP codes, correlation IDs, timestamps; suspicious input hands off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Plan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Model-backed retrieval planner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One of search_runbooks, search_memory, request_human; focused query and reason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Tools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Allowlisted provider call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Retrieved runbook passages or reviewed incident memory; empty results hand off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Analyze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Model-backed RCA analyst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Category, hypothesis, confidence, citations, checks, proposed recovery and uncertainty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Verify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Deterministic checks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Exact quotes, log/category consistency, log plus document evidence and canonical-record matching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Prepare / approval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LangGraph interrupt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Persisted awaiting_approval state with a concrete recovery proposal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Complete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Deterministic, approved write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Stable-ID local ticket and reviewed hypothesis; decline writes neither</w:t>
            </w:r>
          </w:p>
        </w:tc>
      </w:tr>
    </w:tbl>
    <w:p/>
    <w:p>
      <w:r>
        <w:t>This is one stateful graph with two model-backed roles and supporting deterministic nodes, not seven independently deployed AI services. Models do not receive arbitrary shell or unrestricted network tools.</w:t>
      </w:r>
    </w:p>
    <w:p>
      <w:r>
        <w:t>Shared state contains run and tenant identifiers, sanitized incident, parsed signals, planner decision, evidence, finding, validation, provider/model call metadata, approval decision, ticket ID, status and errors. The checkpoint thread ID is tenant-scoped. Cross-run memory is separate from graph checkpoints and is explicitly marked as a reviewed hypothesis, not a verified root cause.</w:t>
      </w:r>
    </w:p>
    <w:p>
      <w:pPr>
        <w:pStyle w:val="Heading1"/>
      </w:pPr>
      <w:r>
        <w:t>5. Retrieval and evidence contracts</w:t>
      </w:r>
    </w:p>
    <w:p>
      <w:r>
        <w:t>Canonical text is retained in SQLite. Documents are split at 900-character starts into passages of up to 1,000 characters, giving up to 100 characters of overlap. Embeddings are generated locally. Chroma collection identity includes tenant and embedding model; index metadata records the document digest and vector dimension. Search returns up to three passages and refreshes a stale local index from canonical records.</w:t>
      </w:r>
    </w:p>
    <w:p>
      <w:r>
        <w:t>The analyst schema permits the categories authentication, rate_limit, timeout, connection_pool and unknown. Citations carry a source ID and a verbatim quote of 8–500 characters. A normal accepted finding needs incident-log and retrieved-source evidence, category/log consistency, valid quotations and matching canonical records.</w:t>
      </w:r>
    </w:p>
    <w:p>
      <w:r>
        <w:t>These checks establish source integrity, not semantic entailment. An exact quote can exist while a broader claim is unsupported. Confidence is model-generated and uncalibrated; it is not a probability. Human review remains part of the workflow.</w:t>
      </w:r>
    </w:p>
    <w:p>
      <w:r>
        <w:t>The lexical evaluation baseline is simple token-overlap ranking, not BM25 and not the production planner's selected vector tool. Its measured speed is reported separately from the vector/embedding path.</w:t>
      </w:r>
    </w:p>
    <w:p>
      <w:pPr>
        <w:pStyle w:val="Heading1"/>
      </w:pPr>
      <w:r>
        <w:t>6. API specification</w:t>
      </w:r>
    </w:p>
    <w:p>
      <w:r>
        <w:t>Base URL: http://127.0.0.1:8010. Interactive API documentation: /docs. The frontend forwards /api to the backend.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/>
        </w:trPr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Contract / behavior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/api/health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Backend status, profile and version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/api/config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Public settings and provider status; no credentials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/api/dashboard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Runs, tickets, source count, memory count and persisted evaluations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/api/runs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Validate incident; return 202 and run ID; execute in background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/api/runs/{id}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Saved/live checkpoint state and trace events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/api/runs/{id}/approval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Explicit boolean decision and optional note; reject invalid state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/api/runs/{id}/retry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Resume failed/interrupted run; original profile required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GET / POST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/api/documents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List or add canonical text records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/api/documents/upload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UTF-8 TXT, MD or JSON; maximum 50 KB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/api/index/rebuild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Rebuild retrieval index while no investigation is active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GET / DELETE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/api/memory; /api/memory/{id}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List or explicitly forget reviewed memory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/api/evaluations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Actual persisted benchmark records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/api/runs/{id}/report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Plain-text Markdown report with provenance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/api/samples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Synthetic example incidents</w:t>
            </w:r>
          </w:p>
        </w:tc>
      </w:tr>
    </w:tbl>
    <w:p/>
    <w:p>
      <w:r>
        <w:t>Incident input: title 3–160 characters, service 1–80 characters, logs 3–12,000 characters. Document text submitted as JSON is 20–50,000 characters; upload limits are byte-based. Schemas reject extra fields. Common responses include 401 for missing authentication when configured, 403 for rejected browser origin, 404 for absent records, 409 for conflicting run state, 413/415/422 for invalid documents and 429 for admission/rate limits.</w:t>
      </w:r>
    </w:p>
    <w:p>
      <w:pPr>
        <w:spacing w:after="20"/>
      </w:pPr>
      <w:r>
        <w:rPr>
          <w:rFonts w:ascii="Consolas" w:hAnsi="Consolas"/>
          <w:sz w:val="17"/>
        </w:rPr>
        <w:t>{</w:t>
      </w:r>
    </w:p>
    <w:p>
      <w:pPr>
        <w:spacing w:after="20"/>
      </w:pPr>
      <w:r>
        <w:rPr>
          <w:rFonts w:ascii="Consolas" w:hAnsi="Consolas"/>
          <w:sz w:val="17"/>
        </w:rPr>
        <w:t xml:space="preserve">  "title": "Customer API authentication failure",</w:t>
      </w:r>
    </w:p>
    <w:p>
      <w:pPr>
        <w:spacing w:after="20"/>
      </w:pPr>
      <w:r>
        <w:rPr>
          <w:rFonts w:ascii="Consolas" w:hAnsi="Consolas"/>
          <w:sz w:val="17"/>
        </w:rPr>
        <w:t xml:space="preserve">  "service": "customer-api",</w:t>
      </w:r>
    </w:p>
    <w:p>
      <w:pPr>
        <w:spacing w:after="20"/>
      </w:pPr>
      <w:r>
        <w:rPr>
          <w:rFonts w:ascii="Consolas" w:hAnsi="Consolas"/>
          <w:sz w:val="17"/>
        </w:rPr>
        <w:t xml:space="preserve">  "logs": "2026-10-24T08:00:00Z status=401 error=invalid_token message=token expired"</w:t>
      </w:r>
    </w:p>
    <w:p>
      <w:pPr>
        <w:spacing w:after="20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7. Storage, recovery and profile switching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/>
        </w:trPr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Asset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b/>
                <w:sz w:val="18"/>
              </w:rPr>
              <w:t>Recovery strategy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Canonical records and trace events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runtime/hub.sqlite3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SQLite snapshot and checksummed backup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Graph transitions and interrupts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runtime/checkpoints.sqlite3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Preserve with canonical database; resume same thread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Derived vectors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runtime/chroma/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Rebuild from canonical documents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Synthetic corpus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data/runbooks.json; data/incidents.json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Versioned project files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Benchmark artifacts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evaluations/results/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Saved JSON; also persisted for dashboard consumption</w:t>
            </w:r>
          </w:p>
        </w:tc>
      </w:tr>
      <w:tr>
        <w:trPr>
          <w:cantSplit/>
        </w:trPr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Secrets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Process environment</w:t>
            </w:r>
          </w:p>
        </w:tc>
        <w:tc>
          <w:tcPr>
            <w:tcW w:type="dxa" w:w="3278"/>
          </w:tcPr>
          <w:p>
            <w:pPr>
              <w:spacing w:after="80"/>
            </w:pPr>
            <w:r>
              <w:rPr>
                <w:sz w:val="18"/>
              </w:rPr>
              <w:t>Reconfigure separately; excluded from backup and source</w:t>
            </w:r>
          </w:p>
        </w:tc>
      </w:tr>
    </w:tbl>
    <w:p/>
    <w:p>
      <w:r>
        <w:t>Stop the API and evaluations before cross-database backup. Restore requires an empty target and validates checksums and archive paths. Different embedding models/dimensions require compatible indexes and recomputation. Existing cloud-only records cannot be reconstructed unless exported/imported; local canonical copies remain usable when credits expire.</w:t>
      </w:r>
    </w:p>
    <w:p>
      <w:r>
        <w:t>AI_PROFILE selects local_free, hybrid or sponsored centrally. Local uses Ollama/Chroma/SQLite. Hybrid uses an explicitly selected OpenRouter :free model with local storage and opt-in local LLM fallback. Sponsored selects Nebius, Pinecone and Mem0 adapters, with explicit Langfuse export, Keenable search and ElevenLabs speech operations. Local embeddings remain shared across profiles. Meeting support is text/JSON import, not recording/transcription.</w:t>
      </w:r>
    </w:p>
    <w:p>
      <w:pPr>
        <w:pStyle w:val="Heading1"/>
      </w:pPr>
      <w:r>
        <w:t>8. Reliability and security</w:t>
      </w:r>
    </w:p>
    <w:p>
      <w:r>
        <w:t>The graph allows at most 12 steps and uses a 10,000-token budget check with a conservative prompt-size estimate. Local model output is capped at 700 tokens per call; the configured HTTP timeout is 180 seconds. Provider operations receive at most one automatic retry; transient failures may use explicitly approved local LLM fallback. Authentication failures do not authorize fallback. Three consecutive failed operations open a 30-second circuit.</w:t>
      </w:r>
    </w:p>
    <w:p>
      <w:r>
        <w:t>The API admits one active investigation per process and limits new runs to six per minute. Use one backend worker; locks/rate limits are process-local. Failed nodes save state for retry. Stable ticket IDs prevent duplicate local tickets on replay.</w:t>
      </w:r>
    </w:p>
    <w:p>
      <w:r>
        <w:t>Controls include optional bearer authentication, fixed local browser identity, trusted hosts/origins, input limits, common-pattern secret/PII redaction, injection-pattern checks and deterministic tool authorization. Redaction and injection detection are not exhaustive. Cloud calls require explicit data/spending consent and configured budgets; conservative reservation estimates are not a replacement for provider-side hard limits.</w:t>
      </w:r>
    </w:p>
    <w:p>
      <w:pPr>
        <w:pStyle w:val="Heading1"/>
      </w:pPr>
      <w:r>
        <w:t>9. Verification baseline and limitations</w:t>
      </w:r>
    </w:p>
    <w:p>
      <w:r>
        <w:t>Saved verification: 30 Python tests passed; frontend production build and lint passed; API routes returned HTTP 200 through the frontend proxy. A real Qwen investigation resumed through a new workflow object and created one approved synthetic ticket. The saved benchmark is 5/6 tasks passed (83.33%); a missing runbook citation correctly led to human review.</w:t>
      </w:r>
    </w:p>
    <w:p>
      <w:r>
        <w:t>Cloud adapters have mocked contract tests, not live interoperability evidence. Docker Compose syntax was validated but the container engine was stopped. Local audio/transcription is not implemented. Production deployment still needs organizational identity/RBAC, HTTPS, retention, encrypted storage/backups, operational review and broader human-labeled evaluations.</w:t>
      </w:r>
    </w:p>
    <w:p>
      <w:pPr>
        <w:pStyle w:val="Heading1"/>
      </w:pPr>
      <w:r>
        <w:t>10. Implementation map</w:t>
      </w:r>
    </w:p>
    <w:p>
      <w:pPr>
        <w:pStyle w:val="ListBullet"/>
      </w:pPr>
      <w:r>
        <w:t>backend/app/main.py: API routes, admission and browser access boundary.</w:t>
      </w:r>
    </w:p>
    <w:p>
      <w:pPr>
        <w:pStyle w:val="ListBullet"/>
      </w:pPr>
      <w:r>
        <w:t>backend/app/workflow.py: state, nodes, prompts, evidence checks and approval.</w:t>
      </w:r>
    </w:p>
    <w:p>
      <w:pPr>
        <w:pStyle w:val="ListBullet"/>
      </w:pPr>
      <w:r>
        <w:t>backend/app/providers.py: protocols, factory, local adapters and LLM fallback.</w:t>
      </w:r>
    </w:p>
    <w:p>
      <w:pPr>
        <w:pStyle w:val="ListBullet"/>
      </w:pPr>
      <w:r>
        <w:t>backend/app/extensions.py: optional cloud service adapters and export boundary.</w:t>
      </w:r>
    </w:p>
    <w:p>
      <w:pPr>
        <w:pStyle w:val="ListBullet"/>
      </w:pPr>
      <w:r>
        <w:t>backend/app/models.py, config.py, security.py, store.py: schemas, settings, sanitization and persistence.</w:t>
      </w:r>
    </w:p>
    <w:p>
      <w:pPr>
        <w:pStyle w:val="ListBullet"/>
      </w:pPr>
      <w:r>
        <w:t>frontend/src/main.tsx and style.css: workspace screens and presentation.</w:t>
      </w:r>
    </w:p>
    <w:p>
      <w:pPr>
        <w:pStyle w:val="ListBullet"/>
      </w:pPr>
      <w:r>
        <w:t>evaluations/run.py: real benchmark and retrieval comparison.</w:t>
      </w:r>
    </w:p>
    <w:p>
      <w:pPr>
        <w:pStyle w:val="ListBullet"/>
      </w:pPr>
      <w:r>
        <w:t>scripts/: startup, seeding, rebuild, backup, explicit external operations and real smoke verification.</w:t>
      </w:r>
    </w:p>
    <w:p>
      <w:pPr>
        <w:pStyle w:val="ListBullet"/>
      </w:pPr>
      <w:r>
        <w:t>tests/: fixture/API/security/contract/backup verification; excluded from model-quality scores.</w:t>
      </w:r>
    </w:p>
    <w:p>
      <w:r>
        <w:t>Related documents: ARCHITECTURE.md, AGENT_WORKFLOWS.md, PROVIDER_MATRIX.md, SECURITY.md, DEPLOYMENT.md, MIGRATION_GUIDE.md and FINAL_VERIFICATION.md.</w:t>
      </w:r>
    </w:p>
    <w:p>
      <w:pPr>
        <w:pStyle w:val="Heading1"/>
      </w:pPr>
      <w:r>
        <w:t>11. Existing Chroma service connection</w:t>
      </w:r>
    </w:p>
    <w:p>
      <w:r>
        <w:t>The current laptop configuration uses the installed Chroma server at http://127.0.0.1:8081 through the Chroma HttpClient. Its collection is named integration_hub_ followed by a tenant/model fingerprint. Other applications' collections are not used or cleared. The earlier benchmark used embedded Chroma; its timings are retained as historical measurements, not represented as a new HTTP benchmark.</w:t>
      </w:r>
    </w:p>
    <w:p>
      <w:r>
        <w:t>CHROMA_MODE selects http or embedded; CHROMA_HOST and CHROMA_PORT set the local endpoint. VECTOR_STORE=chroma allows the same server to be used with the sponsored paid-model profile. VECTOR_STORE=auto preserves profile defaults. The project-local .env is loaded at startup with process environment precedence. Health status uses a real server heartbeat, and a connection failure does not silently change the storage backend.</w:t>
      </w:r>
    </w:p>
    <w:sectPr w:rsidR="00FC693F" w:rsidRPr="0006063C" w:rsidSect="00034616">
      <w:pgSz w:w="11909" w:h="16834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Technical specification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B"/>
        <w:sz w:val="16"/>
      </w:rPr>
      <w:t>INTEGRATION HUB  |  WEEK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8304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30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8304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8304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Hub - Technical specification</dc:title>
  <dc:subject>Week 3 implemented application documentation</dc:subject>
  <dc:creator>Jayanth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