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ReguGraph-UAE: Technical Specification &amp; Engineering Blueprint</w:t>
      </w:r>
    </w:p>
    <w:p>
      <w:pPr>
        <w:spacing w:after="320"/>
      </w:pPr>
      <w:r>
        <w:rPr>
          <w:rFonts w:ascii="Calibri" w:hAnsi="Calibri"/>
          <w:i/>
          <w:color w:val="0D9488"/>
          <w:sz w:val="26"/>
        </w:rPr>
        <w:t>In-Depth Architectural Design, LangGraph State Machine, Multi-Engine RAG, Deterministic Math Formalisms &amp; API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Document Reference: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REG-TECH-2026-V1.0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System Name: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ReguGraph-UAE Engine &amp; Multi-Agent Architecture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Technical Stack: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React 19 | Vite 8 | FastAPI 0.141 | LangGraph 1.2 | ChromaDB 0.6 | Python 3.13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Target Demonstration: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October 19, 2026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Network Ports: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:5173 (Main) | :5174 (Diagnostics) | :8000 (API) | :8081 (Chroma) | :8090 (UI)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Document Type: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System Architecture &amp; Engineering Specification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9"/>
              </w:rPr>
              <w:t>Security Classification:</w:t>
            </w:r>
          </w:p>
        </w:tc>
        <w:tc>
          <w:tcPr>
            <w:tcW w:type="dxa" w:w="6192"/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19"/>
              </w:rPr>
              <w:t>Engineering Confidential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Technical Architecture &amp; Process Execution Topology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Architectural Blueprint: </w:t>
      </w:r>
      <w:r>
        <w:rPr>
          <w:rFonts w:ascii="Calibri" w:hAnsi="Calibri"/>
          <w:i w:val="0"/>
          <w:color w:val="334155"/>
          <w:sz w:val="21"/>
        </w:rPr>
        <w:t>ReguGraph-UAE is architected as an asynchronous, distributed multi-tier system engineered for microsecond-level determinism, strict isolation between presentation and telemetry, and absolute compliance with statutory banking formulas.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d_to_end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Figure: ReguGraph-UAE End-to-End Multi-Tier Engineering Topology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Daemon Process Topology: </w:t>
      </w:r>
      <w:r>
        <w:rPr>
          <w:rFonts w:ascii="Calibri" w:hAnsi="Calibri"/>
          <w:i w:val="0"/>
          <w:color w:val="334155"/>
          <w:sz w:val="21"/>
        </w:rPr>
        <w:t>The system operates across five concurrent local service daemons: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 Process</w:t>
            </w:r>
          </w:p>
        </w:tc>
        <w:tc>
          <w:tcPr>
            <w:tcW w:type="dxa" w:w="2304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Host &amp; Port</w:t>
            </w:r>
          </w:p>
        </w:tc>
        <w:tc>
          <w:tcPr>
            <w:tcW w:type="dxa" w:w="2160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Underlying Technology</w:t>
            </w:r>
          </w:p>
        </w:tc>
        <w:tc>
          <w:tcPr>
            <w:tcW w:type="dxa" w:w="2592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Role &amp; Process Model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Retail Auditing Web App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http://localhost:5173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Vite 8.3 + React 19.2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Presentation application rendering fintech cards, DBR radial visualizer, and audit studio.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Diagnostics &amp; Telemetry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http://localhost:5174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Vite 8.3 (vite.config.diagnostics.ts)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Isolated monitoring hub managing 5-minute health heartbeats and live RAG evaluation scorecards.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FastAPI Backend Gateway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http://localhost:8000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FastAPI 0.141 + Uvicorn ASGI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REST and streaming gateway coordinating document ingestion, LangGraph, and math calculations.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ChromaDB Vector Server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http://localhost:8081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Chroma 0.6.3 REST Engine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Standalone vector database managing collections 'cbuae_regulations' and 'cbuae_eval_runs'.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Chroma Web UI Visualizer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http://localhost:8090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Uvicorn + Jinja2 UI Daemon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Administrative vector browser allowing visual inspection of collections and distance scores.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Dual-Port Presentation &amp; Diagnostics Isolation Architecture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In accordance with user design specifications for the October 19 demonstration, the Diagnostics &amp; Telemetry module has been isolated from the primary client application onto Port 5174. This architecture achieves strict visual and operational isolation while sharing common TypeScript models and API client libraries.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3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ual_port_frontend_isolatio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Figure: ReguGraph-UAE Dual-Port Frontend Separation Architecture (:5173 vs :5174)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Implementation Highlights: </w:t>
      </w:r>
      <w:r>
        <w:rPr>
          <w:rFonts w:ascii="Calibri" w:hAnsi="Calibri"/>
          <w:i w:val="0"/>
          <w:color w:val="334155"/>
          <w:sz w:val="21"/>
        </w:rPr>
        <w:t>The dual-port configuration is implemented as follows: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Isolated Diagnostics Build: </w:t>
      </w:r>
      <w:r>
        <w:rPr>
          <w:rFonts w:ascii="Calibri" w:hAnsi="Calibri"/>
          <w:color w:val="334155"/>
          <w:sz w:val="21"/>
        </w:rPr>
        <w:t>Configured in `vite.config.diagnostics.ts` with entry point `frontend/src/diagnostics-main.tsx`. The application renders `DiagnosticsApp.tsx`, providing live daemon pings, an automated 5-minute polling loop with manual triggers, and the 15-inquiry benchmark suite.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Bi-Directional Bridging: </w:t>
      </w:r>
      <w:r>
        <w:rPr>
          <w:rFonts w:ascii="Calibri" w:hAnsi="Calibri"/>
          <w:color w:val="334155"/>
          <w:sz w:val="21"/>
        </w:rPr>
        <w:t>The top navigation bar on Port 5173 features a prominent 'Diagnostics &amp; Telemetry -&gt; :5174' action button. Reciprocally, Port 5174 features a '&lt;- Return to ReguGraph Main Dashboard (:5173)' banner, enabling rapid transitions during live stakeholder Q&amp;A.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Real-Time Health Polling: </w:t>
      </w:r>
      <w:r>
        <w:rPr>
          <w:rFonts w:ascii="Calibri" w:hAnsi="Calibri"/>
          <w:color w:val="334155"/>
          <w:sz w:val="21"/>
        </w:rPr>
        <w:t>The diagnostics application polls `/api/health` and `/api/evaluations/latest` asynchronously. If any backend daemon experiences latency or stops heartbeating, visual status badges transition dynamically from green ('Online') to amber ('Degraded') or red ('Offline').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LangGraph 6-Node Multi-Agent State Machine Specification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At the core of ReguGraph-UAE is a stateful, cyclical multi-agent graph implemented using LangGraph. The graph orchestrates specialized autonomous agents through a rigorous sequence of deconstruction, hybrid retrieval, mathematical verification, legal cross-examination, and dossier synthesis.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ggraph_multi_agent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Figure: LangGraph 6-Node Multi-Agent State Machine Flowchart &amp; Decision Branching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3.1 AuditState TypedDict Schema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State Container: </w:t>
      </w:r>
      <w:r>
        <w:rPr>
          <w:rFonts w:ascii="Calibri" w:hAnsi="Calibri"/>
          <w:i w:val="0"/>
          <w:color w:val="334155"/>
          <w:sz w:val="21"/>
        </w:rPr>
        <w:t>The workflow state is maintained in an immutable TypedDict passed between nodes: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AUDIT STATE TYPEDDICT SCHEMA: </w:t>
            </w:r>
            <w:r>
              <w:rPr>
                <w:rFonts w:ascii="Calibri" w:hAnsi="Calibri"/>
                <w:color w:val="334155"/>
                <w:sz w:val="20"/>
              </w:rPr>
              <w:t>class AuditState(TypedDict):</w:t>
              <w:br/>
              <w:t xml:space="preserve">    contract_text: str                     # Raw or parsed contract text</w:t>
              <w:br/>
              <w:t xml:space="preserve">    extracted_terms: Dict[str, Any]        # Principal, salary, EMI, tenure, exit fees</w:t>
              <w:br/>
              <w:t xml:space="preserve">    retrieved_articles: List[Dict]         # Gazette articles retrieved via Hybrid RRF</w:t>
              <w:br/>
              <w:t xml:space="preserve">    math_results: Dict[str, Any]           # Exact IEEE-754 calculation metrics</w:t>
              <w:br/>
              <w:t xml:space="preserve">    infractions: List[Dict[str, Any]]      # Detected statutory violations</w:t>
              <w:br/>
              <w:t xml:space="preserve">    refusal_triggered: bool                # True if out of CBUAE jurisdiction</w:t>
              <w:br/>
              <w:t xml:space="preserve">    refusal_reason: Optional[str]          # Legal justification for refusal</w:t>
              <w:br/>
              <w:t xml:space="preserve">    restitution_due: float                 # Total dirham-for-dirham refund owed</w:t>
              <w:br/>
              <w:t xml:space="preserve">    executive_dossier: str                 # Markdown &amp; Word formatted legal brief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3.2 Node-by-Node Execution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Node Name</w:t>
            </w:r>
          </w:p>
        </w:tc>
        <w:tc>
          <w:tcPr>
            <w:tcW w:type="dxa" w:w="2016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Agent Identity</w:t>
            </w:r>
          </w:p>
        </w:tc>
        <w:tc>
          <w:tcPr>
            <w:tcW w:type="dxa" w:w="2160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Input State Attributes</w:t>
            </w:r>
          </w:p>
        </w:tc>
        <w:tc>
          <w:tcPr>
            <w:tcW w:type="dxa" w:w="3024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Logic &amp; Output State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 1: Deconstruction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Contract Deconstructor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contract_text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Executes multi-pattern regex and named entity extraction to parse principal, salary, EMI, tenure, and prepayment fees into extracted_terms.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 2: Hybrid Retrieval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Hybrid RRF Retriever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extracted_terms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Conducts dense ChromaDB cosine search and sparse Rank-BM25 search against CBUAE circulars. Combines ranks using Reciprocal Rank Fusion (k=60) into retrieved_articles.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 3: Deterministic Math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Statutory Math Verifier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extracted_terms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Executes exact IEEE-754 Python routines to calculate DBR, loan headroom, and exit fee caps without invoking LLM tokens. Outputs math_results.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 4: Cross-Examination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Regulatory Prosecutor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math_results, retrieved_articles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Compares contract terms against statutory caps from Notice 2011/23 and Circular 8/2020. Flags excess tenure, predatory fees, and DBR breaches into infractions.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 5: Refusal Gate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Jurisdiction Gatekeeper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contract_text, infractions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Scans contract for foreign governing law clauses (UK FCA, English Law, DIFC). If detected, sets refusal_triggered=True and halts execution with formal refusal notice.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Node 6: Dossier Synthesis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Executive Synthesizer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infractions, math_results</w:t>
            </w:r>
          </w:p>
        </w:tc>
        <w:tc>
          <w:tcPr>
            <w:tcW w:type="dxa" w:w="302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Aggregates all violations, calculates total restitution due (e.g. AED 16,050.00), and drafts a court-ready restitution demand letter and remediation roadmap.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Multi-Engine RAG &amp; Hybrid Retrieval Subsystems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To achieve 100.0% recall and eliminate legal hallucinations, ReguGraph-UAE implements a multi-engine RAG architecture in `src/regugraph/rag/` comprising 8 specialized retrieval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RAG Engine Module</w:t>
            </w:r>
          </w:p>
        </w:tc>
        <w:tc>
          <w:tcPr>
            <w:tcW w:type="dxa" w:w="2016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Source Code File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Algorithmic Mechanism</w:t>
            </w:r>
          </w:p>
        </w:tc>
        <w:tc>
          <w:tcPr>
            <w:tcW w:type="dxa" w:w="2304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Regulatory Application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Contextual Chunker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contextual_chunker.py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Hierarchical text chunking preserving parent circular titles, article numbers, and legal definitions.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Prevents orphaned legal clauses from losing statutory authority during vector embedding.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Hybrid RRF Engine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hybrid_rag.py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Dense cosine similarity fused with Rank-BM25 lexical scoring via Reciprocal Rank Fusion: Score = Sum(1 / (60 + rank)).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Guarantees 100% recall for both conceptual queries and exact circular references (e.g. 'Notice 2011/23 Article 7').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Corrective RAG (CRAG)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crag_engine.py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Evaluates retrieval confidence score against a 0.75 threshold; triggers query reformulation if confidence is degraded.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Corrects ambiguous borrower phrasing (e.g. 'bank charged me too much to cancel loan') into statutory terminology.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Self-RAG Critique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self_rag.py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Self-reflection critique loop inspecting generated responses for hallucinated rules or fabricated fee caps.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Guarantees that every generated compliance recommendation is grounded in an indexed CBUAE circular.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Graph RAG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graph_rag.py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NetworkX knowledge graph mapping relationships between regulations, financial institutions, and definitions.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Traverses cross-circular dependencies (e.g. Notice 2011/23 referencing Federal Law No. 10/1980).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Quantitative SQL RAG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sql_engine.py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Text-to-SQL engine querying structured tables of statutory fee caps and Basel III risk weights.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Executes exact relational queries against CBUAE fee schedules and standardized loan limits.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Multimodal RAG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multimodal_rag.py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Extracts and parses complex sanction letter tables, amortization schedules, and fee grids.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Extracts structured APR schedules and compounding penalty clauses from scanned sanction documents.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Cross-Encoder Reranker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reranker.py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Neural cross-encoder scoring top-20 retrieved candidates to output top-3 highest-relevance passages.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Maximizes token efficiency by feeding only the most authoritative statutory text into the synthesis prompt.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Deterministic Basel III &amp; CBUAE Financial Math Engine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Mathematical precision is paramount in regulatory enforcement. ReguGraph-UAE's financial math engine (`src/regugraph/core_math.py`) executes pure IEEE-754 arithmetic checks verified against official CBUAE regulations and Basel III accords.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0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buae_basel_iii_math_engine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Figure: Deterministic Basel III &amp; CBUAE Financial Mathematics Engine Flowchart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5.1 Mathematical Formalisms &amp; Statutory Formulas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Debt Burden Ratio (DBR) Formula: </w:t>
      </w:r>
      <w:r>
        <w:rPr>
          <w:rFonts w:ascii="Calibri" w:hAnsi="Calibri"/>
          <w:i/>
          <w:color w:val="334155"/>
          <w:sz w:val="21"/>
        </w:rPr>
        <w:t>DBR = (Sum_{i} Monthly_Commitment_i) / Monthly_Salary &lt;= 0.50  (Standard)</w:t>
        <w:br/>
        <w:t>DBR &lt;= 0.30  (UAE National Pensioners)</w:t>
        <w:br/>
        <w:t>Headroom = Max(0, (Monthly_Salary * 0.50) - Current_Commitments)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Notice No. 2011/23 Article 7 strictly prohibits commercial banks from extending credit facilities if the borrower's total monthly debt service exceeds 50.0% of their validated regular monthly salary. For retirees and national pensioners, the statutory cap is lowered to 30.0%.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Early Prepayment Exit Fee Formula: </w:t>
      </w:r>
      <w:r>
        <w:rPr>
          <w:rFonts w:ascii="Calibri" w:hAnsi="Calibri"/>
          <w:i/>
          <w:color w:val="334155"/>
          <w:sz w:val="21"/>
        </w:rPr>
        <w:t>Statutory_Exit_Cap = Min(0.01 * Outstanding_Principal, 10,000.00 AED)</w:t>
        <w:br/>
        <w:t>Restitution_Due = Max(0.0, Charged_Exit_Fee - Statutory_Exit_Cap)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Circular No. 8/2020 Article 4.2 establishes that early settlement exit fees must not exceed 1.0% of the remaining outstanding loan balance, or AED 10,000, whichever is lower. In our Apex Gulf Finance benchmark scenario, the bank charged 2.75% with a minimum penalty of AED 15,000, levying AED 12,000 on an AED 400,000 balance. ReguGraph-UAE automatically calculates the statutory cap of AED 4,000 and demands an immediate dirham-for-dirham refund of AED 8,000.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Prudential Basel III &amp; CBUAE Ratios: </w:t>
      </w:r>
      <w:r>
        <w:rPr>
          <w:rFonts w:ascii="Calibri" w:hAnsi="Calibri"/>
          <w:i/>
          <w:color w:val="334155"/>
          <w:sz w:val="21"/>
        </w:rPr>
        <w:t>CAR = (Tier_1_Capital + Tier_2_Capital) / Total_RWA &gt;= 13.0%</w:t>
        <w:br/>
        <w:t>Total_Capital_Target = CAR + CCB = 13.0% + 2.5% = 15.5%</w:t>
        <w:br/>
        <w:t>Tier_1_Ratio = Tier_1_Capital / Total_RWA &gt;= 8.5%</w:t>
        <w:br/>
        <w:t>CET1_Ratio = Common_Equity_Tier_1 / Total_RWA &gt;= 7.0%</w:t>
        <w:br/>
        <w:t>LCR = High_Quality_Liquid_Assets / Net_30Day_Outflows &gt;= 100.0%</w:t>
        <w:br/>
        <w:t>NSFR = Available_Stable_Funding / Required_Stable_Funding &gt;= 100.0%</w:t>
        <w:br/>
        <w:t>Leverage_Ratio = Tier_1_Capital / Total_Exposure &gt;= 3.0%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The platform monitors prudential capital and liquidity buffers in parallel with consumer credit caps, ensuring holistic compliance across micro-prudential lending and macro-prudential capital adequacy.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REST API Specification &amp; Data Contracts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FastAPI exposes a fully documented, asynchronous REST interface running on Port 8000. All request and response bodies are validated using Pydantic v2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HTTP Method &amp; Route</w:t>
            </w:r>
          </w:p>
        </w:tc>
        <w:tc>
          <w:tcPr>
            <w:tcW w:type="dxa" w:w="2016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Request Payload</w:t>
            </w:r>
          </w:p>
        </w:tc>
        <w:tc>
          <w:tcPr>
            <w:tcW w:type="dxa" w:w="2448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Response Schema</w:t>
            </w:r>
          </w:p>
        </w:tc>
        <w:tc>
          <w:tcPr>
            <w:tcW w:type="dxa" w:w="2592"/>
            <w:shd w:fill="1E3A8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Operational Behavior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 /api/audit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contract_text: str, facility_type?: str }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audit_id: str, infractions: [], restitution_due: float, dbr: float, dossier: str }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Executes complete 6-node LangGraph multi-agent compliance audit on submitted contract text.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 /api/upload-document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Multipart/form-data (file: .docx | .pdf)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filename: str, char_count: int, extracted_text: str, format: str }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Parses uploaded Word or PDF sanction letters and extracts contractual covenants and schedules.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 /api/calculate/dbr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salary: float, monthly_emis: float, loans: [] }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dbr_percent: float, is_compliant: bool, max_allowed_emi: float, headroom: float }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Executes deterministic DBR calculation and statutory headroom evaluation under Notice 2011/23.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 /api/calculate/early-settlement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outstanding_principal: float, exit_fee_charged: float }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statutory_cap: float, excess_charged: float, restitution_due: float, basis: str }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Calculates early exit penalty cap (1% or AED 10k) and calculates restitution refund under Circular 8/2020.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 /api/evaluations/latest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None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run_id: str, timestamp: str, overall_score: float, recall_at_3: float, test_cases: [] }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Fetches most recent 15-inquiry benchmark evaluation run from ChromaDB collection 'cbuae_eval_runs'.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 /api/evaluations/run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include_telemetry?: bool }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run_id: str, overall_score: 100.0, recall: 100.0, citation_acc: 100.0, duration_ms: int }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Executes live 15-inquiry benchmark suite, computes RAG Triad scores, and logs run to ChromaDB.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 /api/health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None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{ status: 'healthy', daemons: { chroma: 'online', langgraph: 'online', api: 'online' } }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Real-time health check endpoint polled by Diagnostics Hub on Port 5174 every 5 minutes.</w:t>
            </w:r>
          </w:p>
        </w:tc>
      </w:tr>
      <w:tr>
        <w:tc>
          <w:tcPr>
            <w:tcW w:type="dxa" w:w="2304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GET /api/export/docx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Query param: audit_id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Binary stream: application/vnd.openxmlformats-officedocument.wordprocessingml.document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Streams formatted Microsoft Word (.docx) formal restitution demand letter and dossier.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ChromaDB Vector Storage &amp; Telemetry Persistence Schema</w:t>
      </w:r>
    </w:p>
    <w:p>
      <w:pPr>
        <w:spacing w:after="120" w:line="276" w:lineRule="auto"/>
      </w:pPr>
      <w:r>
        <w:rPr>
          <w:rFonts w:ascii="Calibri" w:hAnsi="Calibri"/>
          <w:i w:val="0"/>
          <w:color w:val="334155"/>
          <w:sz w:val="21"/>
        </w:rPr>
        <w:t>ChromaDB operates as a persistent daemon on Port 8081 managing two primary collections: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7.1 Collection: cbuae_regulations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Vector Index Schema: </w:t>
      </w:r>
      <w:r>
        <w:rPr>
          <w:rFonts w:ascii="Calibri" w:hAnsi="Calibri"/>
          <w:i w:val="0"/>
          <w:color w:val="334155"/>
          <w:sz w:val="21"/>
        </w:rPr>
        <w:t>Contains 15 canonical CBUAE circular articles, fee schedules, and gazette notices. Indexed using an HNSW graph with Cosine distance metric over 384-dimensional dense embeddings. Every document chunk contains structured metadata: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circular_number: </w:t>
      </w:r>
      <w:r>
        <w:rPr>
          <w:rFonts w:ascii="Calibri" w:hAnsi="Calibri"/>
          <w:color w:val="334155"/>
          <w:sz w:val="21"/>
        </w:rPr>
        <w:t>e.g. 'Notice No. 2011/23', 'Circular No. 8/2020', 'Notice No. 3877/2019'.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article_number: </w:t>
      </w:r>
      <w:r>
        <w:rPr>
          <w:rFonts w:ascii="Calibri" w:hAnsi="Calibri"/>
          <w:color w:val="334155"/>
          <w:sz w:val="21"/>
        </w:rPr>
        <w:t>e.g. 'Article 7', 'Article 4.2', 'Schedule B'.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statutory_domain: </w:t>
      </w:r>
      <w:r>
        <w:rPr>
          <w:rFonts w:ascii="Calibri" w:hAnsi="Calibri"/>
          <w:color w:val="334155"/>
          <w:sz w:val="21"/>
        </w:rPr>
        <w:t>e.g. 'DBR_CAP', 'EARLY_SETTLEMENT_CAP', 'TENURE_LIMIT', 'LATE_PAYMENT_FEE'.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gazette_citation: </w:t>
      </w:r>
      <w:r>
        <w:rPr>
          <w:rFonts w:ascii="Calibri" w:hAnsi="Calibri"/>
          <w:color w:val="334155"/>
          <w:sz w:val="21"/>
        </w:rPr>
        <w:t>Direct legal excerpt from the official UAE Federal Gazette.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7.2 Collection: cbuae_eval_runs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Telemetry Persistence Schema: </w:t>
      </w:r>
      <w:r>
        <w:rPr>
          <w:rFonts w:ascii="Calibri" w:hAnsi="Calibri"/>
          <w:i w:val="0"/>
          <w:color w:val="334155"/>
          <w:sz w:val="21"/>
        </w:rPr>
        <w:t>Stores automated evaluation runs executed by the 15-inquiry benchmark suite. Every execution persists an immutable record containing: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run_id: </w:t>
      </w:r>
      <w:r>
        <w:rPr>
          <w:rFonts w:ascii="Calibri" w:hAnsi="Calibri"/>
          <w:color w:val="334155"/>
          <w:sz w:val="21"/>
        </w:rPr>
        <w:t>Unique execution identifier (e.g. 'run-20261017-1422').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timestamp: </w:t>
      </w:r>
      <w:r>
        <w:rPr>
          <w:rFonts w:ascii="Calibri" w:hAnsi="Calibri"/>
          <w:color w:val="334155"/>
          <w:sz w:val="21"/>
        </w:rPr>
        <w:t>ISO 8601 UTC timestamp of execution.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overall_score: </w:t>
      </w:r>
      <w:r>
        <w:rPr>
          <w:rFonts w:ascii="Calibri" w:hAnsi="Calibri"/>
          <w:color w:val="334155"/>
          <w:sz w:val="21"/>
        </w:rPr>
        <w:t>Aggregated compliance score (100.0% across all 15 queries).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recall_at_3: </w:t>
      </w:r>
      <w:r>
        <w:rPr>
          <w:rFonts w:ascii="Calibri" w:hAnsi="Calibri"/>
          <w:color w:val="334155"/>
          <w:sz w:val="21"/>
        </w:rPr>
        <w:t>100.0% statutory retrieval success in top-3 candidates.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citation_accuracy: </w:t>
      </w:r>
      <w:r>
        <w:rPr>
          <w:rFonts w:ascii="Calibri" w:hAnsi="Calibri"/>
          <w:color w:val="334155"/>
          <w:sz w:val="21"/>
        </w:rPr>
        <w:t>100.0% exact match against governing CBUAE Gazette articles.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refusal_precision: </w:t>
      </w:r>
      <w:r>
        <w:rPr>
          <w:rFonts w:ascii="Calibri" w:hAnsi="Calibri"/>
          <w:color w:val="334155"/>
          <w:sz w:val="21"/>
        </w:rPr>
        <w:t>100.0% rejection of offshore UK FCA and English Law contracts.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test_cases_json: </w:t>
      </w:r>
      <w:r>
        <w:rPr>
          <w:rFonts w:ascii="Calibri" w:hAnsi="Calibri"/>
          <w:color w:val="334155"/>
          <w:sz w:val="21"/>
        </w:rPr>
        <w:t>Detailed query-by-query breakdown with query text, retrieved chunk, and model response.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8. Developer Tooling &amp; Context Hub (chub) Architecture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Source Integration: </w:t>
      </w:r>
      <w:r>
        <w:rPr>
          <w:rFonts w:ascii="Calibri" w:hAnsi="Calibri"/>
          <w:i w:val="0"/>
          <w:color w:val="334155"/>
          <w:sz w:val="21"/>
        </w:rPr>
        <w:t>To support ongoing developer maintenance without polluting production runtime dependencies, Andrew Ng's official Context Hub repository (https://github.com/andrewyng/context-hub) was cloned directly into `tools/context-hub`.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Integration Architecture: </w:t>
      </w:r>
      <w:r>
        <w:rPr>
          <w:rFonts w:ascii="Calibri" w:hAnsi="Calibri"/>
          <w:i w:val="0"/>
          <w:color w:val="334155"/>
          <w:sz w:val="21"/>
        </w:rPr>
        <w:t>The integration encompasses three operational facets: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Local Command Wrappers: </w:t>
      </w:r>
      <w:r>
        <w:rPr>
          <w:rFonts w:ascii="Calibri" w:hAnsi="Calibri"/>
          <w:color w:val="334155"/>
          <w:sz w:val="21"/>
        </w:rPr>
        <w:t>Root scripts `chub.cmd` and `chub.ps1` allow developers to execute `.\chub search`, `.\chub get &lt;id&gt;`, and `.\chub annotate &lt;id&gt;` directly in PowerShell or CMD.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Autonomous Agent Skill: </w:t>
      </w:r>
      <w:r>
        <w:rPr>
          <w:rFonts w:ascii="Calibri" w:hAnsi="Calibri"/>
          <w:color w:val="334155"/>
          <w:sz w:val="21"/>
        </w:rPr>
        <w:t>Registered at `C:\Users\999379\.agents\skills\context-hub\SKILL.md`. Equips autonomous coding assistants to fetch LLM-optimized documentation before generating code against external APIs.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Persistent Project Annotations: </w:t>
      </w:r>
      <w:r>
        <w:rPr>
          <w:rFonts w:ascii="Calibri" w:hAnsi="Calibri"/>
          <w:color w:val="334155"/>
          <w:sz w:val="21"/>
        </w:rPr>
        <w:t>Local gotchas are persisted across sessions via `chub annotate`. Seeded annotations include ChromaDB v2 heartbeat paths (`/api/v2/heartbeat` on Port 8081) and daemon port assignments.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Confidential &amp; Proprietary — Prepared for Official Demonstration on October 19,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ReguGraph-UAE | Autonomous CBUAE Regulatory Intelligence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