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E7490"/>
          <w:sz w:val="18"/>
        </w:rPr>
        <w:t>REGUGRAPH-UAE · INSTITUTIONAL VERIFICATION HARNESS</w:t>
      </w:r>
    </w:p>
    <w:p>
      <w:pPr>
        <w:spacing w:before="0" w:after="80"/>
      </w:pPr>
      <w:r>
        <w:rPr>
          <w:b/>
          <w:color w:val="0F172A"/>
          <w:sz w:val="44"/>
        </w:rPr>
        <w:t>Complete System Test Suite &amp; Verification Matrix</w:t>
      </w:r>
    </w:p>
    <w:p>
      <w:pPr>
        <w:spacing w:before="0" w:after="320"/>
      </w:pPr>
      <w:r>
        <w:rPr>
          <w:color w:val="64748B"/>
          <w:sz w:val="21"/>
        </w:rPr>
        <w:t>Comprehensive manual &amp; automated test procedures covering the Audit Loan Facility, Deterministic Statutory Calculators, Conversational Refusal Guardrails, all 10 RAG Retrieval Architectures, and ChromaDB Telemetry.</w:t>
      </w:r>
    </w:p>
    <w:tbl>
      <w:tblPr>
        <w:tblW w:type="auto" w:w="0"/>
        <w:jc w:val="center"/>
        <w:tblLook w:firstColumn="1" w:firstRow="1" w:lastColumn="0" w:lastRow="0" w:noHBand="0" w:noVBand="1" w:val="04A0"/>
      </w:tblPr>
      <w:tblGrid>
        <w:gridCol w:w="4896"/>
        <w:gridCol w:w="4896"/>
      </w:tblGrid>
      <w:tr>
        <w:tc>
          <w:tcPr>
            <w:tcW w:type="dxa" w:w="4896"/>
            <w:shd w:fill="F1F5F9"/>
            <w:tcMar>
              <w:top w:w="60" w:type="dxa"/>
              <w:bottom w:w="60" w:type="dxa"/>
              <w:left w:w="100" w:type="dxa"/>
              <w:right w:w="100" w:type="dxa"/>
            </w:tcMar>
          </w:tcPr>
          <w:p>
            <w:pPr>
              <w:spacing w:after="40"/>
            </w:pPr>
            <w:r>
              <w:rPr>
                <w:b/>
                <w:color w:val="0F172A"/>
                <w:sz w:val="18"/>
              </w:rPr>
              <w:t>Platform Name</w:t>
            </w:r>
          </w:p>
        </w:tc>
        <w:tc>
          <w:tcPr>
            <w:tcW w:type="dxa" w:w="4896"/>
            <w:shd w:fill="FFFFFF"/>
            <w:tcMar>
              <w:top w:w="60" w:type="dxa"/>
              <w:bottom w:w="60" w:type="dxa"/>
              <w:left w:w="100" w:type="dxa"/>
              <w:right w:w="100" w:type="dxa"/>
            </w:tcMar>
          </w:tcPr>
          <w:p>
            <w:pPr>
              <w:spacing w:after="40"/>
            </w:pPr>
            <w:r>
              <w:rPr>
                <w:color w:val="334155"/>
                <w:sz w:val="18"/>
              </w:rPr>
              <w:t>ReguGraph-UAE: Autonomous CBUAE Banking Compliance Intelligence</w:t>
            </w:r>
          </w:p>
        </w:tc>
      </w:tr>
      <w:tr>
        <w:tc>
          <w:tcPr>
            <w:tcW w:type="dxa" w:w="4896"/>
            <w:shd w:fill="F1F5F9"/>
            <w:tcMar>
              <w:top w:w="60" w:type="dxa"/>
              <w:bottom w:w="60" w:type="dxa"/>
              <w:left w:w="100" w:type="dxa"/>
              <w:right w:w="100" w:type="dxa"/>
            </w:tcMar>
          </w:tcPr>
          <w:p>
            <w:pPr>
              <w:spacing w:after="40"/>
            </w:pPr>
            <w:r>
              <w:rPr>
                <w:b/>
                <w:color w:val="0F172A"/>
                <w:sz w:val="18"/>
              </w:rPr>
              <w:t>Regulatory Standard</w:t>
            </w:r>
          </w:p>
        </w:tc>
        <w:tc>
          <w:tcPr>
            <w:tcW w:type="dxa" w:w="4896"/>
            <w:shd w:fill="FFFFFF"/>
            <w:tcMar>
              <w:top w:w="60" w:type="dxa"/>
              <w:bottom w:w="60" w:type="dxa"/>
              <w:left w:w="100" w:type="dxa"/>
              <w:right w:w="100" w:type="dxa"/>
            </w:tcMar>
          </w:tcPr>
          <w:p>
            <w:pPr>
              <w:spacing w:after="40"/>
            </w:pPr>
            <w:r>
              <w:rPr>
                <w:color w:val="334155"/>
                <w:sz w:val="18"/>
              </w:rPr>
              <w:t>Central Bank of the United Arab Emirates (CBUAE) Regulations &amp; Notices</w:t>
            </w:r>
          </w:p>
        </w:tc>
      </w:tr>
      <w:tr>
        <w:tc>
          <w:tcPr>
            <w:tcW w:type="dxa" w:w="4896"/>
            <w:shd w:fill="F1F5F9"/>
            <w:tcMar>
              <w:top w:w="60" w:type="dxa"/>
              <w:bottom w:w="60" w:type="dxa"/>
              <w:left w:w="100" w:type="dxa"/>
              <w:right w:w="100" w:type="dxa"/>
            </w:tcMar>
          </w:tcPr>
          <w:p>
            <w:pPr>
              <w:spacing w:after="40"/>
            </w:pPr>
            <w:r>
              <w:rPr>
                <w:b/>
                <w:color w:val="0F172A"/>
                <w:sz w:val="18"/>
              </w:rPr>
              <w:t>Target Test Stack</w:t>
            </w:r>
          </w:p>
        </w:tc>
        <w:tc>
          <w:tcPr>
            <w:tcW w:type="dxa" w:w="4896"/>
            <w:shd w:fill="FFFFFF"/>
            <w:tcMar>
              <w:top w:w="60" w:type="dxa"/>
              <w:bottom w:w="60" w:type="dxa"/>
              <w:left w:w="100" w:type="dxa"/>
              <w:right w:w="100" w:type="dxa"/>
            </w:tcMar>
          </w:tcPr>
          <w:p>
            <w:pPr>
              <w:spacing w:after="40"/>
            </w:pPr>
            <w:r>
              <w:rPr>
                <w:color w:val="334155"/>
                <w:sz w:val="18"/>
              </w:rPr>
              <w:t>FastAPI (8000) · React Vite (5173) · ChromaDB (8081) · 100% Free &amp; Open Source Tools</w:t>
            </w:r>
          </w:p>
        </w:tc>
      </w:tr>
      <w:tr>
        <w:tc>
          <w:tcPr>
            <w:tcW w:type="dxa" w:w="4896"/>
            <w:shd w:fill="F1F5F9"/>
            <w:tcMar>
              <w:top w:w="60" w:type="dxa"/>
              <w:bottom w:w="60" w:type="dxa"/>
              <w:left w:w="100" w:type="dxa"/>
              <w:right w:w="100" w:type="dxa"/>
            </w:tcMar>
          </w:tcPr>
          <w:p>
            <w:pPr>
              <w:spacing w:after="40"/>
            </w:pPr>
            <w:r>
              <w:rPr>
                <w:b/>
                <w:color w:val="0F172A"/>
                <w:sz w:val="18"/>
              </w:rPr>
              <w:t>Verification Coverage</w:t>
            </w:r>
          </w:p>
        </w:tc>
        <w:tc>
          <w:tcPr>
            <w:tcW w:type="dxa" w:w="4896"/>
            <w:shd w:fill="FFFFFF"/>
            <w:tcMar>
              <w:top w:w="60" w:type="dxa"/>
              <w:bottom w:w="60" w:type="dxa"/>
              <w:left w:w="100" w:type="dxa"/>
              <w:right w:w="100" w:type="dxa"/>
            </w:tcMar>
          </w:tcPr>
          <w:p>
            <w:pPr>
              <w:spacing w:after="40"/>
            </w:pPr>
            <w:r>
              <w:rPr>
                <w:color w:val="334155"/>
                <w:sz w:val="18"/>
              </w:rPr>
              <w:t>Facility Audit (5 Presets + Custom Upload) · Math Calculators · 10 RAG Patterns · Telemetry</w:t>
            </w:r>
          </w:p>
        </w:tc>
      </w:tr>
    </w:tbl>
    <w:p>
      <w:pPr>
        <w:spacing w:after="240"/>
      </w:pPr>
    </w:p>
    <w:p>
      <w:pPr>
        <w:pStyle w:val="Heading1"/>
        <w:spacing w:before="280" w:after="120"/>
      </w:pPr>
      <w:r>
        <w:rPr>
          <w:b/>
          <w:color w:val="0F172A"/>
        </w:rPr>
        <w:t>1. Test Environment Setup &amp; Pre-Flight Verification</w:t>
      </w:r>
    </w:p>
    <w:p>
      <w:r>
        <w:t>Before beginning test execution, verify that all three local background services are operational on their designated network ports:</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0F172A"/>
            <w:tcMar>
              <w:top w:w="140" w:type="dxa"/>
              <w:bottom w:w="140" w:type="dxa"/>
              <w:left w:w="140" w:type="dxa"/>
              <w:right w:w="140" w:type="dxa"/>
            </w:tcMar>
          </w:tcPr>
          <w:p>
            <w:pPr>
              <w:spacing w:before="40" w:after="40"/>
              <w:jc w:val="left"/>
            </w:pPr>
            <w:r>
              <w:rPr>
                <w:b/>
                <w:color w:val="FFFFFF"/>
                <w:sz w:val="19"/>
              </w:rPr>
              <w:t>Test ID</w:t>
            </w:r>
          </w:p>
        </w:tc>
        <w:tc>
          <w:tcPr>
            <w:tcW w:type="dxa" w:w="1958"/>
            <w:shd w:fill="0F172A"/>
            <w:tcMar>
              <w:top w:w="140" w:type="dxa"/>
              <w:bottom w:w="140" w:type="dxa"/>
              <w:left w:w="140" w:type="dxa"/>
              <w:right w:w="140" w:type="dxa"/>
            </w:tcMar>
          </w:tcPr>
          <w:p>
            <w:pPr>
              <w:spacing w:before="40" w:after="40"/>
              <w:jc w:val="left"/>
            </w:pPr>
            <w:r>
              <w:rPr>
                <w:b/>
                <w:color w:val="FFFFFF"/>
                <w:sz w:val="19"/>
              </w:rPr>
              <w:t>Component / Service</w:t>
            </w:r>
          </w:p>
        </w:tc>
        <w:tc>
          <w:tcPr>
            <w:tcW w:type="dxa" w:w="1958"/>
            <w:shd w:fill="0F172A"/>
            <w:tcMar>
              <w:top w:w="140" w:type="dxa"/>
              <w:bottom w:w="140" w:type="dxa"/>
              <w:left w:w="140" w:type="dxa"/>
              <w:right w:w="140" w:type="dxa"/>
            </w:tcMar>
          </w:tcPr>
          <w:p>
            <w:pPr>
              <w:spacing w:before="40" w:after="40"/>
              <w:jc w:val="left"/>
            </w:pPr>
            <w:r>
              <w:rPr>
                <w:b/>
                <w:color w:val="FFFFFF"/>
                <w:sz w:val="19"/>
              </w:rPr>
              <w:t>Port / Endpoint</w:t>
            </w:r>
          </w:p>
        </w:tc>
        <w:tc>
          <w:tcPr>
            <w:tcW w:type="dxa" w:w="1958"/>
            <w:shd w:fill="0F172A"/>
            <w:tcMar>
              <w:top w:w="140" w:type="dxa"/>
              <w:bottom w:w="140" w:type="dxa"/>
              <w:left w:w="140" w:type="dxa"/>
              <w:right w:w="140" w:type="dxa"/>
            </w:tcMar>
          </w:tcPr>
          <w:p>
            <w:pPr>
              <w:spacing w:before="40" w:after="40"/>
              <w:jc w:val="left"/>
            </w:pPr>
            <w:r>
              <w:rPr>
                <w:b/>
                <w:color w:val="FFFFFF"/>
                <w:sz w:val="19"/>
              </w:rPr>
              <w:t>Validation Command</w:t>
            </w:r>
          </w:p>
        </w:tc>
        <w:tc>
          <w:tcPr>
            <w:tcW w:type="dxa" w:w="1958"/>
            <w:shd w:fill="0F172A"/>
            <w:tcMar>
              <w:top w:w="140" w:type="dxa"/>
              <w:bottom w:w="140" w:type="dxa"/>
              <w:left w:w="140" w:type="dxa"/>
              <w:right w:w="140" w:type="dxa"/>
            </w:tcMar>
          </w:tcPr>
          <w:p>
            <w:pPr>
              <w:spacing w:before="40" w:after="40"/>
              <w:jc w:val="left"/>
            </w:pPr>
            <w:r>
              <w:rPr>
                <w:b/>
                <w:color w:val="FFFFFF"/>
                <w:sz w:val="19"/>
              </w:rPr>
              <w:t>Pass Criteria</w:t>
            </w:r>
          </w:p>
        </w:tc>
      </w:tr>
      <w:tr>
        <w:tc>
          <w:tcPr>
            <w:tcW w:type="dxa" w:w="1958"/>
            <w:shd w:fill="F8FAFC"/>
            <w:tcMar>
              <w:top w:w="100" w:type="dxa"/>
              <w:bottom w:w="100" w:type="dxa"/>
              <w:left w:w="120" w:type="dxa"/>
              <w:right w:w="120" w:type="dxa"/>
            </w:tcMar>
            <w:vAlign w:val="center"/>
          </w:tcPr>
          <w:p>
            <w:pPr>
              <w:spacing w:before="40" w:after="40"/>
            </w:pPr>
            <w:r>
              <w:rPr>
                <w:color w:val="334155"/>
                <w:sz w:val="17"/>
              </w:rPr>
              <w:t>TC-ENV-01</w:t>
            </w:r>
          </w:p>
        </w:tc>
        <w:tc>
          <w:tcPr>
            <w:tcW w:type="dxa" w:w="1958"/>
            <w:shd w:fill="F8FAFC"/>
            <w:tcMar>
              <w:top w:w="100" w:type="dxa"/>
              <w:bottom w:w="100" w:type="dxa"/>
              <w:left w:w="120" w:type="dxa"/>
              <w:right w:w="120" w:type="dxa"/>
            </w:tcMar>
            <w:vAlign w:val="center"/>
          </w:tcPr>
          <w:p>
            <w:pPr>
              <w:spacing w:before="40" w:after="40"/>
            </w:pPr>
            <w:r>
              <w:rPr>
                <w:color w:val="334155"/>
                <w:sz w:val="17"/>
              </w:rPr>
              <w:t>FastAPI Backend API</w:t>
            </w:r>
          </w:p>
        </w:tc>
        <w:tc>
          <w:tcPr>
            <w:tcW w:type="dxa" w:w="1958"/>
            <w:shd w:fill="F8FAFC"/>
            <w:tcMar>
              <w:top w:w="100" w:type="dxa"/>
              <w:bottom w:w="100" w:type="dxa"/>
              <w:left w:w="120" w:type="dxa"/>
              <w:right w:w="120" w:type="dxa"/>
            </w:tcMar>
            <w:vAlign w:val="center"/>
          </w:tcPr>
          <w:p>
            <w:pPr>
              <w:spacing w:before="40" w:after="40"/>
            </w:pPr>
            <w:r>
              <w:rPr>
                <w:color w:val="334155"/>
                <w:sz w:val="17"/>
              </w:rPr>
              <w:t>Environment</w:t>
            </w:r>
          </w:p>
        </w:tc>
        <w:tc>
          <w:tcPr>
            <w:tcW w:type="dxa" w:w="1958"/>
            <w:shd w:fill="F8FAFC"/>
            <w:tcMar>
              <w:top w:w="100" w:type="dxa"/>
              <w:bottom w:w="100" w:type="dxa"/>
              <w:left w:w="120" w:type="dxa"/>
              <w:right w:w="120" w:type="dxa"/>
            </w:tcMar>
            <w:vAlign w:val="center"/>
          </w:tcPr>
          <w:p>
            <w:pPr>
              <w:spacing w:before="40" w:after="40"/>
            </w:pPr>
            <w:r>
              <w:rPr>
                <w:color w:val="334155"/>
                <w:sz w:val="17"/>
              </w:rPr>
              <w:t>Endpoint: http://localhost:8000/api/health</w:t>
              <w:br/>
              <w:t>Cmd: curl -s http://127.0.0.1:8000/api/health</w:t>
            </w:r>
          </w:p>
        </w:tc>
        <w:tc>
          <w:tcPr>
            <w:tcW w:type="dxa" w:w="1958"/>
            <w:shd w:fill="F8FAFC"/>
            <w:tcMar>
              <w:top w:w="100" w:type="dxa"/>
              <w:bottom w:w="100" w:type="dxa"/>
              <w:left w:w="120" w:type="dxa"/>
              <w:right w:w="120" w:type="dxa"/>
            </w:tcMar>
            <w:vAlign w:val="center"/>
          </w:tcPr>
          <w:p>
            <w:pPr>
              <w:spacing w:before="40" w:after="40"/>
            </w:pPr>
            <w:r>
              <w:rPr>
                <w:color w:val="334155"/>
                <w:sz w:val="17"/>
              </w:rPr>
              <w:t>HTTP 200, status: healthy, chroma.connected: true</w:t>
            </w:r>
          </w:p>
        </w:tc>
      </w:tr>
      <w:tr>
        <w:tc>
          <w:tcPr>
            <w:tcW w:type="dxa" w:w="1958"/>
            <w:shd w:fill="FFFFFF"/>
            <w:tcMar>
              <w:top w:w="100" w:type="dxa"/>
              <w:bottom w:w="100" w:type="dxa"/>
              <w:left w:w="120" w:type="dxa"/>
              <w:right w:w="120" w:type="dxa"/>
            </w:tcMar>
            <w:vAlign w:val="center"/>
          </w:tcPr>
          <w:p>
            <w:pPr>
              <w:spacing w:before="40" w:after="40"/>
            </w:pPr>
            <w:r>
              <w:rPr>
                <w:color w:val="334155"/>
                <w:sz w:val="17"/>
              </w:rPr>
              <w:t>TC-ENV-02</w:t>
            </w:r>
          </w:p>
        </w:tc>
        <w:tc>
          <w:tcPr>
            <w:tcW w:type="dxa" w:w="1958"/>
            <w:shd w:fill="FFFFFF"/>
            <w:tcMar>
              <w:top w:w="100" w:type="dxa"/>
              <w:bottom w:w="100" w:type="dxa"/>
              <w:left w:w="120" w:type="dxa"/>
              <w:right w:w="120" w:type="dxa"/>
            </w:tcMar>
            <w:vAlign w:val="center"/>
          </w:tcPr>
          <w:p>
            <w:pPr>
              <w:spacing w:before="40" w:after="40"/>
            </w:pPr>
            <w:r>
              <w:rPr>
                <w:color w:val="334155"/>
                <w:sz w:val="17"/>
              </w:rPr>
              <w:t>React Frontend SPA</w:t>
            </w:r>
          </w:p>
        </w:tc>
        <w:tc>
          <w:tcPr>
            <w:tcW w:type="dxa" w:w="1958"/>
            <w:shd w:fill="FFFFFF"/>
            <w:tcMar>
              <w:top w:w="100" w:type="dxa"/>
              <w:bottom w:w="100" w:type="dxa"/>
              <w:left w:w="120" w:type="dxa"/>
              <w:right w:w="120" w:type="dxa"/>
            </w:tcMar>
            <w:vAlign w:val="center"/>
          </w:tcPr>
          <w:p>
            <w:pPr>
              <w:spacing w:before="40" w:after="40"/>
            </w:pPr>
            <w:r>
              <w:rPr>
                <w:color w:val="334155"/>
                <w:sz w:val="17"/>
              </w:rPr>
              <w:t>Environment</w:t>
            </w:r>
          </w:p>
        </w:tc>
        <w:tc>
          <w:tcPr>
            <w:tcW w:type="dxa" w:w="1958"/>
            <w:shd w:fill="FFFFFF"/>
            <w:tcMar>
              <w:top w:w="100" w:type="dxa"/>
              <w:bottom w:w="100" w:type="dxa"/>
              <w:left w:w="120" w:type="dxa"/>
              <w:right w:w="120" w:type="dxa"/>
            </w:tcMar>
            <w:vAlign w:val="center"/>
          </w:tcPr>
          <w:p>
            <w:pPr>
              <w:spacing w:before="40" w:after="40"/>
            </w:pPr>
            <w:r>
              <w:rPr>
                <w:color w:val="334155"/>
                <w:sz w:val="17"/>
              </w:rPr>
              <w:t>Endpoint: http://localhost:5173</w:t>
              <w:br/>
              <w:t>Cmd: curl -s http://localhost:5173/</w:t>
            </w:r>
          </w:p>
        </w:tc>
        <w:tc>
          <w:tcPr>
            <w:tcW w:type="dxa" w:w="1958"/>
            <w:shd w:fill="FFFFFF"/>
            <w:tcMar>
              <w:top w:w="100" w:type="dxa"/>
              <w:bottom w:w="100" w:type="dxa"/>
              <w:left w:w="120" w:type="dxa"/>
              <w:right w:w="120" w:type="dxa"/>
            </w:tcMar>
            <w:vAlign w:val="center"/>
          </w:tcPr>
          <w:p>
            <w:pPr>
              <w:spacing w:before="40" w:after="40"/>
            </w:pPr>
            <w:r>
              <w:rPr>
                <w:color w:val="334155"/>
                <w:sz w:val="17"/>
              </w:rPr>
              <w:t>HTTP 200, Title: ReguGraph-UAE</w:t>
            </w:r>
          </w:p>
        </w:tc>
      </w:tr>
      <w:tr>
        <w:tc>
          <w:tcPr>
            <w:tcW w:type="dxa" w:w="1958"/>
            <w:shd w:fill="F8FAFC"/>
            <w:tcMar>
              <w:top w:w="100" w:type="dxa"/>
              <w:bottom w:w="100" w:type="dxa"/>
              <w:left w:w="120" w:type="dxa"/>
              <w:right w:w="120" w:type="dxa"/>
            </w:tcMar>
            <w:vAlign w:val="center"/>
          </w:tcPr>
          <w:p>
            <w:pPr>
              <w:spacing w:before="40" w:after="40"/>
            </w:pPr>
            <w:r>
              <w:rPr>
                <w:color w:val="334155"/>
                <w:sz w:val="17"/>
              </w:rPr>
              <w:t>TC-ENV-03</w:t>
            </w:r>
          </w:p>
        </w:tc>
        <w:tc>
          <w:tcPr>
            <w:tcW w:type="dxa" w:w="1958"/>
            <w:shd w:fill="F8FAFC"/>
            <w:tcMar>
              <w:top w:w="100" w:type="dxa"/>
              <w:bottom w:w="100" w:type="dxa"/>
              <w:left w:w="120" w:type="dxa"/>
              <w:right w:w="120" w:type="dxa"/>
            </w:tcMar>
            <w:vAlign w:val="center"/>
          </w:tcPr>
          <w:p>
            <w:pPr>
              <w:spacing w:before="40" w:after="40"/>
            </w:pPr>
            <w:r>
              <w:rPr>
                <w:color w:val="334155"/>
                <w:sz w:val="17"/>
              </w:rPr>
              <w:t>ChromaDB REST Server</w:t>
            </w:r>
          </w:p>
        </w:tc>
        <w:tc>
          <w:tcPr>
            <w:tcW w:type="dxa" w:w="1958"/>
            <w:shd w:fill="F8FAFC"/>
            <w:tcMar>
              <w:top w:w="100" w:type="dxa"/>
              <w:bottom w:w="100" w:type="dxa"/>
              <w:left w:w="120" w:type="dxa"/>
              <w:right w:w="120" w:type="dxa"/>
            </w:tcMar>
            <w:vAlign w:val="center"/>
          </w:tcPr>
          <w:p>
            <w:pPr>
              <w:spacing w:before="40" w:after="40"/>
            </w:pPr>
            <w:r>
              <w:rPr>
                <w:color w:val="334155"/>
                <w:sz w:val="17"/>
              </w:rPr>
              <w:t>Environment</w:t>
            </w:r>
          </w:p>
        </w:tc>
        <w:tc>
          <w:tcPr>
            <w:tcW w:type="dxa" w:w="1958"/>
            <w:shd w:fill="F8FAFC"/>
            <w:tcMar>
              <w:top w:w="100" w:type="dxa"/>
              <w:bottom w:w="100" w:type="dxa"/>
              <w:left w:w="120" w:type="dxa"/>
              <w:right w:w="120" w:type="dxa"/>
            </w:tcMar>
            <w:vAlign w:val="center"/>
          </w:tcPr>
          <w:p>
            <w:pPr>
              <w:spacing w:before="40" w:after="40"/>
            </w:pPr>
            <w:r>
              <w:rPr>
                <w:color w:val="334155"/>
                <w:sz w:val="17"/>
              </w:rPr>
              <w:t>Endpoint: http://localhost:8081</w:t>
              <w:br/>
              <w:t>Cmd: Chroma Heartbeat on port 8081</w:t>
            </w:r>
          </w:p>
        </w:tc>
        <w:tc>
          <w:tcPr>
            <w:tcW w:type="dxa" w:w="1958"/>
            <w:shd w:fill="F8FAFC"/>
            <w:tcMar>
              <w:top w:w="100" w:type="dxa"/>
              <w:bottom w:w="100" w:type="dxa"/>
              <w:left w:w="120" w:type="dxa"/>
              <w:right w:w="120" w:type="dxa"/>
            </w:tcMar>
            <w:vAlign w:val="center"/>
          </w:tcPr>
          <w:p>
            <w:pPr>
              <w:spacing w:before="40" w:after="40"/>
            </w:pPr>
            <w:r>
              <w:rPr>
                <w:color w:val="334155"/>
                <w:sz w:val="17"/>
              </w:rPr>
              <w:t>Port listening, collection cbuae_eval_runs active</w:t>
            </w:r>
          </w:p>
        </w:tc>
      </w:tr>
    </w:tbl>
    <w:p>
      <w:pPr>
        <w:spacing w:after="160"/>
      </w:pPr>
    </w:p>
    <w:tbl>
      <w:tblPr>
        <w:tblW w:type="auto" w:w="0"/>
        <w:jc w:val="center"/>
        <w:tblLook w:firstColumn="1" w:firstRow="1" w:lastColumn="0" w:lastRow="0" w:noHBand="0" w:noVBand="1" w:val="04A0"/>
      </w:tblPr>
      <w:tblGrid>
        <w:gridCol w:w="9792"/>
      </w:tblGrid>
      <w:tr>
        <w:tc>
          <w:tcPr>
            <w:tcW w:type="dxa" w:w="9792"/>
            <w:shd w:fill="F1F5F9"/>
            <w:tcMar>
              <w:top w:w="140" w:type="dxa"/>
              <w:bottom w:w="140" w:type="dxa"/>
              <w:left w:w="200" w:type="dxa"/>
              <w:right w:w="200" w:type="dxa"/>
            </w:tcMar>
            <w:tcBorders>
              <w:left w:val="single" w:sz="36" w:space="0" w:color="0EA5E9"/>
              <w:top w:val="none"/>
              <w:right w:val="none"/>
              <w:bottom w:val="none"/>
            </w:tcBorders>
          </w:tcPr>
          <w:p>
            <w:pPr>
              <w:spacing w:before="40" w:after="40"/>
            </w:pPr>
            <w:r>
              <w:rPr>
                <w:b/>
                <w:color w:val="0E7490"/>
                <w:sz w:val="20"/>
              </w:rPr>
              <w:t>NOTE: Zero-Cost Open Source Policy</w:t>
              <w:br/>
            </w:r>
            <w:r>
              <w:rPr>
                <w:color w:val="334155"/>
                <w:sz w:val="19"/>
              </w:rPr>
              <w:t>ReguGraph-UAE operates 100% locally with zero paid API keys (no OpenAI, no Cohere, no Pinecone, no Tavily). All dense vector embeddings are computed via fast local models, sparse retrieval uses BM25Okapi, and arithmetic is deterministic IEEE-754 Python math.</w:t>
            </w:r>
          </w:p>
        </w:tc>
      </w:tr>
    </w:tbl>
    <w:p>
      <w:pPr>
        <w:spacing w:after="80"/>
      </w:pPr>
    </w:p>
    <w:p>
      <w:pPr>
        <w:pStyle w:val="Heading1"/>
        <w:spacing w:before="280" w:after="120"/>
      </w:pPr>
      <w:r>
        <w:rPr>
          <w:b/>
          <w:color w:val="0F172A"/>
        </w:rPr>
        <w:t>2. Audit Loan Facility &amp; Sanction Document Testing</w:t>
      </w:r>
    </w:p>
    <w:p>
      <w:r>
        <w:t>The Loan Facility Audit engine deconstructs submitted sanction agreements, parses covenants, cross-examines clauses against official CBUAE circulars, calculates exact borrower restitution, and renders legal redlines.</w:t>
      </w:r>
    </w:p>
    <w:tbl>
      <w:tblPr>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0F172A"/>
            <w:tcMar>
              <w:top w:w="140" w:type="dxa"/>
              <w:bottom w:w="140" w:type="dxa"/>
              <w:left w:w="140" w:type="dxa"/>
              <w:right w:w="140" w:type="dxa"/>
            </w:tcMar>
          </w:tcPr>
          <w:p>
            <w:pPr>
              <w:spacing w:before="40" w:after="40"/>
              <w:jc w:val="left"/>
            </w:pPr>
            <w:r>
              <w:rPr>
                <w:b/>
                <w:color w:val="FFFFFF"/>
                <w:sz w:val="19"/>
              </w:rPr>
              <w:t>Test ID</w:t>
            </w:r>
          </w:p>
        </w:tc>
        <w:tc>
          <w:tcPr>
            <w:tcW w:type="dxa" w:w="1632"/>
            <w:shd w:fill="0F172A"/>
            <w:tcMar>
              <w:top w:w="140" w:type="dxa"/>
              <w:bottom w:w="140" w:type="dxa"/>
              <w:left w:w="140" w:type="dxa"/>
              <w:right w:w="140" w:type="dxa"/>
            </w:tcMar>
          </w:tcPr>
          <w:p>
            <w:pPr>
              <w:spacing w:before="40" w:after="40"/>
              <w:jc w:val="left"/>
            </w:pPr>
            <w:r>
              <w:rPr>
                <w:b/>
                <w:color w:val="FFFFFF"/>
                <w:sz w:val="19"/>
              </w:rPr>
              <w:t>Scenario / Feature</w:t>
            </w:r>
          </w:p>
        </w:tc>
        <w:tc>
          <w:tcPr>
            <w:tcW w:type="dxa" w:w="1632"/>
            <w:shd w:fill="0F172A"/>
            <w:tcMar>
              <w:top w:w="140" w:type="dxa"/>
              <w:bottom w:w="140" w:type="dxa"/>
              <w:left w:w="140" w:type="dxa"/>
              <w:right w:w="140" w:type="dxa"/>
            </w:tcMar>
          </w:tcPr>
          <w:p>
            <w:pPr>
              <w:spacing w:before="40" w:after="40"/>
              <w:jc w:val="left"/>
            </w:pPr>
            <w:r>
              <w:rPr>
                <w:b/>
                <w:color w:val="FFFFFF"/>
                <w:sz w:val="19"/>
              </w:rPr>
              <w:t>Contract Type</w:t>
            </w:r>
          </w:p>
        </w:tc>
        <w:tc>
          <w:tcPr>
            <w:tcW w:type="dxa" w:w="1632"/>
            <w:shd w:fill="0F172A"/>
            <w:tcMar>
              <w:top w:w="140" w:type="dxa"/>
              <w:bottom w:w="140" w:type="dxa"/>
              <w:left w:w="140" w:type="dxa"/>
              <w:right w:w="140" w:type="dxa"/>
            </w:tcMar>
          </w:tcPr>
          <w:p>
            <w:pPr>
              <w:spacing w:before="40" w:after="40"/>
              <w:jc w:val="left"/>
            </w:pPr>
            <w:r>
              <w:rPr>
                <w:b/>
                <w:color w:val="FFFFFF"/>
                <w:sz w:val="19"/>
              </w:rPr>
              <w:t>Input Data / File</w:t>
            </w:r>
          </w:p>
        </w:tc>
        <w:tc>
          <w:tcPr>
            <w:tcW w:type="dxa" w:w="1632"/>
            <w:shd w:fill="0F172A"/>
            <w:tcMar>
              <w:top w:w="140" w:type="dxa"/>
              <w:bottom w:w="140" w:type="dxa"/>
              <w:left w:w="140" w:type="dxa"/>
              <w:right w:w="140" w:type="dxa"/>
            </w:tcMar>
          </w:tcPr>
          <w:p>
            <w:pPr>
              <w:spacing w:before="40" w:after="40"/>
              <w:jc w:val="left"/>
            </w:pPr>
            <w:r>
              <w:rPr>
                <w:b/>
                <w:color w:val="FFFFFF"/>
                <w:sz w:val="19"/>
              </w:rPr>
              <w:t>Expected Audit Outcome</w:t>
            </w:r>
          </w:p>
        </w:tc>
        <w:tc>
          <w:tcPr>
            <w:tcW w:type="dxa" w:w="1632"/>
            <w:shd w:fill="0F172A"/>
            <w:tcMar>
              <w:top w:w="140" w:type="dxa"/>
              <w:bottom w:w="140" w:type="dxa"/>
              <w:left w:w="140" w:type="dxa"/>
              <w:right w:w="140" w:type="dxa"/>
            </w:tcMar>
          </w:tcPr>
          <w:p>
            <w:pPr>
              <w:spacing w:before="40" w:after="40"/>
              <w:jc w:val="left"/>
            </w:pPr>
            <w:r>
              <w:rPr>
                <w:b/>
                <w:color w:val="FFFFFF"/>
                <w:sz w:val="19"/>
              </w:rPr>
              <w:t>Status</w:t>
            </w:r>
          </w:p>
        </w:tc>
      </w:tr>
      <w:tr>
        <w:tc>
          <w:tcPr>
            <w:tcW w:type="dxa" w:w="1632"/>
            <w:shd w:fill="F8FAFC"/>
            <w:tcMar>
              <w:top w:w="100" w:type="dxa"/>
              <w:bottom w:w="100" w:type="dxa"/>
              <w:left w:w="120" w:type="dxa"/>
              <w:right w:w="120" w:type="dxa"/>
            </w:tcMar>
            <w:vAlign w:val="center"/>
          </w:tcPr>
          <w:p>
            <w:pPr>
              <w:spacing w:before="40" w:after="40"/>
            </w:pPr>
            <w:r>
              <w:rPr>
                <w:color w:val="334155"/>
                <w:sz w:val="17"/>
              </w:rPr>
              <w:t>TC-AUD-01</w:t>
            </w:r>
          </w:p>
        </w:tc>
        <w:tc>
          <w:tcPr>
            <w:tcW w:type="dxa" w:w="1632"/>
            <w:shd w:fill="F8FAFC"/>
            <w:tcMar>
              <w:top w:w="100" w:type="dxa"/>
              <w:bottom w:w="100" w:type="dxa"/>
              <w:left w:w="120" w:type="dxa"/>
              <w:right w:w="120" w:type="dxa"/>
            </w:tcMar>
            <w:vAlign w:val="center"/>
          </w:tcPr>
          <w:p>
            <w:pPr>
              <w:spacing w:before="40" w:after="40"/>
            </w:pPr>
            <w:r>
              <w:rPr>
                <w:color w:val="334155"/>
                <w:sz w:val="17"/>
              </w:rPr>
              <w:t>Preset 1: Predatory Personal Loan</w:t>
            </w:r>
          </w:p>
        </w:tc>
        <w:tc>
          <w:tcPr>
            <w:tcW w:type="dxa" w:w="1632"/>
            <w:shd w:fill="F8FAFC"/>
            <w:tcMar>
              <w:top w:w="100" w:type="dxa"/>
              <w:bottom w:w="100" w:type="dxa"/>
              <w:left w:w="120" w:type="dxa"/>
              <w:right w:w="120" w:type="dxa"/>
            </w:tcMar>
            <w:vAlign w:val="center"/>
          </w:tcPr>
          <w:p>
            <w:pPr>
              <w:spacing w:before="40" w:after="40"/>
            </w:pPr>
            <w:r>
              <w:rPr>
                <w:color w:val="334155"/>
                <w:sz w:val="17"/>
              </w:rPr>
              <w:t>Personal Loan</w:t>
            </w:r>
          </w:p>
        </w:tc>
        <w:tc>
          <w:tcPr>
            <w:tcW w:type="dxa" w:w="1632"/>
            <w:shd w:fill="F8FAFC"/>
            <w:tcMar>
              <w:top w:w="100" w:type="dxa"/>
              <w:bottom w:w="100" w:type="dxa"/>
              <w:left w:w="120" w:type="dxa"/>
              <w:right w:w="120" w:type="dxa"/>
            </w:tcMar>
            <w:vAlign w:val="center"/>
          </w:tcPr>
          <w:p>
            <w:pPr>
              <w:spacing w:before="40" w:after="40"/>
            </w:pPr>
            <w:r>
              <w:rPr>
                <w:color w:val="334155"/>
                <w:sz w:val="17"/>
              </w:rPr>
              <w:t>Apex Gulf Finance sanction agreement (AED 400,000, 60m tenure, 3% exit fee)</w:t>
            </w:r>
          </w:p>
        </w:tc>
        <w:tc>
          <w:tcPr>
            <w:tcW w:type="dxa" w:w="1632"/>
            <w:shd w:fill="F8FAFC"/>
            <w:tcMar>
              <w:top w:w="100" w:type="dxa"/>
              <w:bottom w:w="100" w:type="dxa"/>
              <w:left w:w="120" w:type="dxa"/>
              <w:right w:w="120" w:type="dxa"/>
            </w:tcMar>
            <w:vAlign w:val="center"/>
          </w:tcPr>
          <w:p>
            <w:pPr>
              <w:spacing w:before="40" w:after="40"/>
            </w:pPr>
            <w:r>
              <w:rPr>
                <w:color w:val="334155"/>
                <w:sz w:val="17"/>
              </w:rPr>
              <w:t>CRITICAL NON-COMPLIANCE. Unlawful 3% exit fee (capped at 1% / AED 10k), 60m tenure breach (capped at 48m), 56% DBR breach. Restitution: AED 16,050.00.</w:t>
            </w:r>
          </w:p>
        </w:tc>
        <w:tc>
          <w:tcPr>
            <w:tcW w:type="dxa" w:w="1632"/>
            <w:shd w:fill="F8FAFC"/>
            <w:tcMar>
              <w:top w:w="100" w:type="dxa"/>
              <w:bottom w:w="100" w:type="dxa"/>
              <w:left w:w="120" w:type="dxa"/>
              <w:right w:w="120" w:type="dxa"/>
            </w:tcMar>
            <w:vAlign w:val="center"/>
          </w:tcPr>
          <w:p>
            <w:pPr>
              <w:spacing w:before="40" w:after="40"/>
            </w:pPr>
            <w:r>
              <w:rPr>
                <w:color w:val="334155"/>
                <w:sz w:val="17"/>
              </w:rPr>
              <w:t>PASS</w:t>
            </w:r>
          </w:p>
        </w:tc>
      </w:tr>
      <w:tr>
        <w:tc>
          <w:tcPr>
            <w:tcW w:type="dxa" w:w="1632"/>
            <w:shd w:fill="FFFFFF"/>
            <w:tcMar>
              <w:top w:w="100" w:type="dxa"/>
              <w:bottom w:w="100" w:type="dxa"/>
              <w:left w:w="120" w:type="dxa"/>
              <w:right w:w="120" w:type="dxa"/>
            </w:tcMar>
            <w:vAlign w:val="center"/>
          </w:tcPr>
          <w:p>
            <w:pPr>
              <w:spacing w:before="40" w:after="40"/>
            </w:pPr>
            <w:r>
              <w:rPr>
                <w:color w:val="334155"/>
                <w:sz w:val="17"/>
              </w:rPr>
              <w:t>TC-AUD-02</w:t>
            </w:r>
          </w:p>
        </w:tc>
        <w:tc>
          <w:tcPr>
            <w:tcW w:type="dxa" w:w="1632"/>
            <w:shd w:fill="FFFFFF"/>
            <w:tcMar>
              <w:top w:w="100" w:type="dxa"/>
              <w:bottom w:w="100" w:type="dxa"/>
              <w:left w:w="120" w:type="dxa"/>
              <w:right w:w="120" w:type="dxa"/>
            </w:tcMar>
            <w:vAlign w:val="center"/>
          </w:tcPr>
          <w:p>
            <w:pPr>
              <w:spacing w:before="40" w:after="40"/>
            </w:pPr>
            <w:r>
              <w:rPr>
                <w:color w:val="334155"/>
                <w:sz w:val="17"/>
              </w:rPr>
              <w:t>Preset 2: Compliant Residential Mortgage</w:t>
            </w:r>
          </w:p>
        </w:tc>
        <w:tc>
          <w:tcPr>
            <w:tcW w:type="dxa" w:w="1632"/>
            <w:shd w:fill="FFFFFF"/>
            <w:tcMar>
              <w:top w:w="100" w:type="dxa"/>
              <w:bottom w:w="100" w:type="dxa"/>
              <w:left w:w="120" w:type="dxa"/>
              <w:right w:w="120" w:type="dxa"/>
            </w:tcMar>
            <w:vAlign w:val="center"/>
          </w:tcPr>
          <w:p>
            <w:pPr>
              <w:spacing w:before="40" w:after="40"/>
            </w:pPr>
            <w:r>
              <w:rPr>
                <w:color w:val="334155"/>
                <w:sz w:val="17"/>
              </w:rPr>
              <w:t>Residential Mortgage</w:t>
            </w:r>
          </w:p>
        </w:tc>
        <w:tc>
          <w:tcPr>
            <w:tcW w:type="dxa" w:w="1632"/>
            <w:shd w:fill="FFFFFF"/>
            <w:tcMar>
              <w:top w:w="100" w:type="dxa"/>
              <w:bottom w:w="100" w:type="dxa"/>
              <w:left w:w="120" w:type="dxa"/>
              <w:right w:w="120" w:type="dxa"/>
            </w:tcMar>
            <w:vAlign w:val="center"/>
          </w:tcPr>
          <w:p>
            <w:pPr>
              <w:spacing w:before="40" w:after="40"/>
            </w:pPr>
            <w:r>
              <w:rPr>
                <w:color w:val="334155"/>
                <w:sz w:val="17"/>
              </w:rPr>
              <w:t>Emirates First Bank agreement (AED 1,800,000, 25-yr tenure, 1% capped exit)</w:t>
            </w:r>
          </w:p>
        </w:tc>
        <w:tc>
          <w:tcPr>
            <w:tcW w:type="dxa" w:w="1632"/>
            <w:shd w:fill="FFFFFF"/>
            <w:tcMar>
              <w:top w:w="100" w:type="dxa"/>
              <w:bottom w:w="100" w:type="dxa"/>
              <w:left w:w="120" w:type="dxa"/>
              <w:right w:w="120" w:type="dxa"/>
            </w:tcMar>
            <w:vAlign w:val="center"/>
          </w:tcPr>
          <w:p>
            <w:pPr>
              <w:spacing w:before="40" w:after="40"/>
            </w:pPr>
            <w:r>
              <w:rPr>
                <w:color w:val="334155"/>
                <w:sz w:val="17"/>
              </w:rPr>
              <w:t>FULLY COMPLIANT. Adheres strictly to Notice 3877/2019 and Circular 31/2013. Restitution: AED 0.00.</w:t>
            </w:r>
          </w:p>
        </w:tc>
        <w:tc>
          <w:tcPr>
            <w:tcW w:type="dxa" w:w="1632"/>
            <w:shd w:fill="FFFFFF"/>
            <w:tcMar>
              <w:top w:w="100" w:type="dxa"/>
              <w:bottom w:w="100" w:type="dxa"/>
              <w:left w:w="120" w:type="dxa"/>
              <w:right w:w="120" w:type="dxa"/>
            </w:tcMar>
            <w:vAlign w:val="center"/>
          </w:tcPr>
          <w:p>
            <w:pPr>
              <w:spacing w:before="40" w:after="40"/>
            </w:pPr>
            <w:r>
              <w:rPr>
                <w:color w:val="334155"/>
                <w:sz w:val="17"/>
              </w:rPr>
              <w:t>PASS</w:t>
            </w:r>
          </w:p>
        </w:tc>
      </w:tr>
      <w:tr>
        <w:tc>
          <w:tcPr>
            <w:tcW w:type="dxa" w:w="1632"/>
            <w:shd w:fill="F8FAFC"/>
            <w:tcMar>
              <w:top w:w="100" w:type="dxa"/>
              <w:bottom w:w="100" w:type="dxa"/>
              <w:left w:w="120" w:type="dxa"/>
              <w:right w:w="120" w:type="dxa"/>
            </w:tcMar>
            <w:vAlign w:val="center"/>
          </w:tcPr>
          <w:p>
            <w:pPr>
              <w:spacing w:before="40" w:after="40"/>
            </w:pPr>
            <w:r>
              <w:rPr>
                <w:color w:val="334155"/>
                <w:sz w:val="17"/>
              </w:rPr>
              <w:t>TC-AUD-03</w:t>
            </w:r>
          </w:p>
        </w:tc>
        <w:tc>
          <w:tcPr>
            <w:tcW w:type="dxa" w:w="1632"/>
            <w:shd w:fill="F8FAFC"/>
            <w:tcMar>
              <w:top w:w="100" w:type="dxa"/>
              <w:bottom w:w="100" w:type="dxa"/>
              <w:left w:w="120" w:type="dxa"/>
              <w:right w:w="120" w:type="dxa"/>
            </w:tcMar>
            <w:vAlign w:val="center"/>
          </w:tcPr>
          <w:p>
            <w:pPr>
              <w:spacing w:before="40" w:after="40"/>
            </w:pPr>
            <w:r>
              <w:rPr>
                <w:color w:val="334155"/>
                <w:sz w:val="17"/>
              </w:rPr>
              <w:t>Preset 3: Subprime Auto Financing</w:t>
            </w:r>
          </w:p>
        </w:tc>
        <w:tc>
          <w:tcPr>
            <w:tcW w:type="dxa" w:w="1632"/>
            <w:shd w:fill="F8FAFC"/>
            <w:tcMar>
              <w:top w:w="100" w:type="dxa"/>
              <w:bottom w:w="100" w:type="dxa"/>
              <w:left w:w="120" w:type="dxa"/>
              <w:right w:w="120" w:type="dxa"/>
            </w:tcMar>
            <w:vAlign w:val="center"/>
          </w:tcPr>
          <w:p>
            <w:pPr>
              <w:spacing w:before="40" w:after="40"/>
            </w:pPr>
            <w:r>
              <w:rPr>
                <w:color w:val="334155"/>
                <w:sz w:val="17"/>
              </w:rPr>
              <w:t>Auto Loan</w:t>
            </w:r>
          </w:p>
        </w:tc>
        <w:tc>
          <w:tcPr>
            <w:tcW w:type="dxa" w:w="1632"/>
            <w:shd w:fill="F8FAFC"/>
            <w:tcMar>
              <w:top w:w="100" w:type="dxa"/>
              <w:bottom w:w="100" w:type="dxa"/>
              <w:left w:w="120" w:type="dxa"/>
              <w:right w:w="120" w:type="dxa"/>
            </w:tcMar>
            <w:vAlign w:val="center"/>
          </w:tcPr>
          <w:p>
            <w:pPr>
              <w:spacing w:before="40" w:after="40"/>
            </w:pPr>
            <w:r>
              <w:rPr>
                <w:color w:val="334155"/>
                <w:sz w:val="17"/>
              </w:rPr>
              <w:t>Falcon Auto Credit facility (AED 120,000, 72-month tenure, compounded late charges)</w:t>
            </w:r>
          </w:p>
        </w:tc>
        <w:tc>
          <w:tcPr>
            <w:tcW w:type="dxa" w:w="1632"/>
            <w:shd w:fill="F8FAFC"/>
            <w:tcMar>
              <w:top w:w="100" w:type="dxa"/>
              <w:bottom w:w="100" w:type="dxa"/>
              <w:left w:w="120" w:type="dxa"/>
              <w:right w:w="120" w:type="dxa"/>
            </w:tcMar>
            <w:vAlign w:val="center"/>
          </w:tcPr>
          <w:p>
            <w:pPr>
              <w:spacing w:before="40" w:after="40"/>
            </w:pPr>
            <w:r>
              <w:rPr>
                <w:color w:val="334155"/>
                <w:sz w:val="17"/>
              </w:rPr>
              <w:t>HIGH VIOLATIONS. 72-month tenure exceeds 60-month cap under Notice 2011/23. Compound late charges capped. Restitution: AED 2,250.00.</w:t>
            </w:r>
          </w:p>
        </w:tc>
        <w:tc>
          <w:tcPr>
            <w:tcW w:type="dxa" w:w="1632"/>
            <w:shd w:fill="F8FAFC"/>
            <w:tcMar>
              <w:top w:w="100" w:type="dxa"/>
              <w:bottom w:w="100" w:type="dxa"/>
              <w:left w:w="120" w:type="dxa"/>
              <w:right w:w="120" w:type="dxa"/>
            </w:tcMar>
            <w:vAlign w:val="center"/>
          </w:tcPr>
          <w:p>
            <w:pPr>
              <w:spacing w:before="40" w:after="40"/>
            </w:pPr>
            <w:r>
              <w:rPr>
                <w:color w:val="334155"/>
                <w:sz w:val="17"/>
              </w:rPr>
              <w:t>PASS</w:t>
            </w:r>
          </w:p>
        </w:tc>
      </w:tr>
      <w:tr>
        <w:tc>
          <w:tcPr>
            <w:tcW w:type="dxa" w:w="1632"/>
            <w:shd w:fill="FFFFFF"/>
            <w:tcMar>
              <w:top w:w="100" w:type="dxa"/>
              <w:bottom w:w="100" w:type="dxa"/>
              <w:left w:w="120" w:type="dxa"/>
              <w:right w:w="120" w:type="dxa"/>
            </w:tcMar>
            <w:vAlign w:val="center"/>
          </w:tcPr>
          <w:p>
            <w:pPr>
              <w:spacing w:before="40" w:after="40"/>
            </w:pPr>
            <w:r>
              <w:rPr>
                <w:color w:val="334155"/>
                <w:sz w:val="17"/>
              </w:rPr>
              <w:t>TC-AUD-04</w:t>
            </w:r>
          </w:p>
        </w:tc>
        <w:tc>
          <w:tcPr>
            <w:tcW w:type="dxa" w:w="1632"/>
            <w:shd w:fill="FFFFFF"/>
            <w:tcMar>
              <w:top w:w="100" w:type="dxa"/>
              <w:bottom w:w="100" w:type="dxa"/>
              <w:left w:w="120" w:type="dxa"/>
              <w:right w:w="120" w:type="dxa"/>
            </w:tcMar>
            <w:vAlign w:val="center"/>
          </w:tcPr>
          <w:p>
            <w:pPr>
              <w:spacing w:before="40" w:after="40"/>
            </w:pPr>
            <w:r>
              <w:rPr>
                <w:color w:val="334155"/>
                <w:sz w:val="17"/>
              </w:rPr>
              <w:t>Preset 4: Out-of-Jurisdiction UK Loan</w:t>
            </w:r>
          </w:p>
        </w:tc>
        <w:tc>
          <w:tcPr>
            <w:tcW w:type="dxa" w:w="1632"/>
            <w:shd w:fill="FFFFFF"/>
            <w:tcMar>
              <w:top w:w="100" w:type="dxa"/>
              <w:bottom w:w="100" w:type="dxa"/>
              <w:left w:w="120" w:type="dxa"/>
              <w:right w:w="120" w:type="dxa"/>
            </w:tcMar>
            <w:vAlign w:val="center"/>
          </w:tcPr>
          <w:p>
            <w:pPr>
              <w:spacing w:before="40" w:after="40"/>
            </w:pPr>
            <w:r>
              <w:rPr>
                <w:color w:val="334155"/>
                <w:sz w:val="17"/>
              </w:rPr>
              <w:t>Foreign Loan</w:t>
            </w:r>
          </w:p>
        </w:tc>
        <w:tc>
          <w:tcPr>
            <w:tcW w:type="dxa" w:w="1632"/>
            <w:shd w:fill="FFFFFF"/>
            <w:tcMar>
              <w:top w:w="100" w:type="dxa"/>
              <w:bottom w:w="100" w:type="dxa"/>
              <w:left w:w="120" w:type="dxa"/>
              <w:right w:w="120" w:type="dxa"/>
            </w:tcMar>
            <w:vAlign w:val="center"/>
          </w:tcPr>
          <w:p>
            <w:pPr>
              <w:spacing w:before="40" w:after="40"/>
            </w:pPr>
            <w:r>
              <w:rPr>
                <w:color w:val="334155"/>
                <w:sz w:val="17"/>
              </w:rPr>
              <w:t>Barclays London consumer credit facility governed by UK Financial Conduct Authority (FCA)</w:t>
            </w:r>
          </w:p>
        </w:tc>
        <w:tc>
          <w:tcPr>
            <w:tcW w:type="dxa" w:w="1632"/>
            <w:shd w:fill="FFFFFF"/>
            <w:tcMar>
              <w:top w:w="100" w:type="dxa"/>
              <w:bottom w:w="100" w:type="dxa"/>
              <w:left w:w="120" w:type="dxa"/>
              <w:right w:w="120" w:type="dxa"/>
            </w:tcMar>
            <w:vAlign w:val="center"/>
          </w:tcPr>
          <w:p>
            <w:pPr>
              <w:spacing w:before="40" w:after="40"/>
            </w:pPr>
            <w:r>
              <w:rPr>
                <w:color w:val="334155"/>
                <w:sz w:val="17"/>
              </w:rPr>
              <w:t>REFUSAL GATE TRIGGERED. System autonomously refuses to audit foreign jurisdictions and issues formal disclaimer.</w:t>
            </w:r>
          </w:p>
        </w:tc>
        <w:tc>
          <w:tcPr>
            <w:tcW w:type="dxa" w:w="1632"/>
            <w:shd w:fill="FFFFFF"/>
            <w:tcMar>
              <w:top w:w="100" w:type="dxa"/>
              <w:bottom w:w="100" w:type="dxa"/>
              <w:left w:w="120" w:type="dxa"/>
              <w:right w:w="120" w:type="dxa"/>
            </w:tcMar>
            <w:vAlign w:val="center"/>
          </w:tcPr>
          <w:p>
            <w:pPr>
              <w:spacing w:before="40" w:after="40"/>
            </w:pPr>
            <w:r>
              <w:rPr>
                <w:color w:val="334155"/>
                <w:sz w:val="17"/>
              </w:rPr>
              <w:t>PASS</w:t>
            </w:r>
          </w:p>
        </w:tc>
      </w:tr>
      <w:tr>
        <w:tc>
          <w:tcPr>
            <w:tcW w:type="dxa" w:w="1632"/>
            <w:shd w:fill="F8FAFC"/>
            <w:tcMar>
              <w:top w:w="100" w:type="dxa"/>
              <w:bottom w:w="100" w:type="dxa"/>
              <w:left w:w="120" w:type="dxa"/>
              <w:right w:w="120" w:type="dxa"/>
            </w:tcMar>
            <w:vAlign w:val="center"/>
          </w:tcPr>
          <w:p>
            <w:pPr>
              <w:spacing w:before="40" w:after="40"/>
            </w:pPr>
            <w:r>
              <w:rPr>
                <w:color w:val="334155"/>
                <w:sz w:val="17"/>
              </w:rPr>
              <w:t>TC-AUD-05</w:t>
            </w:r>
          </w:p>
        </w:tc>
        <w:tc>
          <w:tcPr>
            <w:tcW w:type="dxa" w:w="1632"/>
            <w:shd w:fill="F8FAFC"/>
            <w:tcMar>
              <w:top w:w="100" w:type="dxa"/>
              <w:bottom w:w="100" w:type="dxa"/>
              <w:left w:w="120" w:type="dxa"/>
              <w:right w:w="120" w:type="dxa"/>
            </w:tcMar>
            <w:vAlign w:val="center"/>
          </w:tcPr>
          <w:p>
            <w:pPr>
              <w:spacing w:before="40" w:after="40"/>
            </w:pPr>
            <w:r>
              <w:rPr>
                <w:color w:val="334155"/>
                <w:sz w:val="17"/>
              </w:rPr>
              <w:t>Preset 5: Over-Leveraged Consolidation</w:t>
            </w:r>
          </w:p>
        </w:tc>
        <w:tc>
          <w:tcPr>
            <w:tcW w:type="dxa" w:w="1632"/>
            <w:shd w:fill="F8FAFC"/>
            <w:tcMar>
              <w:top w:w="100" w:type="dxa"/>
              <w:bottom w:w="100" w:type="dxa"/>
              <w:left w:w="120" w:type="dxa"/>
              <w:right w:w="120" w:type="dxa"/>
            </w:tcMar>
            <w:vAlign w:val="center"/>
          </w:tcPr>
          <w:p>
            <w:pPr>
              <w:spacing w:before="40" w:after="40"/>
            </w:pPr>
            <w:r>
              <w:rPr>
                <w:color w:val="334155"/>
                <w:sz w:val="17"/>
              </w:rPr>
              <w:t>Personal Loan</w:t>
            </w:r>
          </w:p>
        </w:tc>
        <w:tc>
          <w:tcPr>
            <w:tcW w:type="dxa" w:w="1632"/>
            <w:shd w:fill="F8FAFC"/>
            <w:tcMar>
              <w:top w:w="100" w:type="dxa"/>
              <w:bottom w:w="100" w:type="dxa"/>
              <w:left w:w="120" w:type="dxa"/>
              <w:right w:w="120" w:type="dxa"/>
            </w:tcMar>
            <w:vAlign w:val="center"/>
          </w:tcPr>
          <w:p>
            <w:pPr>
              <w:spacing w:before="40" w:after="40"/>
            </w:pPr>
            <w:r>
              <w:rPr>
                <w:color w:val="334155"/>
                <w:sz w:val="17"/>
              </w:rPr>
              <w:t>Dubai Crescent Credit Bank facility with 74.7% Debt Burden Ratio</w:t>
            </w:r>
          </w:p>
        </w:tc>
        <w:tc>
          <w:tcPr>
            <w:tcW w:type="dxa" w:w="1632"/>
            <w:shd w:fill="F8FAFC"/>
            <w:tcMar>
              <w:top w:w="100" w:type="dxa"/>
              <w:bottom w:w="100" w:type="dxa"/>
              <w:left w:w="120" w:type="dxa"/>
              <w:right w:w="120" w:type="dxa"/>
            </w:tcMar>
            <w:vAlign w:val="center"/>
          </w:tcPr>
          <w:p>
            <w:pPr>
              <w:spacing w:before="40" w:after="40"/>
            </w:pPr>
            <w:r>
              <w:rPr>
                <w:color w:val="334155"/>
                <w:sz w:val="17"/>
              </w:rPr>
              <w:t>CRITICAL DBR BREACH. Violates statutory 50% DBR cap under Notice 2011/23 Article 7. Flags predatory consolidation.</w:t>
            </w:r>
          </w:p>
        </w:tc>
        <w:tc>
          <w:tcPr>
            <w:tcW w:type="dxa" w:w="1632"/>
            <w:shd w:fill="F8FAFC"/>
            <w:tcMar>
              <w:top w:w="100" w:type="dxa"/>
              <w:bottom w:w="100" w:type="dxa"/>
              <w:left w:w="120" w:type="dxa"/>
              <w:right w:w="120" w:type="dxa"/>
            </w:tcMar>
            <w:vAlign w:val="center"/>
          </w:tcPr>
          <w:p>
            <w:pPr>
              <w:spacing w:before="40" w:after="40"/>
            </w:pPr>
            <w:r>
              <w:rPr>
                <w:color w:val="334155"/>
                <w:sz w:val="17"/>
              </w:rPr>
              <w:t>PASS</w:t>
            </w:r>
          </w:p>
        </w:tc>
      </w:tr>
      <w:tr>
        <w:tc>
          <w:tcPr>
            <w:tcW w:type="dxa" w:w="1632"/>
            <w:shd w:fill="FFFFFF"/>
            <w:tcMar>
              <w:top w:w="100" w:type="dxa"/>
              <w:bottom w:w="100" w:type="dxa"/>
              <w:left w:w="120" w:type="dxa"/>
              <w:right w:w="120" w:type="dxa"/>
            </w:tcMar>
            <w:vAlign w:val="center"/>
          </w:tcPr>
          <w:p>
            <w:pPr>
              <w:spacing w:before="40" w:after="40"/>
            </w:pPr>
            <w:r>
              <w:rPr>
                <w:color w:val="334155"/>
                <w:sz w:val="17"/>
              </w:rPr>
              <w:t>TC-AUD-06</w:t>
            </w:r>
          </w:p>
        </w:tc>
        <w:tc>
          <w:tcPr>
            <w:tcW w:type="dxa" w:w="1632"/>
            <w:shd w:fill="FFFFFF"/>
            <w:tcMar>
              <w:top w:w="100" w:type="dxa"/>
              <w:bottom w:w="100" w:type="dxa"/>
              <w:left w:w="120" w:type="dxa"/>
              <w:right w:w="120" w:type="dxa"/>
            </w:tcMar>
            <w:vAlign w:val="center"/>
          </w:tcPr>
          <w:p>
            <w:pPr>
              <w:spacing w:before="40" w:after="40"/>
            </w:pPr>
            <w:r>
              <w:rPr>
                <w:color w:val="334155"/>
                <w:sz w:val="17"/>
              </w:rPr>
              <w:t>Custom Sanction Document Upload</w:t>
            </w:r>
          </w:p>
        </w:tc>
        <w:tc>
          <w:tcPr>
            <w:tcW w:type="dxa" w:w="1632"/>
            <w:shd w:fill="FFFFFF"/>
            <w:tcMar>
              <w:top w:w="100" w:type="dxa"/>
              <w:bottom w:w="100" w:type="dxa"/>
              <w:left w:w="120" w:type="dxa"/>
              <w:right w:w="120" w:type="dxa"/>
            </w:tcMar>
            <w:vAlign w:val="center"/>
          </w:tcPr>
          <w:p>
            <w:pPr>
              <w:spacing w:before="40" w:after="40"/>
            </w:pPr>
            <w:r>
              <w:rPr>
                <w:color w:val="334155"/>
                <w:sz w:val="17"/>
              </w:rPr>
              <w:t>DOCX / PDF / TXT</w:t>
            </w:r>
          </w:p>
        </w:tc>
        <w:tc>
          <w:tcPr>
            <w:tcW w:type="dxa" w:w="1632"/>
            <w:shd w:fill="FFFFFF"/>
            <w:tcMar>
              <w:top w:w="100" w:type="dxa"/>
              <w:bottom w:w="100" w:type="dxa"/>
              <w:left w:w="120" w:type="dxa"/>
              <w:right w:w="120" w:type="dxa"/>
            </w:tcMar>
            <w:vAlign w:val="center"/>
          </w:tcPr>
          <w:p>
            <w:pPr>
              <w:spacing w:before="40" w:after="40"/>
            </w:pPr>
            <w:r>
              <w:rPr>
                <w:color w:val="334155"/>
                <w:sz w:val="17"/>
              </w:rPr>
              <w:t>User clicks 'Upload Sanction Letter' and passes a Word or PDF sanction document</w:t>
            </w:r>
          </w:p>
        </w:tc>
        <w:tc>
          <w:tcPr>
            <w:tcW w:type="dxa" w:w="1632"/>
            <w:shd w:fill="FFFFFF"/>
            <w:tcMar>
              <w:top w:w="100" w:type="dxa"/>
              <w:bottom w:w="100" w:type="dxa"/>
              <w:left w:w="120" w:type="dxa"/>
              <w:right w:w="120" w:type="dxa"/>
            </w:tcMar>
            <w:vAlign w:val="center"/>
          </w:tcPr>
          <w:p>
            <w:pPr>
              <w:spacing w:before="40" w:after="40"/>
            </w:pPr>
            <w:r>
              <w:rPr>
                <w:color w:val="334155"/>
                <w:sz w:val="17"/>
              </w:rPr>
              <w:t>System parses text/tables with pdfplumber/docx, loads contract, triggers live multi-agent audit.</w:t>
            </w:r>
          </w:p>
        </w:tc>
        <w:tc>
          <w:tcPr>
            <w:tcW w:type="dxa" w:w="1632"/>
            <w:shd w:fill="FFFFFF"/>
            <w:tcMar>
              <w:top w:w="100" w:type="dxa"/>
              <w:bottom w:w="100" w:type="dxa"/>
              <w:left w:w="120" w:type="dxa"/>
              <w:right w:w="120" w:type="dxa"/>
            </w:tcMar>
            <w:vAlign w:val="center"/>
          </w:tcPr>
          <w:p>
            <w:pPr>
              <w:spacing w:before="40" w:after="40"/>
            </w:pPr>
            <w:r>
              <w:rPr>
                <w:color w:val="334155"/>
                <w:sz w:val="17"/>
              </w:rPr>
              <w:t>PASS</w:t>
            </w:r>
          </w:p>
        </w:tc>
      </w:tr>
      <w:tr>
        <w:tc>
          <w:tcPr>
            <w:tcW w:type="dxa" w:w="1632"/>
            <w:shd w:fill="F8FAFC"/>
            <w:tcMar>
              <w:top w:w="100" w:type="dxa"/>
              <w:bottom w:w="100" w:type="dxa"/>
              <w:left w:w="120" w:type="dxa"/>
              <w:right w:w="120" w:type="dxa"/>
            </w:tcMar>
            <w:vAlign w:val="center"/>
          </w:tcPr>
          <w:p>
            <w:pPr>
              <w:spacing w:before="40" w:after="40"/>
            </w:pPr>
            <w:r>
              <w:rPr>
                <w:color w:val="334155"/>
                <w:sz w:val="17"/>
              </w:rPr>
              <w:t>TC-AUD-07</w:t>
            </w:r>
          </w:p>
        </w:tc>
        <w:tc>
          <w:tcPr>
            <w:tcW w:type="dxa" w:w="1632"/>
            <w:shd w:fill="F8FAFC"/>
            <w:tcMar>
              <w:top w:w="100" w:type="dxa"/>
              <w:bottom w:w="100" w:type="dxa"/>
              <w:left w:w="120" w:type="dxa"/>
              <w:right w:w="120" w:type="dxa"/>
            </w:tcMar>
            <w:vAlign w:val="center"/>
          </w:tcPr>
          <w:p>
            <w:pPr>
              <w:spacing w:before="40" w:after="40"/>
            </w:pPr>
            <w:r>
              <w:rPr>
                <w:color w:val="334155"/>
                <w:sz w:val="17"/>
              </w:rPr>
              <w:t>Download Formal Audit Dossier</w:t>
            </w:r>
          </w:p>
        </w:tc>
        <w:tc>
          <w:tcPr>
            <w:tcW w:type="dxa" w:w="1632"/>
            <w:shd w:fill="F8FAFC"/>
            <w:tcMar>
              <w:top w:w="100" w:type="dxa"/>
              <w:bottom w:w="100" w:type="dxa"/>
              <w:left w:w="120" w:type="dxa"/>
              <w:right w:w="120" w:type="dxa"/>
            </w:tcMar>
            <w:vAlign w:val="center"/>
          </w:tcPr>
          <w:p>
            <w:pPr>
              <w:spacing w:before="40" w:after="40"/>
            </w:pPr>
            <w:r>
              <w:rPr>
                <w:color w:val="334155"/>
                <w:sz w:val="17"/>
              </w:rPr>
              <w:t>Export</w:t>
            </w:r>
          </w:p>
        </w:tc>
        <w:tc>
          <w:tcPr>
            <w:tcW w:type="dxa" w:w="1632"/>
            <w:shd w:fill="F8FAFC"/>
            <w:tcMar>
              <w:top w:w="100" w:type="dxa"/>
              <w:bottom w:w="100" w:type="dxa"/>
              <w:left w:w="120" w:type="dxa"/>
              <w:right w:w="120" w:type="dxa"/>
            </w:tcMar>
            <w:vAlign w:val="center"/>
          </w:tcPr>
          <w:p>
            <w:pPr>
              <w:spacing w:before="40" w:after="40"/>
            </w:pPr>
            <w:r>
              <w:rPr>
                <w:color w:val="334155"/>
                <w:sz w:val="17"/>
              </w:rPr>
              <w:t>User clicks 'Download Full Legal Audit Report'</w:t>
            </w:r>
          </w:p>
        </w:tc>
        <w:tc>
          <w:tcPr>
            <w:tcW w:type="dxa" w:w="1632"/>
            <w:shd w:fill="F8FAFC"/>
            <w:tcMar>
              <w:top w:w="100" w:type="dxa"/>
              <w:bottom w:w="100" w:type="dxa"/>
              <w:left w:w="120" w:type="dxa"/>
              <w:right w:w="120" w:type="dxa"/>
            </w:tcMar>
            <w:vAlign w:val="center"/>
          </w:tcPr>
          <w:p>
            <w:pPr>
              <w:spacing w:before="40" w:after="40"/>
            </w:pPr>
            <w:r>
              <w:rPr>
                <w:color w:val="334155"/>
                <w:sz w:val="17"/>
              </w:rPr>
              <w:t>Downloads formatted .docx or printable PDF audit report with legal restitution demand letter for CBUAE Sanadak.</w:t>
            </w:r>
          </w:p>
        </w:tc>
        <w:tc>
          <w:tcPr>
            <w:tcW w:type="dxa" w:w="1632"/>
            <w:shd w:fill="F8FAFC"/>
            <w:tcMar>
              <w:top w:w="100" w:type="dxa"/>
              <w:bottom w:w="100" w:type="dxa"/>
              <w:left w:w="120" w:type="dxa"/>
              <w:right w:w="120" w:type="dxa"/>
            </w:tcMar>
            <w:vAlign w:val="center"/>
          </w:tcPr>
          <w:p>
            <w:pPr>
              <w:spacing w:before="40" w:after="40"/>
            </w:pPr>
            <w:r>
              <w:rPr>
                <w:color w:val="334155"/>
                <w:sz w:val="17"/>
              </w:rPr>
              <w:t>PASS</w:t>
            </w:r>
          </w:p>
        </w:tc>
      </w:tr>
    </w:tbl>
    <w:p>
      <w:pPr>
        <w:spacing w:after="160"/>
      </w:pPr>
    </w:p>
    <w:p>
      <w:pPr>
        <w:pStyle w:val="Heading1"/>
        <w:spacing w:before="280" w:after="120"/>
      </w:pPr>
      <w:r>
        <w:rPr>
          <w:b/>
          <w:color w:val="0F172A"/>
        </w:rPr>
        <w:t>3. Deterministic Statutory Financial Calculators Testing</w:t>
      </w:r>
    </w:p>
    <w:p>
      <w:r>
        <w:t>All mathematical verification in ReguGraph-UAE is executed in pure, deterministic IEEE-754 Python logic to guarantee zero arithmetic hallucinations.</w:t>
      </w:r>
    </w:p>
    <w:tbl>
      <w:tblPr>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0F172A"/>
            <w:tcMar>
              <w:top w:w="140" w:type="dxa"/>
              <w:bottom w:w="140" w:type="dxa"/>
              <w:left w:w="140" w:type="dxa"/>
              <w:right w:w="140" w:type="dxa"/>
            </w:tcMar>
          </w:tcPr>
          <w:p>
            <w:pPr>
              <w:spacing w:before="40" w:after="40"/>
              <w:jc w:val="left"/>
            </w:pPr>
            <w:r>
              <w:rPr>
                <w:b/>
                <w:color w:val="FFFFFF"/>
                <w:sz w:val="19"/>
              </w:rPr>
              <w:t>Test ID</w:t>
            </w:r>
          </w:p>
        </w:tc>
        <w:tc>
          <w:tcPr>
            <w:tcW w:type="dxa" w:w="1632"/>
            <w:shd w:fill="0F172A"/>
            <w:tcMar>
              <w:top w:w="140" w:type="dxa"/>
              <w:bottom w:w="140" w:type="dxa"/>
              <w:left w:w="140" w:type="dxa"/>
              <w:right w:w="140" w:type="dxa"/>
            </w:tcMar>
          </w:tcPr>
          <w:p>
            <w:pPr>
              <w:spacing w:before="40" w:after="40"/>
              <w:jc w:val="left"/>
            </w:pPr>
            <w:r>
              <w:rPr>
                <w:b/>
                <w:color w:val="FFFFFF"/>
                <w:sz w:val="19"/>
              </w:rPr>
              <w:t>Calculator Module</w:t>
            </w:r>
          </w:p>
        </w:tc>
        <w:tc>
          <w:tcPr>
            <w:tcW w:type="dxa" w:w="1632"/>
            <w:shd w:fill="0F172A"/>
            <w:tcMar>
              <w:top w:w="140" w:type="dxa"/>
              <w:bottom w:w="140" w:type="dxa"/>
              <w:left w:w="140" w:type="dxa"/>
              <w:right w:w="140" w:type="dxa"/>
            </w:tcMar>
          </w:tcPr>
          <w:p>
            <w:pPr>
              <w:spacing w:before="40" w:after="40"/>
              <w:jc w:val="left"/>
            </w:pPr>
            <w:r>
              <w:rPr>
                <w:b/>
                <w:color w:val="FFFFFF"/>
                <w:sz w:val="19"/>
              </w:rPr>
              <w:t>Statutory Rule</w:t>
            </w:r>
          </w:p>
        </w:tc>
        <w:tc>
          <w:tcPr>
            <w:tcW w:type="dxa" w:w="1632"/>
            <w:shd w:fill="0F172A"/>
            <w:tcMar>
              <w:top w:w="140" w:type="dxa"/>
              <w:bottom w:w="140" w:type="dxa"/>
              <w:left w:w="140" w:type="dxa"/>
              <w:right w:w="140" w:type="dxa"/>
            </w:tcMar>
          </w:tcPr>
          <w:p>
            <w:pPr>
              <w:spacing w:before="40" w:after="40"/>
              <w:jc w:val="left"/>
            </w:pPr>
            <w:r>
              <w:rPr>
                <w:b/>
                <w:color w:val="FFFFFF"/>
                <w:sz w:val="19"/>
              </w:rPr>
              <w:t>Test Inputs</w:t>
            </w:r>
          </w:p>
        </w:tc>
        <w:tc>
          <w:tcPr>
            <w:tcW w:type="dxa" w:w="1632"/>
            <w:shd w:fill="0F172A"/>
            <w:tcMar>
              <w:top w:w="140" w:type="dxa"/>
              <w:bottom w:w="140" w:type="dxa"/>
              <w:left w:w="140" w:type="dxa"/>
              <w:right w:w="140" w:type="dxa"/>
            </w:tcMar>
          </w:tcPr>
          <w:p>
            <w:pPr>
              <w:spacing w:before="40" w:after="40"/>
              <w:jc w:val="left"/>
            </w:pPr>
            <w:r>
              <w:rPr>
                <w:b/>
                <w:color w:val="FFFFFF"/>
                <w:sz w:val="19"/>
              </w:rPr>
              <w:t>Expected Deterministic Math</w:t>
            </w:r>
          </w:p>
        </w:tc>
        <w:tc>
          <w:tcPr>
            <w:tcW w:type="dxa" w:w="1632"/>
            <w:shd w:fill="0F172A"/>
            <w:tcMar>
              <w:top w:w="140" w:type="dxa"/>
              <w:bottom w:w="140" w:type="dxa"/>
              <w:left w:w="140" w:type="dxa"/>
              <w:right w:w="140" w:type="dxa"/>
            </w:tcMar>
          </w:tcPr>
          <w:p>
            <w:pPr>
              <w:spacing w:before="40" w:after="40"/>
              <w:jc w:val="left"/>
            </w:pPr>
            <w:r>
              <w:rPr>
                <w:b/>
                <w:color w:val="FFFFFF"/>
                <w:sz w:val="19"/>
              </w:rPr>
              <w:t>Status</w:t>
            </w:r>
          </w:p>
        </w:tc>
      </w:tr>
      <w:tr>
        <w:tc>
          <w:tcPr>
            <w:tcW w:type="dxa" w:w="1632"/>
            <w:shd w:fill="F8FAFC"/>
            <w:tcMar>
              <w:top w:w="100" w:type="dxa"/>
              <w:bottom w:w="100" w:type="dxa"/>
              <w:left w:w="120" w:type="dxa"/>
              <w:right w:w="120" w:type="dxa"/>
            </w:tcMar>
            <w:vAlign w:val="center"/>
          </w:tcPr>
          <w:p>
            <w:pPr>
              <w:spacing w:before="40" w:after="40"/>
            </w:pPr>
            <w:r>
              <w:rPr>
                <w:color w:val="334155"/>
                <w:sz w:val="17"/>
              </w:rPr>
              <w:t>TC-CALC-01</w:t>
            </w:r>
          </w:p>
        </w:tc>
        <w:tc>
          <w:tcPr>
            <w:tcW w:type="dxa" w:w="1632"/>
            <w:shd w:fill="F8FAFC"/>
            <w:tcMar>
              <w:top w:w="100" w:type="dxa"/>
              <w:bottom w:w="100" w:type="dxa"/>
              <w:left w:w="120" w:type="dxa"/>
              <w:right w:w="120" w:type="dxa"/>
            </w:tcMar>
            <w:vAlign w:val="center"/>
          </w:tcPr>
          <w:p>
            <w:pPr>
              <w:spacing w:before="40" w:after="40"/>
            </w:pPr>
            <w:r>
              <w:rPr>
                <w:color w:val="334155"/>
                <w:sz w:val="17"/>
              </w:rPr>
              <w:t>Early Settlement Fee Cap</w:t>
            </w:r>
          </w:p>
        </w:tc>
        <w:tc>
          <w:tcPr>
            <w:tcW w:type="dxa" w:w="1632"/>
            <w:shd w:fill="F8FAFC"/>
            <w:tcMar>
              <w:top w:w="100" w:type="dxa"/>
              <w:bottom w:w="100" w:type="dxa"/>
              <w:left w:w="120" w:type="dxa"/>
              <w:right w:w="120" w:type="dxa"/>
            </w:tcMar>
            <w:vAlign w:val="center"/>
          </w:tcPr>
          <w:p>
            <w:pPr>
              <w:spacing w:before="40" w:after="40"/>
            </w:pPr>
            <w:r>
              <w:rPr>
                <w:color w:val="334155"/>
                <w:sz w:val="17"/>
              </w:rPr>
              <w:t>Circular 8/2020 Art 4.3 &amp; Notice 3877/2019</w:t>
            </w:r>
          </w:p>
        </w:tc>
        <w:tc>
          <w:tcPr>
            <w:tcW w:type="dxa" w:w="1632"/>
            <w:shd w:fill="F8FAFC"/>
            <w:tcMar>
              <w:top w:w="100" w:type="dxa"/>
              <w:bottom w:w="100" w:type="dxa"/>
              <w:left w:w="120" w:type="dxa"/>
              <w:right w:w="120" w:type="dxa"/>
            </w:tcMar>
            <w:vAlign w:val="center"/>
          </w:tcPr>
          <w:p>
            <w:pPr>
              <w:spacing w:before="40" w:after="40"/>
            </w:pPr>
            <w:r>
              <w:rPr>
                <w:color w:val="334155"/>
                <w:sz w:val="17"/>
              </w:rPr>
              <w:t>Outstanding Principal: AED 1,500,000. Bank Charged: 3% (AED 45,000)</w:t>
            </w:r>
          </w:p>
        </w:tc>
        <w:tc>
          <w:tcPr>
            <w:tcW w:type="dxa" w:w="1632"/>
            <w:shd w:fill="F8FAFC"/>
            <w:tcMar>
              <w:top w:w="100" w:type="dxa"/>
              <w:bottom w:w="100" w:type="dxa"/>
              <w:left w:w="120" w:type="dxa"/>
              <w:right w:w="120" w:type="dxa"/>
            </w:tcMar>
            <w:vAlign w:val="center"/>
          </w:tcPr>
          <w:p>
            <w:pPr>
              <w:spacing w:before="40" w:after="40"/>
            </w:pPr>
            <w:r>
              <w:rPr>
                <w:color w:val="334155"/>
                <w:sz w:val="17"/>
              </w:rPr>
              <w:t>Statutory cap is min(1% of principal = AED 15,000, absolute ceiling AED 10,000) = AED 10,000. Overcharge &amp; Restitution: AED 35,000.00.</w:t>
            </w:r>
          </w:p>
        </w:tc>
        <w:tc>
          <w:tcPr>
            <w:tcW w:type="dxa" w:w="1632"/>
            <w:shd w:fill="F8FAFC"/>
            <w:tcMar>
              <w:top w:w="100" w:type="dxa"/>
              <w:bottom w:w="100" w:type="dxa"/>
              <w:left w:w="120" w:type="dxa"/>
              <w:right w:w="120" w:type="dxa"/>
            </w:tcMar>
            <w:vAlign w:val="center"/>
          </w:tcPr>
          <w:p>
            <w:pPr>
              <w:spacing w:before="40" w:after="40"/>
            </w:pPr>
            <w:r>
              <w:rPr>
                <w:color w:val="334155"/>
                <w:sz w:val="17"/>
              </w:rPr>
              <w:t>PASS</w:t>
            </w:r>
          </w:p>
        </w:tc>
      </w:tr>
      <w:tr>
        <w:tc>
          <w:tcPr>
            <w:tcW w:type="dxa" w:w="1632"/>
            <w:shd w:fill="FFFFFF"/>
            <w:tcMar>
              <w:top w:w="100" w:type="dxa"/>
              <w:bottom w:w="100" w:type="dxa"/>
              <w:left w:w="120" w:type="dxa"/>
              <w:right w:w="120" w:type="dxa"/>
            </w:tcMar>
            <w:vAlign w:val="center"/>
          </w:tcPr>
          <w:p>
            <w:pPr>
              <w:spacing w:before="40" w:after="40"/>
            </w:pPr>
            <w:r>
              <w:rPr>
                <w:color w:val="334155"/>
                <w:sz w:val="17"/>
              </w:rPr>
              <w:t>TC-CALC-02</w:t>
            </w:r>
          </w:p>
        </w:tc>
        <w:tc>
          <w:tcPr>
            <w:tcW w:type="dxa" w:w="1632"/>
            <w:shd w:fill="FFFFFF"/>
            <w:tcMar>
              <w:top w:w="100" w:type="dxa"/>
              <w:bottom w:w="100" w:type="dxa"/>
              <w:left w:w="120" w:type="dxa"/>
              <w:right w:w="120" w:type="dxa"/>
            </w:tcMar>
            <w:vAlign w:val="center"/>
          </w:tcPr>
          <w:p>
            <w:pPr>
              <w:spacing w:before="40" w:after="40"/>
            </w:pPr>
            <w:r>
              <w:rPr>
                <w:color w:val="334155"/>
                <w:sz w:val="17"/>
              </w:rPr>
              <w:t>Debt Burden Ratio (DBR) - Salaried</w:t>
            </w:r>
          </w:p>
        </w:tc>
        <w:tc>
          <w:tcPr>
            <w:tcW w:type="dxa" w:w="1632"/>
            <w:shd w:fill="FFFFFF"/>
            <w:tcMar>
              <w:top w:w="100" w:type="dxa"/>
              <w:bottom w:w="100" w:type="dxa"/>
              <w:left w:w="120" w:type="dxa"/>
              <w:right w:w="120" w:type="dxa"/>
            </w:tcMar>
            <w:vAlign w:val="center"/>
          </w:tcPr>
          <w:p>
            <w:pPr>
              <w:spacing w:before="40" w:after="40"/>
            </w:pPr>
            <w:r>
              <w:rPr>
                <w:color w:val="334155"/>
                <w:sz w:val="17"/>
              </w:rPr>
              <w:t>Notice 2011/23 Article 7.1</w:t>
            </w:r>
          </w:p>
        </w:tc>
        <w:tc>
          <w:tcPr>
            <w:tcW w:type="dxa" w:w="1632"/>
            <w:shd w:fill="FFFFFF"/>
            <w:tcMar>
              <w:top w:w="100" w:type="dxa"/>
              <w:bottom w:w="100" w:type="dxa"/>
              <w:left w:w="120" w:type="dxa"/>
              <w:right w:w="120" w:type="dxa"/>
            </w:tcMar>
            <w:vAlign w:val="center"/>
          </w:tcPr>
          <w:p>
            <w:pPr>
              <w:spacing w:before="40" w:after="40"/>
            </w:pPr>
            <w:r>
              <w:rPr>
                <w:color w:val="334155"/>
                <w:sz w:val="17"/>
              </w:rPr>
              <w:t>Gross Monthly Salary: AED 25,000. Monthly EMIs: AED 14,000. Card Limits: AED 40,000</w:t>
            </w:r>
          </w:p>
        </w:tc>
        <w:tc>
          <w:tcPr>
            <w:tcW w:type="dxa" w:w="1632"/>
            <w:shd w:fill="FFFFFF"/>
            <w:tcMar>
              <w:top w:w="100" w:type="dxa"/>
              <w:bottom w:w="100" w:type="dxa"/>
              <w:left w:w="120" w:type="dxa"/>
              <w:right w:w="120" w:type="dxa"/>
            </w:tcMar>
            <w:vAlign w:val="center"/>
          </w:tcPr>
          <w:p>
            <w:pPr>
              <w:spacing w:before="40" w:after="40"/>
            </w:pPr>
            <w:r>
              <w:rPr>
                <w:color w:val="334155"/>
                <w:sz w:val="17"/>
              </w:rPr>
              <w:t>Total Monthly Debt = AED 14,000 + (5% of 40,000 = AED 2,000) = AED 16,000. DBR = 64.0%. BREACH of 50.0% cap by +14.0%.</w:t>
            </w:r>
          </w:p>
        </w:tc>
        <w:tc>
          <w:tcPr>
            <w:tcW w:type="dxa" w:w="1632"/>
            <w:shd w:fill="FFFFFF"/>
            <w:tcMar>
              <w:top w:w="100" w:type="dxa"/>
              <w:bottom w:w="100" w:type="dxa"/>
              <w:left w:w="120" w:type="dxa"/>
              <w:right w:w="120" w:type="dxa"/>
            </w:tcMar>
            <w:vAlign w:val="center"/>
          </w:tcPr>
          <w:p>
            <w:pPr>
              <w:spacing w:before="40" w:after="40"/>
            </w:pPr>
            <w:r>
              <w:rPr>
                <w:color w:val="334155"/>
                <w:sz w:val="17"/>
              </w:rPr>
              <w:t>PASS</w:t>
            </w:r>
          </w:p>
        </w:tc>
      </w:tr>
      <w:tr>
        <w:tc>
          <w:tcPr>
            <w:tcW w:type="dxa" w:w="1632"/>
            <w:shd w:fill="F8FAFC"/>
            <w:tcMar>
              <w:top w:w="100" w:type="dxa"/>
              <w:bottom w:w="100" w:type="dxa"/>
              <w:left w:w="120" w:type="dxa"/>
              <w:right w:w="120" w:type="dxa"/>
            </w:tcMar>
            <w:vAlign w:val="center"/>
          </w:tcPr>
          <w:p>
            <w:pPr>
              <w:spacing w:before="40" w:after="40"/>
            </w:pPr>
            <w:r>
              <w:rPr>
                <w:color w:val="334155"/>
                <w:sz w:val="17"/>
              </w:rPr>
              <w:t>TC-CALC-03</w:t>
            </w:r>
          </w:p>
        </w:tc>
        <w:tc>
          <w:tcPr>
            <w:tcW w:type="dxa" w:w="1632"/>
            <w:shd w:fill="F8FAFC"/>
            <w:tcMar>
              <w:top w:w="100" w:type="dxa"/>
              <w:bottom w:w="100" w:type="dxa"/>
              <w:left w:w="120" w:type="dxa"/>
              <w:right w:w="120" w:type="dxa"/>
            </w:tcMar>
            <w:vAlign w:val="center"/>
          </w:tcPr>
          <w:p>
            <w:pPr>
              <w:spacing w:before="40" w:after="40"/>
            </w:pPr>
            <w:r>
              <w:rPr>
                <w:color w:val="334155"/>
                <w:sz w:val="17"/>
              </w:rPr>
              <w:t>DBR - Pensioner / Retiree</w:t>
            </w:r>
          </w:p>
        </w:tc>
        <w:tc>
          <w:tcPr>
            <w:tcW w:type="dxa" w:w="1632"/>
            <w:shd w:fill="F8FAFC"/>
            <w:tcMar>
              <w:top w:w="100" w:type="dxa"/>
              <w:bottom w:w="100" w:type="dxa"/>
              <w:left w:w="120" w:type="dxa"/>
              <w:right w:w="120" w:type="dxa"/>
            </w:tcMar>
            <w:vAlign w:val="center"/>
          </w:tcPr>
          <w:p>
            <w:pPr>
              <w:spacing w:before="40" w:after="40"/>
            </w:pPr>
            <w:r>
              <w:rPr>
                <w:color w:val="334155"/>
                <w:sz w:val="17"/>
              </w:rPr>
              <w:t>Notice 2011/23 Article 7.1.3</w:t>
            </w:r>
          </w:p>
        </w:tc>
        <w:tc>
          <w:tcPr>
            <w:tcW w:type="dxa" w:w="1632"/>
            <w:shd w:fill="F8FAFC"/>
            <w:tcMar>
              <w:top w:w="100" w:type="dxa"/>
              <w:bottom w:w="100" w:type="dxa"/>
              <w:left w:w="120" w:type="dxa"/>
              <w:right w:w="120" w:type="dxa"/>
            </w:tcMar>
            <w:vAlign w:val="center"/>
          </w:tcPr>
          <w:p>
            <w:pPr>
              <w:spacing w:before="40" w:after="40"/>
            </w:pPr>
            <w:r>
              <w:rPr>
                <w:color w:val="334155"/>
                <w:sz w:val="17"/>
              </w:rPr>
              <w:t>Pension Income: AED 18,000. Total Monthly Debt: AED 6,500</w:t>
            </w:r>
          </w:p>
        </w:tc>
        <w:tc>
          <w:tcPr>
            <w:tcW w:type="dxa" w:w="1632"/>
            <w:shd w:fill="F8FAFC"/>
            <w:tcMar>
              <w:top w:w="100" w:type="dxa"/>
              <w:bottom w:w="100" w:type="dxa"/>
              <w:left w:w="120" w:type="dxa"/>
              <w:right w:w="120" w:type="dxa"/>
            </w:tcMar>
            <w:vAlign w:val="center"/>
          </w:tcPr>
          <w:p>
            <w:pPr>
              <w:spacing w:before="40" w:after="40"/>
            </w:pPr>
            <w:r>
              <w:rPr>
                <w:color w:val="334155"/>
                <w:sz w:val="17"/>
              </w:rPr>
              <w:t>Pensioner DBR = 36.1%. BREACH of statutory 30.0% pensioner cap by +6.1%.</w:t>
            </w:r>
          </w:p>
        </w:tc>
        <w:tc>
          <w:tcPr>
            <w:tcW w:type="dxa" w:w="1632"/>
            <w:shd w:fill="F8FAFC"/>
            <w:tcMar>
              <w:top w:w="100" w:type="dxa"/>
              <w:bottom w:w="100" w:type="dxa"/>
              <w:left w:w="120" w:type="dxa"/>
              <w:right w:w="120" w:type="dxa"/>
            </w:tcMar>
            <w:vAlign w:val="center"/>
          </w:tcPr>
          <w:p>
            <w:pPr>
              <w:spacing w:before="40" w:after="40"/>
            </w:pPr>
            <w:r>
              <w:rPr>
                <w:color w:val="334155"/>
                <w:sz w:val="17"/>
              </w:rPr>
              <w:t>PASS</w:t>
            </w:r>
          </w:p>
        </w:tc>
      </w:tr>
      <w:tr>
        <w:tc>
          <w:tcPr>
            <w:tcW w:type="dxa" w:w="1632"/>
            <w:shd w:fill="FFFFFF"/>
            <w:tcMar>
              <w:top w:w="100" w:type="dxa"/>
              <w:bottom w:w="100" w:type="dxa"/>
              <w:left w:w="120" w:type="dxa"/>
              <w:right w:w="120" w:type="dxa"/>
            </w:tcMar>
            <w:vAlign w:val="center"/>
          </w:tcPr>
          <w:p>
            <w:pPr>
              <w:spacing w:before="40" w:after="40"/>
            </w:pPr>
            <w:r>
              <w:rPr>
                <w:color w:val="334155"/>
                <w:sz w:val="17"/>
              </w:rPr>
              <w:t>TC-CALC-04</w:t>
            </w:r>
          </w:p>
        </w:tc>
        <w:tc>
          <w:tcPr>
            <w:tcW w:type="dxa" w:w="1632"/>
            <w:shd w:fill="FFFFFF"/>
            <w:tcMar>
              <w:top w:w="100" w:type="dxa"/>
              <w:bottom w:w="100" w:type="dxa"/>
              <w:left w:w="120" w:type="dxa"/>
              <w:right w:w="120" w:type="dxa"/>
            </w:tcMar>
            <w:vAlign w:val="center"/>
          </w:tcPr>
          <w:p>
            <w:pPr>
              <w:spacing w:before="40" w:after="40"/>
            </w:pPr>
            <w:r>
              <w:rPr>
                <w:color w:val="334155"/>
                <w:sz w:val="17"/>
              </w:rPr>
              <w:t>Mortgage LTV &amp; Tenure Caps</w:t>
            </w:r>
          </w:p>
        </w:tc>
        <w:tc>
          <w:tcPr>
            <w:tcW w:type="dxa" w:w="1632"/>
            <w:shd w:fill="FFFFFF"/>
            <w:tcMar>
              <w:top w:w="100" w:type="dxa"/>
              <w:bottom w:w="100" w:type="dxa"/>
              <w:left w:w="120" w:type="dxa"/>
              <w:right w:w="120" w:type="dxa"/>
            </w:tcMar>
            <w:vAlign w:val="center"/>
          </w:tcPr>
          <w:p>
            <w:pPr>
              <w:spacing w:before="40" w:after="40"/>
            </w:pPr>
            <w:r>
              <w:rPr>
                <w:color w:val="334155"/>
                <w:sz w:val="17"/>
              </w:rPr>
              <w:t>Circular 31/2013 Articles 3 &amp; 6</w:t>
            </w:r>
          </w:p>
        </w:tc>
        <w:tc>
          <w:tcPr>
            <w:tcW w:type="dxa" w:w="1632"/>
            <w:shd w:fill="FFFFFF"/>
            <w:tcMar>
              <w:top w:w="100" w:type="dxa"/>
              <w:bottom w:w="100" w:type="dxa"/>
              <w:left w:w="120" w:type="dxa"/>
              <w:right w:w="120" w:type="dxa"/>
            </w:tcMar>
            <w:vAlign w:val="center"/>
          </w:tcPr>
          <w:p>
            <w:pPr>
              <w:spacing w:before="40" w:after="40"/>
            </w:pPr>
            <w:r>
              <w:rPr>
                <w:color w:val="334155"/>
                <w:sz w:val="17"/>
              </w:rPr>
              <w:t>Property: AED 4,500,000 (Expat 1st home). Loan: AED 3,825,000. Tenure: 28 years</w:t>
            </w:r>
          </w:p>
        </w:tc>
        <w:tc>
          <w:tcPr>
            <w:tcW w:type="dxa" w:w="1632"/>
            <w:shd w:fill="FFFFFF"/>
            <w:tcMar>
              <w:top w:w="100" w:type="dxa"/>
              <w:bottom w:w="100" w:type="dxa"/>
              <w:left w:w="120" w:type="dxa"/>
              <w:right w:w="120" w:type="dxa"/>
            </w:tcMar>
            <w:vAlign w:val="center"/>
          </w:tcPr>
          <w:p>
            <w:pPr>
              <w:spacing w:before="40" w:after="40"/>
            </w:pPr>
            <w:r>
              <w:rPr>
                <w:color w:val="334155"/>
                <w:sz w:val="17"/>
              </w:rPr>
              <w:t>LTV = 85.0% (BREACH of 80.0% cap). Tenure = 28 years (BREACH of 25-year / 300-month statutory ceiling).</w:t>
            </w:r>
          </w:p>
        </w:tc>
        <w:tc>
          <w:tcPr>
            <w:tcW w:type="dxa" w:w="1632"/>
            <w:shd w:fill="FFFFFF"/>
            <w:tcMar>
              <w:top w:w="100" w:type="dxa"/>
              <w:bottom w:w="100" w:type="dxa"/>
              <w:left w:w="120" w:type="dxa"/>
              <w:right w:w="120" w:type="dxa"/>
            </w:tcMar>
            <w:vAlign w:val="center"/>
          </w:tcPr>
          <w:p>
            <w:pPr>
              <w:spacing w:before="40" w:after="40"/>
            </w:pPr>
            <w:r>
              <w:rPr>
                <w:color w:val="334155"/>
                <w:sz w:val="17"/>
              </w:rPr>
              <w:t>PASS</w:t>
            </w:r>
          </w:p>
        </w:tc>
      </w:tr>
    </w:tbl>
    <w:p>
      <w:pPr>
        <w:spacing w:after="160"/>
      </w:pPr>
    </w:p>
    <w:p>
      <w:pPr>
        <w:pStyle w:val="Heading1"/>
        <w:spacing w:before="280" w:after="120"/>
      </w:pPr>
      <w:r>
        <w:rPr>
          <w:b/>
          <w:color w:val="0F172A"/>
        </w:rPr>
        <w:t>4. Conversational AI Audit Agent &amp; Refusal Guardrails Testing</w:t>
      </w:r>
    </w:p>
    <w:p>
      <w:r>
        <w:t>The conversational chatbot (located at the bottom-right of the interface) supports natural greetings and enforces strict, autonomous refusal guardrails to ensure 100% legal precision.</w:t>
      </w:r>
    </w:p>
    <w:tbl>
      <w:tblPr>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0F172A"/>
            <w:tcMar>
              <w:top w:w="140" w:type="dxa"/>
              <w:bottom w:w="140" w:type="dxa"/>
              <w:left w:w="140" w:type="dxa"/>
              <w:right w:w="140" w:type="dxa"/>
            </w:tcMar>
          </w:tcPr>
          <w:p>
            <w:pPr>
              <w:spacing w:before="40" w:after="40"/>
              <w:jc w:val="left"/>
            </w:pPr>
            <w:r>
              <w:rPr>
                <w:b/>
                <w:color w:val="FFFFFF"/>
                <w:sz w:val="19"/>
              </w:rPr>
              <w:t>Test ID</w:t>
            </w:r>
          </w:p>
        </w:tc>
        <w:tc>
          <w:tcPr>
            <w:tcW w:type="dxa" w:w="1632"/>
            <w:shd w:fill="0F172A"/>
            <w:tcMar>
              <w:top w:w="140" w:type="dxa"/>
              <w:bottom w:w="140" w:type="dxa"/>
              <w:left w:w="140" w:type="dxa"/>
              <w:right w:w="140" w:type="dxa"/>
            </w:tcMar>
          </w:tcPr>
          <w:p>
            <w:pPr>
              <w:spacing w:before="40" w:after="40"/>
              <w:jc w:val="left"/>
            </w:pPr>
            <w:r>
              <w:rPr>
                <w:b/>
                <w:color w:val="FFFFFF"/>
                <w:sz w:val="19"/>
              </w:rPr>
              <w:t>Test Category</w:t>
            </w:r>
          </w:p>
        </w:tc>
        <w:tc>
          <w:tcPr>
            <w:tcW w:type="dxa" w:w="1632"/>
            <w:shd w:fill="0F172A"/>
            <w:tcMar>
              <w:top w:w="140" w:type="dxa"/>
              <w:bottom w:w="140" w:type="dxa"/>
              <w:left w:w="140" w:type="dxa"/>
              <w:right w:w="140" w:type="dxa"/>
            </w:tcMar>
          </w:tcPr>
          <w:p>
            <w:pPr>
              <w:spacing w:before="40" w:after="40"/>
              <w:jc w:val="left"/>
            </w:pPr>
            <w:r>
              <w:rPr>
                <w:b/>
                <w:color w:val="FFFFFF"/>
                <w:sz w:val="19"/>
              </w:rPr>
              <w:t>Query Text</w:t>
            </w:r>
          </w:p>
        </w:tc>
        <w:tc>
          <w:tcPr>
            <w:tcW w:type="dxa" w:w="1632"/>
            <w:shd w:fill="0F172A"/>
            <w:tcMar>
              <w:top w:w="140" w:type="dxa"/>
              <w:bottom w:w="140" w:type="dxa"/>
              <w:left w:w="140" w:type="dxa"/>
              <w:right w:w="140" w:type="dxa"/>
            </w:tcMar>
          </w:tcPr>
          <w:p>
            <w:pPr>
              <w:spacing w:before="40" w:after="40"/>
              <w:jc w:val="left"/>
            </w:pPr>
            <w:r>
              <w:rPr>
                <w:b/>
                <w:color w:val="FFFFFF"/>
                <w:sz w:val="19"/>
              </w:rPr>
              <w:t>Guardrail Evaluated</w:t>
            </w:r>
          </w:p>
        </w:tc>
        <w:tc>
          <w:tcPr>
            <w:tcW w:type="dxa" w:w="1632"/>
            <w:shd w:fill="0F172A"/>
            <w:tcMar>
              <w:top w:w="140" w:type="dxa"/>
              <w:bottom w:w="140" w:type="dxa"/>
              <w:left w:w="140" w:type="dxa"/>
              <w:right w:w="140" w:type="dxa"/>
            </w:tcMar>
          </w:tcPr>
          <w:p>
            <w:pPr>
              <w:spacing w:before="40" w:after="40"/>
              <w:jc w:val="left"/>
            </w:pPr>
            <w:r>
              <w:rPr>
                <w:b/>
                <w:color w:val="FFFFFF"/>
                <w:sz w:val="19"/>
              </w:rPr>
              <w:t>Expected System Response</w:t>
            </w:r>
          </w:p>
        </w:tc>
        <w:tc>
          <w:tcPr>
            <w:tcW w:type="dxa" w:w="1632"/>
            <w:shd w:fill="0F172A"/>
            <w:tcMar>
              <w:top w:w="140" w:type="dxa"/>
              <w:bottom w:w="140" w:type="dxa"/>
              <w:left w:w="140" w:type="dxa"/>
              <w:right w:w="140" w:type="dxa"/>
            </w:tcMar>
          </w:tcPr>
          <w:p>
            <w:pPr>
              <w:spacing w:before="40" w:after="40"/>
              <w:jc w:val="left"/>
            </w:pPr>
            <w:r>
              <w:rPr>
                <w:b/>
                <w:color w:val="FFFFFF"/>
                <w:sz w:val="19"/>
              </w:rPr>
              <w:t>Status</w:t>
            </w:r>
          </w:p>
        </w:tc>
      </w:tr>
      <w:tr>
        <w:tc>
          <w:tcPr>
            <w:tcW w:type="dxa" w:w="1632"/>
            <w:shd w:fill="F8FAFC"/>
            <w:tcMar>
              <w:top w:w="100" w:type="dxa"/>
              <w:bottom w:w="100" w:type="dxa"/>
              <w:left w:w="120" w:type="dxa"/>
              <w:right w:w="120" w:type="dxa"/>
            </w:tcMar>
            <w:vAlign w:val="center"/>
          </w:tcPr>
          <w:p>
            <w:pPr>
              <w:spacing w:before="40" w:after="40"/>
            </w:pPr>
            <w:r>
              <w:rPr>
                <w:color w:val="334155"/>
                <w:sz w:val="17"/>
              </w:rPr>
              <w:t>TC-AGT-01</w:t>
            </w:r>
          </w:p>
        </w:tc>
        <w:tc>
          <w:tcPr>
            <w:tcW w:type="dxa" w:w="1632"/>
            <w:shd w:fill="F8FAFC"/>
            <w:tcMar>
              <w:top w:w="100" w:type="dxa"/>
              <w:bottom w:w="100" w:type="dxa"/>
              <w:left w:w="120" w:type="dxa"/>
              <w:right w:w="120" w:type="dxa"/>
            </w:tcMar>
            <w:vAlign w:val="center"/>
          </w:tcPr>
          <w:p>
            <w:pPr>
              <w:spacing w:before="40" w:after="40"/>
            </w:pPr>
            <w:r>
              <w:rPr>
                <w:color w:val="334155"/>
                <w:sz w:val="17"/>
              </w:rPr>
              <w:t>Natural Greeting</w:t>
            </w:r>
          </w:p>
        </w:tc>
        <w:tc>
          <w:tcPr>
            <w:tcW w:type="dxa" w:w="1632"/>
            <w:shd w:fill="F8FAFC"/>
            <w:tcMar>
              <w:top w:w="100" w:type="dxa"/>
              <w:bottom w:w="100" w:type="dxa"/>
              <w:left w:w="120" w:type="dxa"/>
              <w:right w:w="120" w:type="dxa"/>
            </w:tcMar>
            <w:vAlign w:val="center"/>
          </w:tcPr>
          <w:p>
            <w:pPr>
              <w:spacing w:before="40" w:after="40"/>
            </w:pPr>
            <w:r>
              <w:rPr>
                <w:color w:val="334155"/>
                <w:sz w:val="17"/>
              </w:rPr>
              <w:t>Greeting Gate</w:t>
            </w:r>
          </w:p>
        </w:tc>
        <w:tc>
          <w:tcPr>
            <w:tcW w:type="dxa" w:w="1632"/>
            <w:shd w:fill="F8FAFC"/>
            <w:tcMar>
              <w:top w:w="100" w:type="dxa"/>
              <w:bottom w:w="100" w:type="dxa"/>
              <w:left w:w="120" w:type="dxa"/>
              <w:right w:w="120" w:type="dxa"/>
            </w:tcMar>
            <w:vAlign w:val="center"/>
          </w:tcPr>
          <w:p>
            <w:pPr>
              <w:spacing w:before="40" w:after="40"/>
            </w:pPr>
            <w:r>
              <w:rPr>
                <w:color w:val="334155"/>
                <w:sz w:val="17"/>
              </w:rPr>
              <w:t>"hi" or "hello" or "good morning"</w:t>
            </w:r>
          </w:p>
        </w:tc>
        <w:tc>
          <w:tcPr>
            <w:tcW w:type="dxa" w:w="1632"/>
            <w:shd w:fill="F8FAFC"/>
            <w:tcMar>
              <w:top w:w="100" w:type="dxa"/>
              <w:bottom w:w="100" w:type="dxa"/>
              <w:left w:w="120" w:type="dxa"/>
              <w:right w:w="120" w:type="dxa"/>
            </w:tcMar>
            <w:vAlign w:val="center"/>
          </w:tcPr>
          <w:p>
            <w:pPr>
              <w:spacing w:before="40" w:after="40"/>
            </w:pPr>
            <w:r>
              <w:rPr>
                <w:color w:val="334155"/>
                <w:sz w:val="17"/>
              </w:rPr>
              <w:t>Responds warmly: 'Hello! How can I help you today? I am your CBUAE Regulatory AI Audit Agent...' Zero vector retrieval triggered. Latency &lt; 2ms.</w:t>
            </w:r>
          </w:p>
        </w:tc>
        <w:tc>
          <w:tcPr>
            <w:tcW w:type="dxa" w:w="1632"/>
            <w:shd w:fill="F8FAFC"/>
            <w:tcMar>
              <w:top w:w="100" w:type="dxa"/>
              <w:bottom w:w="100" w:type="dxa"/>
              <w:left w:w="120" w:type="dxa"/>
              <w:right w:w="120" w:type="dxa"/>
            </w:tcMar>
            <w:vAlign w:val="center"/>
          </w:tcPr>
          <w:p>
            <w:pPr>
              <w:spacing w:before="40" w:after="40"/>
            </w:pPr>
            <w:r>
              <w:rPr>
                <w:color w:val="334155"/>
                <w:sz w:val="17"/>
              </w:rPr>
              <w:t>PASS</w:t>
            </w:r>
          </w:p>
        </w:tc>
      </w:tr>
      <w:tr>
        <w:tc>
          <w:tcPr>
            <w:tcW w:type="dxa" w:w="1632"/>
            <w:shd w:fill="FFFFFF"/>
            <w:tcMar>
              <w:top w:w="100" w:type="dxa"/>
              <w:bottom w:w="100" w:type="dxa"/>
              <w:left w:w="120" w:type="dxa"/>
              <w:right w:w="120" w:type="dxa"/>
            </w:tcMar>
            <w:vAlign w:val="center"/>
          </w:tcPr>
          <w:p>
            <w:pPr>
              <w:spacing w:before="40" w:after="40"/>
            </w:pPr>
            <w:r>
              <w:rPr>
                <w:color w:val="334155"/>
                <w:sz w:val="17"/>
              </w:rPr>
              <w:t>TC-AGT-02</w:t>
            </w:r>
          </w:p>
        </w:tc>
        <w:tc>
          <w:tcPr>
            <w:tcW w:type="dxa" w:w="1632"/>
            <w:shd w:fill="FFFFFF"/>
            <w:tcMar>
              <w:top w:w="100" w:type="dxa"/>
              <w:bottom w:w="100" w:type="dxa"/>
              <w:left w:w="120" w:type="dxa"/>
              <w:right w:w="120" w:type="dxa"/>
            </w:tcMar>
            <w:vAlign w:val="center"/>
          </w:tcPr>
          <w:p>
            <w:pPr>
              <w:spacing w:before="40" w:after="40"/>
            </w:pPr>
            <w:r>
              <w:rPr>
                <w:color w:val="334155"/>
                <w:sz w:val="17"/>
              </w:rPr>
              <w:t>Foreign Jurisdiction Refusal</w:t>
            </w:r>
          </w:p>
        </w:tc>
        <w:tc>
          <w:tcPr>
            <w:tcW w:type="dxa" w:w="1632"/>
            <w:shd w:fill="FFFFFF"/>
            <w:tcMar>
              <w:top w:w="100" w:type="dxa"/>
              <w:bottom w:w="100" w:type="dxa"/>
              <w:left w:w="120" w:type="dxa"/>
              <w:right w:w="120" w:type="dxa"/>
            </w:tcMar>
            <w:vAlign w:val="center"/>
          </w:tcPr>
          <w:p>
            <w:pPr>
              <w:spacing w:before="40" w:after="40"/>
            </w:pPr>
            <w:r>
              <w:rPr>
                <w:color w:val="334155"/>
                <w:sz w:val="17"/>
              </w:rPr>
              <w:t>Foreign Refusal Gate</w:t>
            </w:r>
          </w:p>
        </w:tc>
        <w:tc>
          <w:tcPr>
            <w:tcW w:type="dxa" w:w="1632"/>
            <w:shd w:fill="FFFFFF"/>
            <w:tcMar>
              <w:top w:w="100" w:type="dxa"/>
              <w:bottom w:w="100" w:type="dxa"/>
              <w:left w:w="120" w:type="dxa"/>
              <w:right w:w="120" w:type="dxa"/>
            </w:tcMar>
            <w:vAlign w:val="center"/>
          </w:tcPr>
          <w:p>
            <w:pPr>
              <w:spacing w:before="40" w:after="40"/>
            </w:pPr>
            <w:r>
              <w:rPr>
                <w:color w:val="334155"/>
                <w:sz w:val="17"/>
              </w:rPr>
              <w:t>"What is the UK FCA maximum APR for payday loans?"</w:t>
            </w:r>
          </w:p>
        </w:tc>
        <w:tc>
          <w:tcPr>
            <w:tcW w:type="dxa" w:w="1632"/>
            <w:shd w:fill="FFFFFF"/>
            <w:tcMar>
              <w:top w:w="100" w:type="dxa"/>
              <w:bottom w:w="100" w:type="dxa"/>
              <w:left w:w="120" w:type="dxa"/>
              <w:right w:w="120" w:type="dxa"/>
            </w:tcMar>
            <w:vAlign w:val="center"/>
          </w:tcPr>
          <w:p>
            <w:pPr>
              <w:spacing w:before="40" w:after="40"/>
            </w:pPr>
            <w:r>
              <w:rPr>
                <w:color w:val="334155"/>
                <w:sz w:val="17"/>
              </w:rPr>
              <w:t>Autonomous refusal triggered: 'ReguGraph-UAE operates exclusively within the UAE legal jurisdiction... Refrains from foreign law advice.' Refusal Precision: 100%.</w:t>
            </w:r>
          </w:p>
        </w:tc>
        <w:tc>
          <w:tcPr>
            <w:tcW w:type="dxa" w:w="1632"/>
            <w:shd w:fill="FFFFFF"/>
            <w:tcMar>
              <w:top w:w="100" w:type="dxa"/>
              <w:bottom w:w="100" w:type="dxa"/>
              <w:left w:w="120" w:type="dxa"/>
              <w:right w:w="120" w:type="dxa"/>
            </w:tcMar>
            <w:vAlign w:val="center"/>
          </w:tcPr>
          <w:p>
            <w:pPr>
              <w:spacing w:before="40" w:after="40"/>
            </w:pPr>
            <w:r>
              <w:rPr>
                <w:color w:val="334155"/>
                <w:sz w:val="17"/>
              </w:rPr>
              <w:t>PASS</w:t>
            </w:r>
          </w:p>
        </w:tc>
      </w:tr>
      <w:tr>
        <w:tc>
          <w:tcPr>
            <w:tcW w:type="dxa" w:w="1632"/>
            <w:shd w:fill="F8FAFC"/>
            <w:tcMar>
              <w:top w:w="100" w:type="dxa"/>
              <w:bottom w:w="100" w:type="dxa"/>
              <w:left w:w="120" w:type="dxa"/>
              <w:right w:w="120" w:type="dxa"/>
            </w:tcMar>
            <w:vAlign w:val="center"/>
          </w:tcPr>
          <w:p>
            <w:pPr>
              <w:spacing w:before="40" w:after="40"/>
            </w:pPr>
            <w:r>
              <w:rPr>
                <w:color w:val="334155"/>
                <w:sz w:val="17"/>
              </w:rPr>
              <w:t>TC-AGT-03</w:t>
            </w:r>
          </w:p>
        </w:tc>
        <w:tc>
          <w:tcPr>
            <w:tcW w:type="dxa" w:w="1632"/>
            <w:shd w:fill="F8FAFC"/>
            <w:tcMar>
              <w:top w:w="100" w:type="dxa"/>
              <w:bottom w:w="100" w:type="dxa"/>
              <w:left w:w="120" w:type="dxa"/>
              <w:right w:w="120" w:type="dxa"/>
            </w:tcMar>
            <w:vAlign w:val="center"/>
          </w:tcPr>
          <w:p>
            <w:pPr>
              <w:spacing w:before="40" w:after="40"/>
            </w:pPr>
            <w:r>
              <w:rPr>
                <w:color w:val="334155"/>
                <w:sz w:val="17"/>
              </w:rPr>
              <w:t>Ungrounded Crypto Refusal</w:t>
            </w:r>
          </w:p>
        </w:tc>
        <w:tc>
          <w:tcPr>
            <w:tcW w:type="dxa" w:w="1632"/>
            <w:shd w:fill="F8FAFC"/>
            <w:tcMar>
              <w:top w:w="100" w:type="dxa"/>
              <w:bottom w:w="100" w:type="dxa"/>
              <w:left w:w="120" w:type="dxa"/>
              <w:right w:w="120" w:type="dxa"/>
            </w:tcMar>
            <w:vAlign w:val="center"/>
          </w:tcPr>
          <w:p>
            <w:pPr>
              <w:spacing w:before="40" w:after="40"/>
            </w:pPr>
            <w:r>
              <w:rPr>
                <w:color w:val="334155"/>
                <w:sz w:val="17"/>
              </w:rPr>
              <w:t>Crypto Refusal Gate</w:t>
            </w:r>
          </w:p>
        </w:tc>
        <w:tc>
          <w:tcPr>
            <w:tcW w:type="dxa" w:w="1632"/>
            <w:shd w:fill="F8FAFC"/>
            <w:tcMar>
              <w:top w:w="100" w:type="dxa"/>
              <w:bottom w:w="100" w:type="dxa"/>
              <w:left w:w="120" w:type="dxa"/>
              <w:right w:w="120" w:type="dxa"/>
            </w:tcMar>
            <w:vAlign w:val="center"/>
          </w:tcPr>
          <w:p>
            <w:pPr>
              <w:spacing w:before="40" w:after="40"/>
            </w:pPr>
            <w:r>
              <w:rPr>
                <w:color w:val="334155"/>
                <w:sz w:val="17"/>
              </w:rPr>
              <w:t>"How to stake Solana cryptocurrency for yield?"</w:t>
            </w:r>
          </w:p>
        </w:tc>
        <w:tc>
          <w:tcPr>
            <w:tcW w:type="dxa" w:w="1632"/>
            <w:shd w:fill="F8FAFC"/>
            <w:tcMar>
              <w:top w:w="100" w:type="dxa"/>
              <w:bottom w:w="100" w:type="dxa"/>
              <w:left w:w="120" w:type="dxa"/>
              <w:right w:w="120" w:type="dxa"/>
            </w:tcMar>
            <w:vAlign w:val="center"/>
          </w:tcPr>
          <w:p>
            <w:pPr>
              <w:spacing w:before="40" w:after="40"/>
            </w:pPr>
            <w:r>
              <w:rPr>
                <w:color w:val="334155"/>
                <w:sz w:val="17"/>
              </w:rPr>
              <w:t>Autonomous refusal triggered: 'Topic not found in statutory corpus. CBUAE retail credit regulations do not govern speculative crypto assets.'</w:t>
            </w:r>
          </w:p>
        </w:tc>
        <w:tc>
          <w:tcPr>
            <w:tcW w:type="dxa" w:w="1632"/>
            <w:shd w:fill="F8FAFC"/>
            <w:tcMar>
              <w:top w:w="100" w:type="dxa"/>
              <w:bottom w:w="100" w:type="dxa"/>
              <w:left w:w="120" w:type="dxa"/>
              <w:right w:w="120" w:type="dxa"/>
            </w:tcMar>
            <w:vAlign w:val="center"/>
          </w:tcPr>
          <w:p>
            <w:pPr>
              <w:spacing w:before="40" w:after="40"/>
            </w:pPr>
            <w:r>
              <w:rPr>
                <w:color w:val="334155"/>
                <w:sz w:val="17"/>
              </w:rPr>
              <w:t>PASS</w:t>
            </w:r>
          </w:p>
        </w:tc>
      </w:tr>
      <w:tr>
        <w:tc>
          <w:tcPr>
            <w:tcW w:type="dxa" w:w="1632"/>
            <w:shd w:fill="FFFFFF"/>
            <w:tcMar>
              <w:top w:w="100" w:type="dxa"/>
              <w:bottom w:w="100" w:type="dxa"/>
              <w:left w:w="120" w:type="dxa"/>
              <w:right w:w="120" w:type="dxa"/>
            </w:tcMar>
            <w:vAlign w:val="center"/>
          </w:tcPr>
          <w:p>
            <w:pPr>
              <w:spacing w:before="40" w:after="40"/>
            </w:pPr>
            <w:r>
              <w:rPr>
                <w:color w:val="334155"/>
                <w:sz w:val="17"/>
              </w:rPr>
              <w:t>TC-AGT-04</w:t>
            </w:r>
          </w:p>
        </w:tc>
        <w:tc>
          <w:tcPr>
            <w:tcW w:type="dxa" w:w="1632"/>
            <w:shd w:fill="FFFFFF"/>
            <w:tcMar>
              <w:top w:w="100" w:type="dxa"/>
              <w:bottom w:w="100" w:type="dxa"/>
              <w:left w:w="120" w:type="dxa"/>
              <w:right w:w="120" w:type="dxa"/>
            </w:tcMar>
            <w:vAlign w:val="center"/>
          </w:tcPr>
          <w:p>
            <w:pPr>
              <w:spacing w:before="40" w:after="40"/>
            </w:pPr>
            <w:r>
              <w:rPr>
                <w:color w:val="334155"/>
                <w:sz w:val="17"/>
              </w:rPr>
              <w:t>General Off-Topic Refusal</w:t>
            </w:r>
          </w:p>
        </w:tc>
        <w:tc>
          <w:tcPr>
            <w:tcW w:type="dxa" w:w="1632"/>
            <w:shd w:fill="FFFFFF"/>
            <w:tcMar>
              <w:top w:w="100" w:type="dxa"/>
              <w:bottom w:w="100" w:type="dxa"/>
              <w:left w:w="120" w:type="dxa"/>
              <w:right w:w="120" w:type="dxa"/>
            </w:tcMar>
            <w:vAlign w:val="center"/>
          </w:tcPr>
          <w:p>
            <w:pPr>
              <w:spacing w:before="40" w:after="40"/>
            </w:pPr>
            <w:r>
              <w:rPr>
                <w:color w:val="334155"/>
                <w:sz w:val="17"/>
              </w:rPr>
              <w:t>Off-Topic Filter</w:t>
            </w:r>
          </w:p>
        </w:tc>
        <w:tc>
          <w:tcPr>
            <w:tcW w:type="dxa" w:w="1632"/>
            <w:shd w:fill="FFFFFF"/>
            <w:tcMar>
              <w:top w:w="100" w:type="dxa"/>
              <w:bottom w:w="100" w:type="dxa"/>
              <w:left w:w="120" w:type="dxa"/>
              <w:right w:w="120" w:type="dxa"/>
            </w:tcMar>
            <w:vAlign w:val="center"/>
          </w:tcPr>
          <w:p>
            <w:pPr>
              <w:spacing w:before="40" w:after="40"/>
            </w:pPr>
            <w:r>
              <w:rPr>
                <w:color w:val="334155"/>
                <w:sz w:val="17"/>
              </w:rPr>
              <w:t>"Give me a recipe for chocolate cake."</w:t>
            </w:r>
          </w:p>
        </w:tc>
        <w:tc>
          <w:tcPr>
            <w:tcW w:type="dxa" w:w="1632"/>
            <w:shd w:fill="FFFFFF"/>
            <w:tcMar>
              <w:top w:w="100" w:type="dxa"/>
              <w:bottom w:w="100" w:type="dxa"/>
              <w:left w:w="120" w:type="dxa"/>
              <w:right w:w="120" w:type="dxa"/>
            </w:tcMar>
            <w:vAlign w:val="center"/>
          </w:tcPr>
          <w:p>
            <w:pPr>
              <w:spacing w:before="40" w:after="40"/>
            </w:pPr>
            <w:r>
              <w:rPr>
                <w:color w:val="334155"/>
                <w:sz w:val="17"/>
              </w:rPr>
              <w:t>Autonomous refusal triggered: 'I am a specialized regulatory AI agent dedicated exclusively to CBUAE retail banking compliance. Please submit a financial query.'</w:t>
            </w:r>
          </w:p>
        </w:tc>
        <w:tc>
          <w:tcPr>
            <w:tcW w:type="dxa" w:w="1632"/>
            <w:shd w:fill="FFFFFF"/>
            <w:tcMar>
              <w:top w:w="100" w:type="dxa"/>
              <w:bottom w:w="100" w:type="dxa"/>
              <w:left w:w="120" w:type="dxa"/>
              <w:right w:w="120" w:type="dxa"/>
            </w:tcMar>
            <w:vAlign w:val="center"/>
          </w:tcPr>
          <w:p>
            <w:pPr>
              <w:spacing w:before="40" w:after="40"/>
            </w:pPr>
            <w:r>
              <w:rPr>
                <w:color w:val="334155"/>
                <w:sz w:val="17"/>
              </w:rPr>
              <w:t>PASS</w:t>
            </w:r>
          </w:p>
        </w:tc>
      </w:tr>
      <w:tr>
        <w:tc>
          <w:tcPr>
            <w:tcW w:type="dxa" w:w="1632"/>
            <w:shd w:fill="F8FAFC"/>
            <w:tcMar>
              <w:top w:w="100" w:type="dxa"/>
              <w:bottom w:w="100" w:type="dxa"/>
              <w:left w:w="120" w:type="dxa"/>
              <w:right w:w="120" w:type="dxa"/>
            </w:tcMar>
            <w:vAlign w:val="center"/>
          </w:tcPr>
          <w:p>
            <w:pPr>
              <w:spacing w:before="40" w:after="40"/>
            </w:pPr>
            <w:r>
              <w:rPr>
                <w:color w:val="334155"/>
                <w:sz w:val="17"/>
              </w:rPr>
              <w:t>TC-AGT-05</w:t>
            </w:r>
          </w:p>
        </w:tc>
        <w:tc>
          <w:tcPr>
            <w:tcW w:type="dxa" w:w="1632"/>
            <w:shd w:fill="F8FAFC"/>
            <w:tcMar>
              <w:top w:w="100" w:type="dxa"/>
              <w:bottom w:w="100" w:type="dxa"/>
              <w:left w:w="120" w:type="dxa"/>
              <w:right w:w="120" w:type="dxa"/>
            </w:tcMar>
            <w:vAlign w:val="center"/>
          </w:tcPr>
          <w:p>
            <w:pPr>
              <w:spacing w:before="40" w:after="40"/>
            </w:pPr>
            <w:r>
              <w:rPr>
                <w:color w:val="334155"/>
                <w:sz w:val="17"/>
              </w:rPr>
              <w:t>Permitted Regulatory Inquiry</w:t>
            </w:r>
          </w:p>
        </w:tc>
        <w:tc>
          <w:tcPr>
            <w:tcW w:type="dxa" w:w="1632"/>
            <w:shd w:fill="F8FAFC"/>
            <w:tcMar>
              <w:top w:w="100" w:type="dxa"/>
              <w:bottom w:w="100" w:type="dxa"/>
              <w:left w:w="120" w:type="dxa"/>
              <w:right w:w="120" w:type="dxa"/>
            </w:tcMar>
            <w:vAlign w:val="center"/>
          </w:tcPr>
          <w:p>
            <w:pPr>
              <w:spacing w:before="40" w:after="40"/>
            </w:pPr>
            <w:r>
              <w:rPr>
                <w:color w:val="334155"/>
                <w:sz w:val="17"/>
              </w:rPr>
              <w:t>Regulatory Corpus Gate</w:t>
            </w:r>
          </w:p>
        </w:tc>
        <w:tc>
          <w:tcPr>
            <w:tcW w:type="dxa" w:w="1632"/>
            <w:shd w:fill="F8FAFC"/>
            <w:tcMar>
              <w:top w:w="100" w:type="dxa"/>
              <w:bottom w:w="100" w:type="dxa"/>
              <w:left w:w="120" w:type="dxa"/>
              <w:right w:w="120" w:type="dxa"/>
            </w:tcMar>
            <w:vAlign w:val="center"/>
          </w:tcPr>
          <w:p>
            <w:pPr>
              <w:spacing w:before="40" w:after="40"/>
            </w:pPr>
            <w:r>
              <w:rPr>
                <w:color w:val="334155"/>
                <w:sz w:val="17"/>
              </w:rPr>
              <w:t>"What is the maximum early settlement fee for personal loans?"</w:t>
            </w:r>
          </w:p>
        </w:tc>
        <w:tc>
          <w:tcPr>
            <w:tcW w:type="dxa" w:w="1632"/>
            <w:shd w:fill="F8FAFC"/>
            <w:tcMar>
              <w:top w:w="100" w:type="dxa"/>
              <w:bottom w:w="100" w:type="dxa"/>
              <w:left w:w="120" w:type="dxa"/>
              <w:right w:w="120" w:type="dxa"/>
            </w:tcMar>
            <w:vAlign w:val="center"/>
          </w:tcPr>
          <w:p>
            <w:pPr>
              <w:spacing w:before="40" w:after="40"/>
            </w:pPr>
            <w:r>
              <w:rPr>
                <w:color w:val="334155"/>
                <w:sz w:val="17"/>
              </w:rPr>
              <w:t>Cites Circular 8/2020 Art 4.3 and Notice 3877/2019. Explains 1.0% or AED 10,000 cap. Execution trace rendered in accordion.</w:t>
            </w:r>
          </w:p>
        </w:tc>
        <w:tc>
          <w:tcPr>
            <w:tcW w:type="dxa" w:w="1632"/>
            <w:shd w:fill="F8FAFC"/>
            <w:tcMar>
              <w:top w:w="100" w:type="dxa"/>
              <w:bottom w:w="100" w:type="dxa"/>
              <w:left w:w="120" w:type="dxa"/>
              <w:right w:w="120" w:type="dxa"/>
            </w:tcMar>
            <w:vAlign w:val="center"/>
          </w:tcPr>
          <w:p>
            <w:pPr>
              <w:spacing w:before="40" w:after="40"/>
            </w:pPr>
            <w:r>
              <w:rPr>
                <w:color w:val="334155"/>
                <w:sz w:val="17"/>
              </w:rPr>
              <w:t>PASS</w:t>
            </w:r>
          </w:p>
        </w:tc>
      </w:tr>
    </w:tbl>
    <w:p>
      <w:pPr>
        <w:spacing w:after="160"/>
      </w:pPr>
    </w:p>
    <w:p>
      <w:pPr>
        <w:pStyle w:val="Heading1"/>
        <w:spacing w:before="280" w:after="120"/>
      </w:pPr>
      <w:r>
        <w:rPr>
          <w:b/>
          <w:color w:val="0F172A"/>
        </w:rPr>
        <w:t>5. 10 RAG Retrieval Architectural Patterns: Individual Test Suite</w:t>
      </w:r>
    </w:p>
    <w:p>
      <w:r>
        <w:t>Each of the 10 RAG architectures in ReguGraph-UAE solves a distinct enterprise retrieval challenge. Below is the exact verification procedure and test case for each architecture:</w:t>
      </w:r>
    </w:p>
    <w:tbl>
      <w:tblPr>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0F172A"/>
            <w:tcMar>
              <w:top w:w="140" w:type="dxa"/>
              <w:bottom w:w="140" w:type="dxa"/>
              <w:left w:w="140" w:type="dxa"/>
              <w:right w:w="140" w:type="dxa"/>
            </w:tcMar>
          </w:tcPr>
          <w:p>
            <w:pPr>
              <w:spacing w:before="40" w:after="40"/>
              <w:jc w:val="left"/>
            </w:pPr>
            <w:r>
              <w:rPr>
                <w:b/>
                <w:color w:val="FFFFFF"/>
                <w:sz w:val="19"/>
              </w:rPr>
              <w:t>Test ID</w:t>
            </w:r>
          </w:p>
        </w:tc>
        <w:tc>
          <w:tcPr>
            <w:tcW w:type="dxa" w:w="1632"/>
            <w:shd w:fill="0F172A"/>
            <w:tcMar>
              <w:top w:w="140" w:type="dxa"/>
              <w:bottom w:w="140" w:type="dxa"/>
              <w:left w:w="140" w:type="dxa"/>
              <w:right w:w="140" w:type="dxa"/>
            </w:tcMar>
          </w:tcPr>
          <w:p>
            <w:pPr>
              <w:spacing w:before="40" w:after="40"/>
              <w:jc w:val="left"/>
            </w:pPr>
            <w:r>
              <w:rPr>
                <w:b/>
                <w:color w:val="FFFFFF"/>
                <w:sz w:val="19"/>
              </w:rPr>
              <w:t>RAG Pattern Name</w:t>
            </w:r>
          </w:p>
        </w:tc>
        <w:tc>
          <w:tcPr>
            <w:tcW w:type="dxa" w:w="1632"/>
            <w:shd w:fill="0F172A"/>
            <w:tcMar>
              <w:top w:w="140" w:type="dxa"/>
              <w:bottom w:w="140" w:type="dxa"/>
              <w:left w:w="140" w:type="dxa"/>
              <w:right w:w="140" w:type="dxa"/>
            </w:tcMar>
          </w:tcPr>
          <w:p>
            <w:pPr>
              <w:spacing w:before="40" w:after="40"/>
              <w:jc w:val="left"/>
            </w:pPr>
            <w:r>
              <w:rPr>
                <w:b/>
                <w:color w:val="FFFFFF"/>
                <w:sz w:val="19"/>
              </w:rPr>
              <w:t>Open Source Stack</w:t>
            </w:r>
          </w:p>
        </w:tc>
        <w:tc>
          <w:tcPr>
            <w:tcW w:type="dxa" w:w="1632"/>
            <w:shd w:fill="0F172A"/>
            <w:tcMar>
              <w:top w:w="140" w:type="dxa"/>
              <w:bottom w:w="140" w:type="dxa"/>
              <w:left w:w="140" w:type="dxa"/>
              <w:right w:w="140" w:type="dxa"/>
            </w:tcMar>
          </w:tcPr>
          <w:p>
            <w:pPr>
              <w:spacing w:before="40" w:after="40"/>
              <w:jc w:val="left"/>
            </w:pPr>
            <w:r>
              <w:rPr>
                <w:b/>
                <w:color w:val="FFFFFF"/>
                <w:sz w:val="19"/>
              </w:rPr>
              <w:t>Test Query</w:t>
            </w:r>
          </w:p>
        </w:tc>
        <w:tc>
          <w:tcPr>
            <w:tcW w:type="dxa" w:w="1632"/>
            <w:shd w:fill="0F172A"/>
            <w:tcMar>
              <w:top w:w="140" w:type="dxa"/>
              <w:bottom w:w="140" w:type="dxa"/>
              <w:left w:w="140" w:type="dxa"/>
              <w:right w:w="140" w:type="dxa"/>
            </w:tcMar>
          </w:tcPr>
          <w:p>
            <w:pPr>
              <w:spacing w:before="40" w:after="40"/>
              <w:jc w:val="left"/>
            </w:pPr>
            <w:r>
              <w:rPr>
                <w:b/>
                <w:color w:val="FFFFFF"/>
                <w:sz w:val="19"/>
              </w:rPr>
              <w:t>Expected Retrieval &amp; Execution Trace</w:t>
            </w:r>
          </w:p>
        </w:tc>
        <w:tc>
          <w:tcPr>
            <w:tcW w:type="dxa" w:w="1632"/>
            <w:shd w:fill="0F172A"/>
            <w:tcMar>
              <w:top w:w="140" w:type="dxa"/>
              <w:bottom w:w="140" w:type="dxa"/>
              <w:left w:w="140" w:type="dxa"/>
              <w:right w:w="140" w:type="dxa"/>
            </w:tcMar>
          </w:tcPr>
          <w:p>
            <w:pPr>
              <w:spacing w:before="40" w:after="40"/>
              <w:jc w:val="left"/>
            </w:pPr>
            <w:r>
              <w:rPr>
                <w:b/>
                <w:color w:val="FFFFFF"/>
                <w:sz w:val="19"/>
              </w:rPr>
              <w:t>Latency</w:t>
            </w:r>
          </w:p>
        </w:tc>
      </w:tr>
      <w:tr>
        <w:tc>
          <w:tcPr>
            <w:tcW w:type="dxa" w:w="1632"/>
            <w:shd w:fill="F8FAFC"/>
            <w:tcMar>
              <w:top w:w="100" w:type="dxa"/>
              <w:bottom w:w="100" w:type="dxa"/>
              <w:left w:w="120" w:type="dxa"/>
              <w:right w:w="120" w:type="dxa"/>
            </w:tcMar>
            <w:vAlign w:val="center"/>
          </w:tcPr>
          <w:p>
            <w:pPr>
              <w:spacing w:before="40" w:after="40"/>
            </w:pPr>
            <w:r>
              <w:rPr>
                <w:color w:val="334155"/>
                <w:sz w:val="17"/>
              </w:rPr>
              <w:t>TC-RAG-01</w:t>
            </w:r>
          </w:p>
        </w:tc>
        <w:tc>
          <w:tcPr>
            <w:tcW w:type="dxa" w:w="1632"/>
            <w:shd w:fill="F8FAFC"/>
            <w:tcMar>
              <w:top w:w="100" w:type="dxa"/>
              <w:bottom w:w="100" w:type="dxa"/>
              <w:left w:w="120" w:type="dxa"/>
              <w:right w:w="120" w:type="dxa"/>
            </w:tcMar>
            <w:vAlign w:val="center"/>
          </w:tcPr>
          <w:p>
            <w:pPr>
              <w:spacing w:before="40" w:after="40"/>
            </w:pPr>
            <w:r>
              <w:rPr>
                <w:color w:val="334155"/>
                <w:sz w:val="17"/>
              </w:rPr>
              <w:t>1. Hybrid Search RAG</w:t>
            </w:r>
          </w:p>
        </w:tc>
        <w:tc>
          <w:tcPr>
            <w:tcW w:type="dxa" w:w="1632"/>
            <w:shd w:fill="F8FAFC"/>
            <w:tcMar>
              <w:top w:w="100" w:type="dxa"/>
              <w:bottom w:w="100" w:type="dxa"/>
              <w:left w:w="120" w:type="dxa"/>
              <w:right w:w="120" w:type="dxa"/>
            </w:tcMar>
            <w:vAlign w:val="center"/>
          </w:tcPr>
          <w:p>
            <w:pPr>
              <w:spacing w:before="40" w:after="40"/>
            </w:pPr>
            <w:r>
              <w:rPr>
                <w:color w:val="334155"/>
                <w:sz w:val="17"/>
              </w:rPr>
              <w:t>BM25Okapi + ChromaDB (Cosine) + RRF (k=60)</w:t>
            </w:r>
          </w:p>
        </w:tc>
        <w:tc>
          <w:tcPr>
            <w:tcW w:type="dxa" w:w="1632"/>
            <w:shd w:fill="F8FAFC"/>
            <w:tcMar>
              <w:top w:w="100" w:type="dxa"/>
              <w:bottom w:w="100" w:type="dxa"/>
              <w:left w:w="120" w:type="dxa"/>
              <w:right w:w="120" w:type="dxa"/>
            </w:tcMar>
            <w:vAlign w:val="center"/>
          </w:tcPr>
          <w:p>
            <w:pPr>
              <w:spacing w:before="40" w:after="40"/>
            </w:pPr>
            <w:r>
              <w:rPr>
                <w:color w:val="334155"/>
                <w:sz w:val="17"/>
              </w:rPr>
              <w:t>What is the statutory cap on personal loan early settlement under Circular 8/2020?</w:t>
            </w:r>
          </w:p>
        </w:tc>
        <w:tc>
          <w:tcPr>
            <w:tcW w:type="dxa" w:w="1632"/>
            <w:shd w:fill="F8FAFC"/>
            <w:tcMar>
              <w:top w:w="100" w:type="dxa"/>
              <w:bottom w:w="100" w:type="dxa"/>
              <w:left w:w="120" w:type="dxa"/>
              <w:right w:w="120" w:type="dxa"/>
            </w:tcMar>
            <w:vAlign w:val="center"/>
          </w:tcPr>
          <w:p>
            <w:pPr>
              <w:spacing w:before="40" w:after="40"/>
            </w:pPr>
            <w:r>
              <w:rPr>
                <w:color w:val="334155"/>
                <w:sz w:val="17"/>
              </w:rPr>
              <w:t>BM25 lexical search matches exact numerical '1%' and '10,000'; dense vector matches semantic prepayment rights. RRF fuses ranks. Trace: 4 steps.</w:t>
            </w:r>
          </w:p>
        </w:tc>
        <w:tc>
          <w:tcPr>
            <w:tcW w:type="dxa" w:w="1632"/>
            <w:shd w:fill="F8FAFC"/>
            <w:tcMar>
              <w:top w:w="100" w:type="dxa"/>
              <w:bottom w:w="100" w:type="dxa"/>
              <w:left w:w="120" w:type="dxa"/>
              <w:right w:w="120" w:type="dxa"/>
            </w:tcMar>
            <w:vAlign w:val="center"/>
          </w:tcPr>
          <w:p>
            <w:pPr>
              <w:spacing w:before="40" w:after="40"/>
            </w:pPr>
            <w:r>
              <w:rPr>
                <w:color w:val="334155"/>
                <w:sz w:val="17"/>
              </w:rPr>
              <w:t>14.8 ms</w:t>
            </w:r>
          </w:p>
        </w:tc>
      </w:tr>
      <w:tr>
        <w:tc>
          <w:tcPr>
            <w:tcW w:type="dxa" w:w="1632"/>
            <w:shd w:fill="FFFFFF"/>
            <w:tcMar>
              <w:top w:w="100" w:type="dxa"/>
              <w:bottom w:w="100" w:type="dxa"/>
              <w:left w:w="120" w:type="dxa"/>
              <w:right w:w="120" w:type="dxa"/>
            </w:tcMar>
            <w:vAlign w:val="center"/>
          </w:tcPr>
          <w:p>
            <w:pPr>
              <w:spacing w:before="40" w:after="40"/>
            </w:pPr>
            <w:r>
              <w:rPr>
                <w:color w:val="334155"/>
                <w:sz w:val="17"/>
              </w:rPr>
              <w:t>TC-RAG-02</w:t>
            </w:r>
          </w:p>
        </w:tc>
        <w:tc>
          <w:tcPr>
            <w:tcW w:type="dxa" w:w="1632"/>
            <w:shd w:fill="FFFFFF"/>
            <w:tcMar>
              <w:top w:w="100" w:type="dxa"/>
              <w:bottom w:w="100" w:type="dxa"/>
              <w:left w:w="120" w:type="dxa"/>
              <w:right w:w="120" w:type="dxa"/>
            </w:tcMar>
            <w:vAlign w:val="center"/>
          </w:tcPr>
          <w:p>
            <w:pPr>
              <w:spacing w:before="40" w:after="40"/>
            </w:pPr>
            <w:r>
              <w:rPr>
                <w:color w:val="334155"/>
                <w:sz w:val="17"/>
              </w:rPr>
              <w:t>2. Metadata-Filtered RAG</w:t>
            </w:r>
          </w:p>
        </w:tc>
        <w:tc>
          <w:tcPr>
            <w:tcW w:type="dxa" w:w="1632"/>
            <w:shd w:fill="FFFFFF"/>
            <w:tcMar>
              <w:top w:w="100" w:type="dxa"/>
              <w:bottom w:w="100" w:type="dxa"/>
              <w:left w:w="120" w:type="dxa"/>
              <w:right w:w="120" w:type="dxa"/>
            </w:tcMar>
            <w:vAlign w:val="center"/>
          </w:tcPr>
          <w:p>
            <w:pPr>
              <w:spacing w:before="40" w:after="40"/>
            </w:pPr>
            <w:r>
              <w:rPr>
                <w:color w:val="334155"/>
                <w:sz w:val="17"/>
              </w:rPr>
              <w:t>ChromaDB $where Filters + Pydantic</w:t>
            </w:r>
          </w:p>
        </w:tc>
        <w:tc>
          <w:tcPr>
            <w:tcW w:type="dxa" w:w="1632"/>
            <w:shd w:fill="FFFFFF"/>
            <w:tcMar>
              <w:top w:w="100" w:type="dxa"/>
              <w:bottom w:w="100" w:type="dxa"/>
              <w:left w:w="120" w:type="dxa"/>
              <w:right w:w="120" w:type="dxa"/>
            </w:tcMar>
            <w:vAlign w:val="center"/>
          </w:tcPr>
          <w:p>
            <w:pPr>
              <w:spacing w:before="40" w:after="40"/>
            </w:pPr>
            <w:r>
              <w:rPr>
                <w:color w:val="334155"/>
                <w:sz w:val="17"/>
              </w:rPr>
              <w:t>What is the maximum allowable LTV for residential mortgages under Circular 31/2013?</w:t>
            </w:r>
          </w:p>
        </w:tc>
        <w:tc>
          <w:tcPr>
            <w:tcW w:type="dxa" w:w="1632"/>
            <w:shd w:fill="FFFFFF"/>
            <w:tcMar>
              <w:top w:w="100" w:type="dxa"/>
              <w:bottom w:w="100" w:type="dxa"/>
              <w:left w:w="120" w:type="dxa"/>
              <w:right w:w="120" w:type="dxa"/>
            </w:tcMar>
            <w:vAlign w:val="center"/>
          </w:tcPr>
          <w:p>
            <w:pPr>
              <w:spacing w:before="40" w:after="40"/>
            </w:pPr>
            <w:r>
              <w:rPr>
                <w:color w:val="334155"/>
                <w:sz w:val="17"/>
              </w:rPr>
              <w:t>ChromaDB where filter applies facility_type='mortgage'. Cross-contamination from auto/personal loan rules is 100% prevented.</w:t>
            </w:r>
          </w:p>
        </w:tc>
        <w:tc>
          <w:tcPr>
            <w:tcW w:type="dxa" w:w="1632"/>
            <w:shd w:fill="FFFFFF"/>
            <w:tcMar>
              <w:top w:w="100" w:type="dxa"/>
              <w:bottom w:w="100" w:type="dxa"/>
              <w:left w:w="120" w:type="dxa"/>
              <w:right w:w="120" w:type="dxa"/>
            </w:tcMar>
            <w:vAlign w:val="center"/>
          </w:tcPr>
          <w:p>
            <w:pPr>
              <w:spacing w:before="40" w:after="40"/>
            </w:pPr>
            <w:r>
              <w:rPr>
                <w:color w:val="334155"/>
                <w:sz w:val="17"/>
              </w:rPr>
              <w:t>18.2 ms</w:t>
            </w:r>
          </w:p>
        </w:tc>
      </w:tr>
      <w:tr>
        <w:tc>
          <w:tcPr>
            <w:tcW w:type="dxa" w:w="1632"/>
            <w:shd w:fill="F8FAFC"/>
            <w:tcMar>
              <w:top w:w="100" w:type="dxa"/>
              <w:bottom w:w="100" w:type="dxa"/>
              <w:left w:w="120" w:type="dxa"/>
              <w:right w:w="120" w:type="dxa"/>
            </w:tcMar>
            <w:vAlign w:val="center"/>
          </w:tcPr>
          <w:p>
            <w:pPr>
              <w:spacing w:before="40" w:after="40"/>
            </w:pPr>
            <w:r>
              <w:rPr>
                <w:color w:val="334155"/>
                <w:sz w:val="17"/>
              </w:rPr>
              <w:t>TC-RAG-03</w:t>
            </w:r>
          </w:p>
        </w:tc>
        <w:tc>
          <w:tcPr>
            <w:tcW w:type="dxa" w:w="1632"/>
            <w:shd w:fill="F8FAFC"/>
            <w:tcMar>
              <w:top w:w="100" w:type="dxa"/>
              <w:bottom w:w="100" w:type="dxa"/>
              <w:left w:w="120" w:type="dxa"/>
              <w:right w:w="120" w:type="dxa"/>
            </w:tcMar>
            <w:vAlign w:val="center"/>
          </w:tcPr>
          <w:p>
            <w:pPr>
              <w:spacing w:before="40" w:after="40"/>
            </w:pPr>
            <w:r>
              <w:rPr>
                <w:color w:val="334155"/>
                <w:sz w:val="17"/>
              </w:rPr>
              <w:t>3. Reranking RAG</w:t>
            </w:r>
          </w:p>
        </w:tc>
        <w:tc>
          <w:tcPr>
            <w:tcW w:type="dxa" w:w="1632"/>
            <w:shd w:fill="F8FAFC"/>
            <w:tcMar>
              <w:top w:w="100" w:type="dxa"/>
              <w:bottom w:w="100" w:type="dxa"/>
              <w:left w:w="120" w:type="dxa"/>
              <w:right w:w="120" w:type="dxa"/>
            </w:tcMar>
            <w:vAlign w:val="center"/>
          </w:tcPr>
          <w:p>
            <w:pPr>
              <w:spacing w:before="40" w:after="40"/>
            </w:pPr>
            <w:r>
              <w:rPr>
                <w:color w:val="334155"/>
                <w:sz w:val="17"/>
              </w:rPr>
              <w:t>ChromaDB Bi-Encoder + Local Cross-Scorer</w:t>
            </w:r>
          </w:p>
        </w:tc>
        <w:tc>
          <w:tcPr>
            <w:tcW w:type="dxa" w:w="1632"/>
            <w:shd w:fill="F8FAFC"/>
            <w:tcMar>
              <w:top w:w="100" w:type="dxa"/>
              <w:bottom w:w="100" w:type="dxa"/>
              <w:left w:w="120" w:type="dxa"/>
              <w:right w:w="120" w:type="dxa"/>
            </w:tcMar>
            <w:vAlign w:val="center"/>
          </w:tcPr>
          <w:p>
            <w:pPr>
              <w:spacing w:before="40" w:after="40"/>
            </w:pPr>
            <w:r>
              <w:rPr>
                <w:color w:val="334155"/>
                <w:sz w:val="17"/>
              </w:rPr>
              <w:t>What are the remedies if a bank charges an excessive loan processing fee?</w:t>
            </w:r>
          </w:p>
        </w:tc>
        <w:tc>
          <w:tcPr>
            <w:tcW w:type="dxa" w:w="1632"/>
            <w:shd w:fill="F8FAFC"/>
            <w:tcMar>
              <w:top w:w="100" w:type="dxa"/>
              <w:bottom w:w="100" w:type="dxa"/>
              <w:left w:w="120" w:type="dxa"/>
              <w:right w:w="120" w:type="dxa"/>
            </w:tcMar>
            <w:vAlign w:val="center"/>
          </w:tcPr>
          <w:p>
            <w:pPr>
              <w:spacing w:before="40" w:after="40"/>
            </w:pPr>
            <w:r>
              <w:rPr>
                <w:color w:val="334155"/>
                <w:sz w:val="17"/>
              </w:rPr>
              <w:t>Stage 1 retrieves top-8 broad candidates. Stage 2 cross-scores candidates down to top-2 ultra-relevant chunks, pruning 75% noisy context.</w:t>
            </w:r>
          </w:p>
        </w:tc>
        <w:tc>
          <w:tcPr>
            <w:tcW w:type="dxa" w:w="1632"/>
            <w:shd w:fill="F8FAFC"/>
            <w:tcMar>
              <w:top w:w="100" w:type="dxa"/>
              <w:bottom w:w="100" w:type="dxa"/>
              <w:left w:w="120" w:type="dxa"/>
              <w:right w:w="120" w:type="dxa"/>
            </w:tcMar>
            <w:vAlign w:val="center"/>
          </w:tcPr>
          <w:p>
            <w:pPr>
              <w:spacing w:before="40" w:after="40"/>
            </w:pPr>
            <w:r>
              <w:rPr>
                <w:color w:val="334155"/>
                <w:sz w:val="17"/>
              </w:rPr>
              <w:t>24.5 ms</w:t>
            </w:r>
          </w:p>
        </w:tc>
      </w:tr>
      <w:tr>
        <w:tc>
          <w:tcPr>
            <w:tcW w:type="dxa" w:w="1632"/>
            <w:shd w:fill="FFFFFF"/>
            <w:tcMar>
              <w:top w:w="100" w:type="dxa"/>
              <w:bottom w:w="100" w:type="dxa"/>
              <w:left w:w="120" w:type="dxa"/>
              <w:right w:w="120" w:type="dxa"/>
            </w:tcMar>
            <w:vAlign w:val="center"/>
          </w:tcPr>
          <w:p>
            <w:pPr>
              <w:spacing w:before="40" w:after="40"/>
            </w:pPr>
            <w:r>
              <w:rPr>
                <w:color w:val="334155"/>
                <w:sz w:val="17"/>
              </w:rPr>
              <w:t>TC-RAG-04</w:t>
            </w:r>
          </w:p>
        </w:tc>
        <w:tc>
          <w:tcPr>
            <w:tcW w:type="dxa" w:w="1632"/>
            <w:shd w:fill="FFFFFF"/>
            <w:tcMar>
              <w:top w:w="100" w:type="dxa"/>
              <w:bottom w:w="100" w:type="dxa"/>
              <w:left w:w="120" w:type="dxa"/>
              <w:right w:w="120" w:type="dxa"/>
            </w:tcMar>
            <w:vAlign w:val="center"/>
          </w:tcPr>
          <w:p>
            <w:pPr>
              <w:spacing w:before="40" w:after="40"/>
            </w:pPr>
            <w:r>
              <w:rPr>
                <w:color w:val="334155"/>
                <w:sz w:val="17"/>
              </w:rPr>
              <w:t>4. Contextual Chunking RAG</w:t>
            </w:r>
          </w:p>
        </w:tc>
        <w:tc>
          <w:tcPr>
            <w:tcW w:type="dxa" w:w="1632"/>
            <w:shd w:fill="FFFFFF"/>
            <w:tcMar>
              <w:top w:w="100" w:type="dxa"/>
              <w:bottom w:w="100" w:type="dxa"/>
              <w:left w:w="120" w:type="dxa"/>
              <w:right w:w="120" w:type="dxa"/>
            </w:tcMar>
            <w:vAlign w:val="center"/>
          </w:tcPr>
          <w:p>
            <w:pPr>
              <w:spacing w:before="40" w:after="40"/>
            </w:pPr>
            <w:r>
              <w:rPr>
                <w:color w:val="334155"/>
                <w:sz w:val="17"/>
              </w:rPr>
              <w:t>Markdown AST Parser + Breadcrumbs</w:t>
            </w:r>
          </w:p>
        </w:tc>
        <w:tc>
          <w:tcPr>
            <w:tcW w:type="dxa" w:w="1632"/>
            <w:shd w:fill="FFFFFF"/>
            <w:tcMar>
              <w:top w:w="100" w:type="dxa"/>
              <w:bottom w:w="100" w:type="dxa"/>
              <w:left w:w="120" w:type="dxa"/>
              <w:right w:w="120" w:type="dxa"/>
            </w:tcMar>
            <w:vAlign w:val="center"/>
          </w:tcPr>
          <w:p>
            <w:pPr>
              <w:spacing w:before="40" w:after="40"/>
            </w:pPr>
            <w:r>
              <w:rPr>
                <w:color w:val="334155"/>
                <w:sz w:val="17"/>
              </w:rPr>
              <w:t>Does the 50% DBR cap apply to pensioners or retirees under CBUAE regulations?</w:t>
            </w:r>
          </w:p>
        </w:tc>
        <w:tc>
          <w:tcPr>
            <w:tcW w:type="dxa" w:w="1632"/>
            <w:shd w:fill="FFFFFF"/>
            <w:tcMar>
              <w:top w:w="100" w:type="dxa"/>
              <w:bottom w:w="100" w:type="dxa"/>
              <w:left w:w="120" w:type="dxa"/>
              <w:right w:w="120" w:type="dxa"/>
            </w:tcMar>
            <w:vAlign w:val="center"/>
          </w:tcPr>
          <w:p>
            <w:pPr>
              <w:spacing w:before="40" w:after="40"/>
            </w:pPr>
            <w:r>
              <w:rPr>
                <w:color w:val="334155"/>
                <w:sz w:val="17"/>
              </w:rPr>
              <w:t>Markdown AST injects parent authority 'Notice 2011/23 &gt; Article 7' into the chunk. Eliminates chunk amnesia on Article 7.1.3 (30% pensioner cap).</w:t>
            </w:r>
          </w:p>
        </w:tc>
        <w:tc>
          <w:tcPr>
            <w:tcW w:type="dxa" w:w="1632"/>
            <w:shd w:fill="FFFFFF"/>
            <w:tcMar>
              <w:top w:w="100" w:type="dxa"/>
              <w:bottom w:w="100" w:type="dxa"/>
              <w:left w:w="120" w:type="dxa"/>
              <w:right w:w="120" w:type="dxa"/>
            </w:tcMar>
            <w:vAlign w:val="center"/>
          </w:tcPr>
          <w:p>
            <w:pPr>
              <w:spacing w:before="40" w:after="40"/>
            </w:pPr>
            <w:r>
              <w:rPr>
                <w:color w:val="334155"/>
                <w:sz w:val="17"/>
              </w:rPr>
              <w:t>21.3 ms</w:t>
            </w:r>
          </w:p>
        </w:tc>
      </w:tr>
      <w:tr>
        <w:tc>
          <w:tcPr>
            <w:tcW w:type="dxa" w:w="1632"/>
            <w:shd w:fill="F8FAFC"/>
            <w:tcMar>
              <w:top w:w="100" w:type="dxa"/>
              <w:bottom w:w="100" w:type="dxa"/>
              <w:left w:w="120" w:type="dxa"/>
              <w:right w:w="120" w:type="dxa"/>
            </w:tcMar>
            <w:vAlign w:val="center"/>
          </w:tcPr>
          <w:p>
            <w:pPr>
              <w:spacing w:before="40" w:after="40"/>
            </w:pPr>
            <w:r>
              <w:rPr>
                <w:color w:val="334155"/>
                <w:sz w:val="17"/>
              </w:rPr>
              <w:t>TC-RAG-05</w:t>
            </w:r>
          </w:p>
        </w:tc>
        <w:tc>
          <w:tcPr>
            <w:tcW w:type="dxa" w:w="1632"/>
            <w:shd w:fill="F8FAFC"/>
            <w:tcMar>
              <w:top w:w="100" w:type="dxa"/>
              <w:bottom w:w="100" w:type="dxa"/>
              <w:left w:w="120" w:type="dxa"/>
              <w:right w:w="120" w:type="dxa"/>
            </w:tcMar>
            <w:vAlign w:val="center"/>
          </w:tcPr>
          <w:p>
            <w:pPr>
              <w:spacing w:before="40" w:after="40"/>
            </w:pPr>
            <w:r>
              <w:rPr>
                <w:color w:val="334155"/>
                <w:sz w:val="17"/>
              </w:rPr>
              <w:t>5. SQL + Vector RAG</w:t>
            </w:r>
          </w:p>
        </w:tc>
        <w:tc>
          <w:tcPr>
            <w:tcW w:type="dxa" w:w="1632"/>
            <w:shd w:fill="F8FAFC"/>
            <w:tcMar>
              <w:top w:w="100" w:type="dxa"/>
              <w:bottom w:w="100" w:type="dxa"/>
              <w:left w:w="120" w:type="dxa"/>
              <w:right w:w="120" w:type="dxa"/>
            </w:tcMar>
            <w:vAlign w:val="center"/>
          </w:tcPr>
          <w:p>
            <w:pPr>
              <w:spacing w:before="40" w:after="40"/>
            </w:pPr>
            <w:r>
              <w:rPr>
                <w:color w:val="334155"/>
                <w:sz w:val="17"/>
              </w:rPr>
              <w:t>SQLite (cbuae_structured.db) + ChromaDB</w:t>
            </w:r>
          </w:p>
        </w:tc>
        <w:tc>
          <w:tcPr>
            <w:tcW w:type="dxa" w:w="1632"/>
            <w:shd w:fill="F8FAFC"/>
            <w:tcMar>
              <w:top w:w="100" w:type="dxa"/>
              <w:bottom w:w="100" w:type="dxa"/>
              <w:left w:w="120" w:type="dxa"/>
              <w:right w:w="120" w:type="dxa"/>
            </w:tcMar>
            <w:vAlign w:val="center"/>
          </w:tcPr>
          <w:p>
            <w:pPr>
              <w:spacing w:before="40" w:after="40"/>
            </w:pPr>
            <w:r>
              <w:rPr>
                <w:color w:val="334155"/>
                <w:sz w:val="17"/>
              </w:rPr>
              <w:t>What is the maximum allowable repayment tenure for an auto loan in the UAE?</w:t>
            </w:r>
          </w:p>
        </w:tc>
        <w:tc>
          <w:tcPr>
            <w:tcW w:type="dxa" w:w="1632"/>
            <w:shd w:fill="F8FAFC"/>
            <w:tcMar>
              <w:top w:w="100" w:type="dxa"/>
              <w:bottom w:w="100" w:type="dxa"/>
              <w:left w:w="120" w:type="dxa"/>
              <w:right w:w="120" w:type="dxa"/>
            </w:tcMar>
            <w:vAlign w:val="center"/>
          </w:tcPr>
          <w:p>
            <w:pPr>
              <w:spacing w:before="40" w:after="40"/>
            </w:pPr>
            <w:r>
              <w:rPr>
                <w:color w:val="334155"/>
                <w:sz w:val="17"/>
              </w:rPr>
              <w:t>Executes SQL query 'SELECT max_tenure_months FROM facility_caps WHERE facility_type="auto"' -&gt; returns 60 months without LLM hallucination.</w:t>
            </w:r>
          </w:p>
        </w:tc>
        <w:tc>
          <w:tcPr>
            <w:tcW w:type="dxa" w:w="1632"/>
            <w:shd w:fill="F8FAFC"/>
            <w:tcMar>
              <w:top w:w="100" w:type="dxa"/>
              <w:bottom w:w="100" w:type="dxa"/>
              <w:left w:w="120" w:type="dxa"/>
              <w:right w:w="120" w:type="dxa"/>
            </w:tcMar>
            <w:vAlign w:val="center"/>
          </w:tcPr>
          <w:p>
            <w:pPr>
              <w:spacing w:before="40" w:after="40"/>
            </w:pPr>
            <w:r>
              <w:rPr>
                <w:color w:val="334155"/>
                <w:sz w:val="17"/>
              </w:rPr>
              <w:t>12.4 ms</w:t>
            </w:r>
          </w:p>
        </w:tc>
      </w:tr>
      <w:tr>
        <w:tc>
          <w:tcPr>
            <w:tcW w:type="dxa" w:w="1632"/>
            <w:shd w:fill="FFFFFF"/>
            <w:tcMar>
              <w:top w:w="100" w:type="dxa"/>
              <w:bottom w:w="100" w:type="dxa"/>
              <w:left w:w="120" w:type="dxa"/>
              <w:right w:w="120" w:type="dxa"/>
            </w:tcMar>
            <w:vAlign w:val="center"/>
          </w:tcPr>
          <w:p>
            <w:pPr>
              <w:spacing w:before="40" w:after="40"/>
            </w:pPr>
            <w:r>
              <w:rPr>
                <w:color w:val="334155"/>
                <w:sz w:val="17"/>
              </w:rPr>
              <w:t>TC-RAG-06</w:t>
            </w:r>
          </w:p>
        </w:tc>
        <w:tc>
          <w:tcPr>
            <w:tcW w:type="dxa" w:w="1632"/>
            <w:shd w:fill="FFFFFF"/>
            <w:tcMar>
              <w:top w:w="100" w:type="dxa"/>
              <w:bottom w:w="100" w:type="dxa"/>
              <w:left w:w="120" w:type="dxa"/>
              <w:right w:w="120" w:type="dxa"/>
            </w:tcMar>
            <w:vAlign w:val="center"/>
          </w:tcPr>
          <w:p>
            <w:pPr>
              <w:spacing w:before="40" w:after="40"/>
            </w:pPr>
            <w:r>
              <w:rPr>
                <w:color w:val="334155"/>
                <w:sz w:val="17"/>
              </w:rPr>
              <w:t>6. GraphRAG (Knowledge Graph)</w:t>
            </w:r>
          </w:p>
        </w:tc>
        <w:tc>
          <w:tcPr>
            <w:tcW w:type="dxa" w:w="1632"/>
            <w:shd w:fill="FFFFFF"/>
            <w:tcMar>
              <w:top w:w="100" w:type="dxa"/>
              <w:bottom w:w="100" w:type="dxa"/>
              <w:left w:w="120" w:type="dxa"/>
              <w:right w:w="120" w:type="dxa"/>
            </w:tcMar>
            <w:vAlign w:val="center"/>
          </w:tcPr>
          <w:p>
            <w:pPr>
              <w:spacing w:before="40" w:after="40"/>
            </w:pPr>
            <w:r>
              <w:rPr>
                <w:color w:val="334155"/>
                <w:sz w:val="17"/>
              </w:rPr>
              <w:t>NetworkX DiGraph + Entity Traversal</w:t>
            </w:r>
          </w:p>
        </w:tc>
        <w:tc>
          <w:tcPr>
            <w:tcW w:type="dxa" w:w="1632"/>
            <w:shd w:fill="FFFFFF"/>
            <w:tcMar>
              <w:top w:w="100" w:type="dxa"/>
              <w:bottom w:w="100" w:type="dxa"/>
              <w:left w:w="120" w:type="dxa"/>
              <w:right w:w="120" w:type="dxa"/>
            </w:tcMar>
            <w:vAlign w:val="center"/>
          </w:tcPr>
          <w:p>
            <w:pPr>
              <w:spacing w:before="40" w:after="40"/>
            </w:pPr>
            <w:r>
              <w:rPr>
                <w:color w:val="334155"/>
                <w:sz w:val="17"/>
              </w:rPr>
              <w:t>Compare maximum loan tenure between an auto loan and a personal loan.</w:t>
            </w:r>
          </w:p>
        </w:tc>
        <w:tc>
          <w:tcPr>
            <w:tcW w:type="dxa" w:w="1632"/>
            <w:shd w:fill="FFFFFF"/>
            <w:tcMar>
              <w:top w:w="100" w:type="dxa"/>
              <w:bottom w:w="100" w:type="dxa"/>
              <w:left w:w="120" w:type="dxa"/>
              <w:right w:w="120" w:type="dxa"/>
            </w:tcMar>
            <w:vAlign w:val="center"/>
          </w:tcPr>
          <w:p>
            <w:pPr>
              <w:spacing w:before="40" w:after="40"/>
            </w:pPr>
            <w:r>
              <w:rPr>
                <w:color w:val="334155"/>
                <w:sz w:val="17"/>
              </w:rPr>
              <w:t>Traverses multi-hop entity graph: (CBUAE)-&gt;(Notice 2011/23)-&gt;(Personal Loan)-&gt;[48m] AND (Auto Loan)-&gt;[60m]. Connects disjoint entities.</w:t>
            </w:r>
          </w:p>
        </w:tc>
        <w:tc>
          <w:tcPr>
            <w:tcW w:type="dxa" w:w="1632"/>
            <w:shd w:fill="FFFFFF"/>
            <w:tcMar>
              <w:top w:w="100" w:type="dxa"/>
              <w:bottom w:w="100" w:type="dxa"/>
              <w:left w:w="120" w:type="dxa"/>
              <w:right w:w="120" w:type="dxa"/>
            </w:tcMar>
            <w:vAlign w:val="center"/>
          </w:tcPr>
          <w:p>
            <w:pPr>
              <w:spacing w:before="40" w:after="40"/>
            </w:pPr>
            <w:r>
              <w:rPr>
                <w:color w:val="334155"/>
                <w:sz w:val="17"/>
              </w:rPr>
              <w:t>26.8 ms</w:t>
            </w:r>
          </w:p>
        </w:tc>
      </w:tr>
      <w:tr>
        <w:tc>
          <w:tcPr>
            <w:tcW w:type="dxa" w:w="1632"/>
            <w:shd w:fill="F8FAFC"/>
            <w:tcMar>
              <w:top w:w="100" w:type="dxa"/>
              <w:bottom w:w="100" w:type="dxa"/>
              <w:left w:w="120" w:type="dxa"/>
              <w:right w:w="120" w:type="dxa"/>
            </w:tcMar>
            <w:vAlign w:val="center"/>
          </w:tcPr>
          <w:p>
            <w:pPr>
              <w:spacing w:before="40" w:after="40"/>
            </w:pPr>
            <w:r>
              <w:rPr>
                <w:color w:val="334155"/>
                <w:sz w:val="17"/>
              </w:rPr>
              <w:t>TC-RAG-07</w:t>
            </w:r>
          </w:p>
        </w:tc>
        <w:tc>
          <w:tcPr>
            <w:tcW w:type="dxa" w:w="1632"/>
            <w:shd w:fill="F8FAFC"/>
            <w:tcMar>
              <w:top w:w="100" w:type="dxa"/>
              <w:bottom w:w="100" w:type="dxa"/>
              <w:left w:w="120" w:type="dxa"/>
              <w:right w:w="120" w:type="dxa"/>
            </w:tcMar>
            <w:vAlign w:val="center"/>
          </w:tcPr>
          <w:p>
            <w:pPr>
              <w:spacing w:before="40" w:after="40"/>
            </w:pPr>
            <w:r>
              <w:rPr>
                <w:color w:val="334155"/>
                <w:sz w:val="17"/>
              </w:rPr>
              <w:t>7. Corrective RAG (CRAG)</w:t>
            </w:r>
          </w:p>
        </w:tc>
        <w:tc>
          <w:tcPr>
            <w:tcW w:type="dxa" w:w="1632"/>
            <w:shd w:fill="F8FAFC"/>
            <w:tcMar>
              <w:top w:w="100" w:type="dxa"/>
              <w:bottom w:w="100" w:type="dxa"/>
              <w:left w:w="120" w:type="dxa"/>
              <w:right w:w="120" w:type="dxa"/>
            </w:tcMar>
            <w:vAlign w:val="center"/>
          </w:tcPr>
          <w:p>
            <w:pPr>
              <w:spacing w:before="40" w:after="40"/>
            </w:pPr>
            <w:r>
              <w:rPr>
                <w:color w:val="334155"/>
                <w:sz w:val="17"/>
              </w:rPr>
              <w:t>ChromaDB + Domain Thesaurus Rewriter</w:t>
            </w:r>
          </w:p>
        </w:tc>
        <w:tc>
          <w:tcPr>
            <w:tcW w:type="dxa" w:w="1632"/>
            <w:shd w:fill="F8FAFC"/>
            <w:tcMar>
              <w:top w:w="100" w:type="dxa"/>
              <w:bottom w:w="100" w:type="dxa"/>
              <w:left w:w="120" w:type="dxa"/>
              <w:right w:w="120" w:type="dxa"/>
            </w:tcMar>
            <w:vAlign w:val="center"/>
          </w:tcPr>
          <w:p>
            <w:pPr>
              <w:spacing w:before="40" w:after="40"/>
            </w:pPr>
            <w:r>
              <w:rPr>
                <w:color w:val="334155"/>
                <w:sz w:val="17"/>
              </w:rPr>
              <w:t>How much penalty when I pay off loan early before finish date?</w:t>
            </w:r>
          </w:p>
        </w:tc>
        <w:tc>
          <w:tcPr>
            <w:tcW w:type="dxa" w:w="1632"/>
            <w:shd w:fill="F8FAFC"/>
            <w:tcMar>
              <w:top w:w="100" w:type="dxa"/>
              <w:bottom w:w="100" w:type="dxa"/>
              <w:left w:w="120" w:type="dxa"/>
              <w:right w:w="120" w:type="dxa"/>
            </w:tcMar>
            <w:vAlign w:val="center"/>
          </w:tcPr>
          <w:p>
            <w:pPr>
              <w:spacing w:before="40" w:after="40"/>
            </w:pPr>
            <w:r>
              <w:rPr>
                <w:color w:val="334155"/>
                <w:sz w:val="17"/>
              </w:rPr>
              <w:t>Retrieval quality evaluator detects informal query. Thesaurus rewrites to official terminology 'early settlement prepayment cap Circular 8/2020'.</w:t>
            </w:r>
          </w:p>
        </w:tc>
        <w:tc>
          <w:tcPr>
            <w:tcW w:type="dxa" w:w="1632"/>
            <w:shd w:fill="F8FAFC"/>
            <w:tcMar>
              <w:top w:w="100" w:type="dxa"/>
              <w:bottom w:w="100" w:type="dxa"/>
              <w:left w:w="120" w:type="dxa"/>
              <w:right w:w="120" w:type="dxa"/>
            </w:tcMar>
            <w:vAlign w:val="center"/>
          </w:tcPr>
          <w:p>
            <w:pPr>
              <w:spacing w:before="40" w:after="40"/>
            </w:pPr>
            <w:r>
              <w:rPr>
                <w:color w:val="334155"/>
                <w:sz w:val="17"/>
              </w:rPr>
              <w:t>22.9 ms</w:t>
            </w:r>
          </w:p>
        </w:tc>
      </w:tr>
      <w:tr>
        <w:tc>
          <w:tcPr>
            <w:tcW w:type="dxa" w:w="1632"/>
            <w:shd w:fill="FFFFFF"/>
            <w:tcMar>
              <w:top w:w="100" w:type="dxa"/>
              <w:bottom w:w="100" w:type="dxa"/>
              <w:left w:w="120" w:type="dxa"/>
              <w:right w:w="120" w:type="dxa"/>
            </w:tcMar>
            <w:vAlign w:val="center"/>
          </w:tcPr>
          <w:p>
            <w:pPr>
              <w:spacing w:before="40" w:after="40"/>
            </w:pPr>
            <w:r>
              <w:rPr>
                <w:color w:val="334155"/>
                <w:sz w:val="17"/>
              </w:rPr>
              <w:t>TC-RAG-08</w:t>
            </w:r>
          </w:p>
        </w:tc>
        <w:tc>
          <w:tcPr>
            <w:tcW w:type="dxa" w:w="1632"/>
            <w:shd w:fill="FFFFFF"/>
            <w:tcMar>
              <w:top w:w="100" w:type="dxa"/>
              <w:bottom w:w="100" w:type="dxa"/>
              <w:left w:w="120" w:type="dxa"/>
              <w:right w:w="120" w:type="dxa"/>
            </w:tcMar>
            <w:vAlign w:val="center"/>
          </w:tcPr>
          <w:p>
            <w:pPr>
              <w:spacing w:before="40" w:after="40"/>
            </w:pPr>
            <w:r>
              <w:rPr>
                <w:color w:val="334155"/>
                <w:sz w:val="17"/>
              </w:rPr>
              <w:t>8. Self-RAG</w:t>
            </w:r>
          </w:p>
        </w:tc>
        <w:tc>
          <w:tcPr>
            <w:tcW w:type="dxa" w:w="1632"/>
            <w:shd w:fill="FFFFFF"/>
            <w:tcMar>
              <w:top w:w="100" w:type="dxa"/>
              <w:bottom w:w="100" w:type="dxa"/>
              <w:left w:w="120" w:type="dxa"/>
              <w:right w:w="120" w:type="dxa"/>
            </w:tcMar>
            <w:vAlign w:val="center"/>
          </w:tcPr>
          <w:p>
            <w:pPr>
              <w:spacing w:before="40" w:after="40"/>
            </w:pPr>
            <w:r>
              <w:rPr>
                <w:color w:val="334155"/>
                <w:sz w:val="17"/>
              </w:rPr>
              <w:t>Reflection Tokens [Retrieve], [Is-Rel], [Is-Sup]</w:t>
            </w:r>
          </w:p>
        </w:tc>
        <w:tc>
          <w:tcPr>
            <w:tcW w:type="dxa" w:w="1632"/>
            <w:shd w:fill="FFFFFF"/>
            <w:tcMar>
              <w:top w:w="100" w:type="dxa"/>
              <w:bottom w:w="100" w:type="dxa"/>
              <w:left w:w="120" w:type="dxa"/>
              <w:right w:w="120" w:type="dxa"/>
            </w:tcMar>
            <w:vAlign w:val="center"/>
          </w:tcPr>
          <w:p>
            <w:pPr>
              <w:spacing w:before="40" w:after="40"/>
            </w:pPr>
            <w:r>
              <w:rPr>
                <w:color w:val="334155"/>
                <w:sz w:val="17"/>
              </w:rPr>
              <w:t>What cooling-off period is guaranteed after signing a loan agreement?</w:t>
            </w:r>
          </w:p>
        </w:tc>
        <w:tc>
          <w:tcPr>
            <w:tcW w:type="dxa" w:w="1632"/>
            <w:shd w:fill="FFFFFF"/>
            <w:tcMar>
              <w:top w:w="100" w:type="dxa"/>
              <w:bottom w:w="100" w:type="dxa"/>
              <w:left w:w="120" w:type="dxa"/>
              <w:right w:w="120" w:type="dxa"/>
            </w:tcMar>
            <w:vAlign w:val="center"/>
          </w:tcPr>
          <w:p>
            <w:pPr>
              <w:spacing w:before="40" w:after="40"/>
            </w:pPr>
            <w:r>
              <w:rPr>
                <w:color w:val="334155"/>
                <w:sz w:val="17"/>
              </w:rPr>
              <w:t>Self-reflection token [Retrieve] fires. Context retrieved. [Is-Rel] verifies relevance. [Is-Sup] validates answer claims against cited text.</w:t>
            </w:r>
          </w:p>
        </w:tc>
        <w:tc>
          <w:tcPr>
            <w:tcW w:type="dxa" w:w="1632"/>
            <w:shd w:fill="FFFFFF"/>
            <w:tcMar>
              <w:top w:w="100" w:type="dxa"/>
              <w:bottom w:w="100" w:type="dxa"/>
              <w:left w:w="120" w:type="dxa"/>
              <w:right w:w="120" w:type="dxa"/>
            </w:tcMar>
            <w:vAlign w:val="center"/>
          </w:tcPr>
          <w:p>
            <w:pPr>
              <w:spacing w:before="40" w:after="40"/>
            </w:pPr>
            <w:r>
              <w:rPr>
                <w:color w:val="334155"/>
                <w:sz w:val="17"/>
              </w:rPr>
              <w:t>16.5 ms</w:t>
            </w:r>
          </w:p>
        </w:tc>
      </w:tr>
      <w:tr>
        <w:tc>
          <w:tcPr>
            <w:tcW w:type="dxa" w:w="1632"/>
            <w:shd w:fill="F8FAFC"/>
            <w:tcMar>
              <w:top w:w="100" w:type="dxa"/>
              <w:bottom w:w="100" w:type="dxa"/>
              <w:left w:w="120" w:type="dxa"/>
              <w:right w:w="120" w:type="dxa"/>
            </w:tcMar>
            <w:vAlign w:val="center"/>
          </w:tcPr>
          <w:p>
            <w:pPr>
              <w:spacing w:before="40" w:after="40"/>
            </w:pPr>
            <w:r>
              <w:rPr>
                <w:color w:val="334155"/>
                <w:sz w:val="17"/>
              </w:rPr>
              <w:t>TC-RAG-09</w:t>
            </w:r>
          </w:p>
        </w:tc>
        <w:tc>
          <w:tcPr>
            <w:tcW w:type="dxa" w:w="1632"/>
            <w:shd w:fill="F8FAFC"/>
            <w:tcMar>
              <w:top w:w="100" w:type="dxa"/>
              <w:bottom w:w="100" w:type="dxa"/>
              <w:left w:w="120" w:type="dxa"/>
              <w:right w:w="120" w:type="dxa"/>
            </w:tcMar>
            <w:vAlign w:val="center"/>
          </w:tcPr>
          <w:p>
            <w:pPr>
              <w:spacing w:before="40" w:after="40"/>
            </w:pPr>
            <w:r>
              <w:rPr>
                <w:color w:val="334155"/>
                <w:sz w:val="17"/>
              </w:rPr>
              <w:t>9. Multimodal RAG</w:t>
            </w:r>
          </w:p>
        </w:tc>
        <w:tc>
          <w:tcPr>
            <w:tcW w:type="dxa" w:w="1632"/>
            <w:shd w:fill="F8FAFC"/>
            <w:tcMar>
              <w:top w:w="100" w:type="dxa"/>
              <w:bottom w:w="100" w:type="dxa"/>
              <w:left w:w="120" w:type="dxa"/>
              <w:right w:w="120" w:type="dxa"/>
            </w:tcMar>
            <w:vAlign w:val="center"/>
          </w:tcPr>
          <w:p>
            <w:pPr>
              <w:spacing w:before="40" w:after="40"/>
            </w:pPr>
            <w:r>
              <w:rPr>
                <w:color w:val="334155"/>
                <w:sz w:val="17"/>
              </w:rPr>
              <w:t>Markdown Table AST + LaTeX Formula Parser</w:t>
            </w:r>
          </w:p>
        </w:tc>
        <w:tc>
          <w:tcPr>
            <w:tcW w:type="dxa" w:w="1632"/>
            <w:shd w:fill="F8FAFC"/>
            <w:tcMar>
              <w:top w:w="100" w:type="dxa"/>
              <w:bottom w:w="100" w:type="dxa"/>
              <w:left w:w="120" w:type="dxa"/>
              <w:right w:w="120" w:type="dxa"/>
            </w:tcMar>
            <w:vAlign w:val="center"/>
          </w:tcPr>
          <w:p>
            <w:pPr>
              <w:spacing w:before="40" w:after="40"/>
            </w:pPr>
            <w:r>
              <w:rPr>
                <w:color w:val="334155"/>
                <w:sz w:val="17"/>
              </w:rPr>
              <w:t>What is the statutory fee cap on loan processing fees and late payment charges?</w:t>
            </w:r>
          </w:p>
        </w:tc>
        <w:tc>
          <w:tcPr>
            <w:tcW w:type="dxa" w:w="1632"/>
            <w:shd w:fill="F8FAFC"/>
            <w:tcMar>
              <w:top w:w="100" w:type="dxa"/>
              <w:bottom w:w="100" w:type="dxa"/>
              <w:left w:w="120" w:type="dxa"/>
              <w:right w:w="120" w:type="dxa"/>
            </w:tcMar>
            <w:vAlign w:val="center"/>
          </w:tcPr>
          <w:p>
            <w:pPr>
              <w:spacing w:before="40" w:after="40"/>
            </w:pPr>
            <w:r>
              <w:rPr>
                <w:color w:val="334155"/>
                <w:sz w:val="17"/>
              </w:rPr>
              <w:t>Directly parses 43-service retail banking fee table grid and evaluates mathematical formula constraints without OCR drift.</w:t>
            </w:r>
          </w:p>
        </w:tc>
        <w:tc>
          <w:tcPr>
            <w:tcW w:type="dxa" w:w="1632"/>
            <w:shd w:fill="F8FAFC"/>
            <w:tcMar>
              <w:top w:w="100" w:type="dxa"/>
              <w:bottom w:w="100" w:type="dxa"/>
              <w:left w:w="120" w:type="dxa"/>
              <w:right w:w="120" w:type="dxa"/>
            </w:tcMar>
            <w:vAlign w:val="center"/>
          </w:tcPr>
          <w:p>
            <w:pPr>
              <w:spacing w:before="40" w:after="40"/>
            </w:pPr>
            <w:r>
              <w:rPr>
                <w:color w:val="334155"/>
                <w:sz w:val="17"/>
              </w:rPr>
              <w:t>19.8 ms</w:t>
            </w:r>
          </w:p>
        </w:tc>
      </w:tr>
      <w:tr>
        <w:tc>
          <w:tcPr>
            <w:tcW w:type="dxa" w:w="1632"/>
            <w:shd w:fill="FFFFFF"/>
            <w:tcMar>
              <w:top w:w="100" w:type="dxa"/>
              <w:bottom w:w="100" w:type="dxa"/>
              <w:left w:w="120" w:type="dxa"/>
              <w:right w:w="120" w:type="dxa"/>
            </w:tcMar>
            <w:vAlign w:val="center"/>
          </w:tcPr>
          <w:p>
            <w:pPr>
              <w:spacing w:before="40" w:after="40"/>
            </w:pPr>
            <w:r>
              <w:rPr>
                <w:color w:val="334155"/>
                <w:sz w:val="17"/>
              </w:rPr>
              <w:t>TC-RAG-10</w:t>
            </w:r>
          </w:p>
        </w:tc>
        <w:tc>
          <w:tcPr>
            <w:tcW w:type="dxa" w:w="1632"/>
            <w:shd w:fill="FFFFFF"/>
            <w:tcMar>
              <w:top w:w="100" w:type="dxa"/>
              <w:bottom w:w="100" w:type="dxa"/>
              <w:left w:w="120" w:type="dxa"/>
              <w:right w:w="120" w:type="dxa"/>
            </w:tcMar>
            <w:vAlign w:val="center"/>
          </w:tcPr>
          <w:p>
            <w:pPr>
              <w:spacing w:before="40" w:after="40"/>
            </w:pPr>
            <w:r>
              <w:rPr>
                <w:color w:val="334155"/>
                <w:sz w:val="17"/>
              </w:rPr>
              <w:t>10. Agentic RAG</w:t>
            </w:r>
          </w:p>
        </w:tc>
        <w:tc>
          <w:tcPr>
            <w:tcW w:type="dxa" w:w="1632"/>
            <w:shd w:fill="FFFFFF"/>
            <w:tcMar>
              <w:top w:w="100" w:type="dxa"/>
              <w:bottom w:w="100" w:type="dxa"/>
              <w:left w:w="120" w:type="dxa"/>
              <w:right w:w="120" w:type="dxa"/>
            </w:tcMar>
            <w:vAlign w:val="center"/>
          </w:tcPr>
          <w:p>
            <w:pPr>
              <w:spacing w:before="40" w:after="40"/>
            </w:pPr>
            <w:r>
              <w:rPr>
                <w:color w:val="334155"/>
                <w:sz w:val="17"/>
              </w:rPr>
              <w:t>Autonomous Tool Controller (Math/SQL/Graph)</w:t>
            </w:r>
          </w:p>
        </w:tc>
        <w:tc>
          <w:tcPr>
            <w:tcW w:type="dxa" w:w="1632"/>
            <w:shd w:fill="FFFFFF"/>
            <w:tcMar>
              <w:top w:w="100" w:type="dxa"/>
              <w:bottom w:w="100" w:type="dxa"/>
              <w:left w:w="120" w:type="dxa"/>
              <w:right w:w="120" w:type="dxa"/>
            </w:tcMar>
            <w:vAlign w:val="center"/>
          </w:tcPr>
          <w:p>
            <w:pPr>
              <w:spacing w:before="40" w:after="40"/>
            </w:pPr>
            <w:r>
              <w:rPr>
                <w:color w:val="334155"/>
                <w:sz w:val="17"/>
              </w:rPr>
              <w:t>Borrower salary AED 20,000, EMI AED 12,000. Is this compliant with DBR?</w:t>
            </w:r>
          </w:p>
        </w:tc>
        <w:tc>
          <w:tcPr>
            <w:tcW w:type="dxa" w:w="1632"/>
            <w:shd w:fill="FFFFFF"/>
            <w:tcMar>
              <w:top w:w="100" w:type="dxa"/>
              <w:bottom w:w="100" w:type="dxa"/>
              <w:left w:w="120" w:type="dxa"/>
              <w:right w:w="120" w:type="dxa"/>
            </w:tcMar>
            <w:vAlign w:val="center"/>
          </w:tcPr>
          <w:p>
            <w:pPr>
              <w:spacing w:before="40" w:after="40"/>
            </w:pPr>
            <w:r>
              <w:rPr>
                <w:color w:val="334155"/>
                <w:sz w:val="17"/>
              </w:rPr>
              <w:t>Agent orchestrates Math tool (calculates DBR = 60%), Vector tool (retrieves Notice 2011/23 Art 7), and synthesizes legal violation report.</w:t>
            </w:r>
          </w:p>
        </w:tc>
        <w:tc>
          <w:tcPr>
            <w:tcW w:type="dxa" w:w="1632"/>
            <w:shd w:fill="FFFFFF"/>
            <w:tcMar>
              <w:top w:w="100" w:type="dxa"/>
              <w:bottom w:w="100" w:type="dxa"/>
              <w:left w:w="120" w:type="dxa"/>
              <w:right w:w="120" w:type="dxa"/>
            </w:tcMar>
            <w:vAlign w:val="center"/>
          </w:tcPr>
          <w:p>
            <w:pPr>
              <w:spacing w:before="40" w:after="40"/>
            </w:pPr>
            <w:r>
              <w:rPr>
                <w:color w:val="334155"/>
                <w:sz w:val="17"/>
              </w:rPr>
              <w:t>31.2 ms</w:t>
            </w:r>
          </w:p>
        </w:tc>
      </w:tr>
    </w:tbl>
    <w:p>
      <w:pPr>
        <w:spacing w:after="160"/>
      </w:pPr>
    </w:p>
    <w:p>
      <w:pPr>
        <w:pStyle w:val="Heading1"/>
        <w:spacing w:before="280" w:after="120"/>
      </w:pPr>
      <w:r>
        <w:rPr>
          <w:b/>
          <w:color w:val="0F172A"/>
        </w:rPr>
        <w:t>6. Monitoring, Diagnostics &amp; ChromaDB Telemetry Testing</w:t>
      </w:r>
    </w:p>
    <w:p>
      <w:r>
        <w:t>The Diagnostics Hub provides institutional oversight of vector storage, multi-agent pipeline nodes, and live evaluation runs.</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0F172A"/>
            <w:tcMar>
              <w:top w:w="140" w:type="dxa"/>
              <w:bottom w:w="140" w:type="dxa"/>
              <w:left w:w="140" w:type="dxa"/>
              <w:right w:w="140" w:type="dxa"/>
            </w:tcMar>
          </w:tcPr>
          <w:p>
            <w:pPr>
              <w:spacing w:before="40" w:after="40"/>
              <w:jc w:val="left"/>
            </w:pPr>
            <w:r>
              <w:rPr>
                <w:b/>
                <w:color w:val="FFFFFF"/>
                <w:sz w:val="19"/>
              </w:rPr>
              <w:t>Test ID</w:t>
            </w:r>
          </w:p>
        </w:tc>
        <w:tc>
          <w:tcPr>
            <w:tcW w:type="dxa" w:w="1958"/>
            <w:shd w:fill="0F172A"/>
            <w:tcMar>
              <w:top w:w="140" w:type="dxa"/>
              <w:bottom w:w="140" w:type="dxa"/>
              <w:left w:w="140" w:type="dxa"/>
              <w:right w:w="140" w:type="dxa"/>
            </w:tcMar>
          </w:tcPr>
          <w:p>
            <w:pPr>
              <w:spacing w:before="40" w:after="40"/>
              <w:jc w:val="left"/>
            </w:pPr>
            <w:r>
              <w:rPr>
                <w:b/>
                <w:color w:val="FFFFFF"/>
                <w:sz w:val="19"/>
              </w:rPr>
              <w:t>Diagnostic Feature</w:t>
            </w:r>
          </w:p>
        </w:tc>
        <w:tc>
          <w:tcPr>
            <w:tcW w:type="dxa" w:w="1958"/>
            <w:shd w:fill="0F172A"/>
            <w:tcMar>
              <w:top w:w="140" w:type="dxa"/>
              <w:bottom w:w="140" w:type="dxa"/>
              <w:left w:w="140" w:type="dxa"/>
              <w:right w:w="140" w:type="dxa"/>
            </w:tcMar>
          </w:tcPr>
          <w:p>
            <w:pPr>
              <w:spacing w:before="40" w:after="40"/>
              <w:jc w:val="left"/>
            </w:pPr>
            <w:r>
              <w:rPr>
                <w:b/>
                <w:color w:val="FFFFFF"/>
                <w:sz w:val="19"/>
              </w:rPr>
              <w:t>UI Location / Trigger</w:t>
            </w:r>
          </w:p>
        </w:tc>
        <w:tc>
          <w:tcPr>
            <w:tcW w:type="dxa" w:w="1958"/>
            <w:shd w:fill="0F172A"/>
            <w:tcMar>
              <w:top w:w="140" w:type="dxa"/>
              <w:bottom w:w="140" w:type="dxa"/>
              <w:left w:w="140" w:type="dxa"/>
              <w:right w:w="140" w:type="dxa"/>
            </w:tcMar>
          </w:tcPr>
          <w:p>
            <w:pPr>
              <w:spacing w:before="40" w:after="40"/>
              <w:jc w:val="left"/>
            </w:pPr>
            <w:r>
              <w:rPr>
                <w:b/>
                <w:color w:val="FFFFFF"/>
                <w:sz w:val="19"/>
              </w:rPr>
              <w:t>Expected Telemetry Outcome</w:t>
            </w:r>
          </w:p>
        </w:tc>
        <w:tc>
          <w:tcPr>
            <w:tcW w:type="dxa" w:w="1958"/>
            <w:shd w:fill="0F172A"/>
            <w:tcMar>
              <w:top w:w="140" w:type="dxa"/>
              <w:bottom w:w="140" w:type="dxa"/>
              <w:left w:w="140" w:type="dxa"/>
              <w:right w:w="140" w:type="dxa"/>
            </w:tcMar>
          </w:tcPr>
          <w:p>
            <w:pPr>
              <w:spacing w:before="40" w:after="40"/>
              <w:jc w:val="left"/>
            </w:pPr>
            <w:r>
              <w:rPr>
                <w:b/>
                <w:color w:val="FFFFFF"/>
                <w:sz w:val="19"/>
              </w:rPr>
              <w:t>Status</w:t>
            </w:r>
          </w:p>
        </w:tc>
      </w:tr>
      <w:tr>
        <w:tc>
          <w:tcPr>
            <w:tcW w:type="dxa" w:w="1958"/>
            <w:shd w:fill="F8FAFC"/>
            <w:tcMar>
              <w:top w:w="100" w:type="dxa"/>
              <w:bottom w:w="100" w:type="dxa"/>
              <w:left w:w="120" w:type="dxa"/>
              <w:right w:w="120" w:type="dxa"/>
            </w:tcMar>
          </w:tcPr>
          <w:p>
            <w:pPr>
              <w:spacing w:after="40"/>
            </w:pPr>
            <w:r>
              <w:rPr>
                <w:b/>
                <w:color w:val="0E7490"/>
                <w:sz w:val="17"/>
              </w:rPr>
              <w:t>TC-MON-01</w:t>
            </w:r>
          </w:p>
        </w:tc>
        <w:tc>
          <w:tcPr>
            <w:tcW w:type="dxa" w:w="1958"/>
            <w:shd w:fill="F8FAFC"/>
            <w:tcMar>
              <w:top w:w="100" w:type="dxa"/>
              <w:bottom w:w="100" w:type="dxa"/>
              <w:left w:w="120" w:type="dxa"/>
              <w:right w:w="120" w:type="dxa"/>
            </w:tcMar>
          </w:tcPr>
          <w:p>
            <w:pPr>
              <w:spacing w:after="40"/>
            </w:pPr>
            <w:r>
              <w:rPr>
                <w:sz w:val="17"/>
              </w:rPr>
              <w:t>ChromaDB Storage Telemetry</w:t>
            </w:r>
          </w:p>
        </w:tc>
        <w:tc>
          <w:tcPr>
            <w:tcW w:type="dxa" w:w="1958"/>
            <w:shd w:fill="F8FAFC"/>
            <w:tcMar>
              <w:top w:w="100" w:type="dxa"/>
              <w:bottom w:w="100" w:type="dxa"/>
              <w:left w:w="120" w:type="dxa"/>
              <w:right w:w="120" w:type="dxa"/>
            </w:tcMar>
          </w:tcPr>
          <w:p>
            <w:pPr>
              <w:spacing w:after="40"/>
            </w:pPr>
            <w:r>
              <w:rPr>
                <w:sz w:val="17"/>
              </w:rPr>
              <w:t>Diagnostics Hub &gt; Top Cards</w:t>
            </w:r>
          </w:p>
        </w:tc>
        <w:tc>
          <w:tcPr>
            <w:tcW w:type="dxa" w:w="1958"/>
            <w:shd w:fill="F8FAFC"/>
            <w:tcMar>
              <w:top w:w="100" w:type="dxa"/>
              <w:bottom w:w="100" w:type="dxa"/>
              <w:left w:w="120" w:type="dxa"/>
              <w:right w:w="120" w:type="dxa"/>
            </w:tcMar>
          </w:tcPr>
          <w:p>
            <w:pPr>
              <w:spacing w:after="40"/>
            </w:pPr>
            <w:r>
              <w:rPr>
                <w:sz w:val="17"/>
              </w:rPr>
              <w:t>Displays port 8081, collection 'cbuae_regulations' (15 chunks), and eval collection 'cbuae_eval_runs'. Heartbeat green.</w:t>
            </w:r>
          </w:p>
        </w:tc>
        <w:tc>
          <w:tcPr>
            <w:tcW w:type="dxa" w:w="1958"/>
            <w:shd w:fill="F8FAFC"/>
            <w:tcMar>
              <w:top w:w="100" w:type="dxa"/>
              <w:bottom w:w="100" w:type="dxa"/>
              <w:left w:w="120" w:type="dxa"/>
              <w:right w:w="120" w:type="dxa"/>
            </w:tcMar>
          </w:tcPr>
          <w:p>
            <w:pPr>
              <w:spacing w:after="40"/>
            </w:pPr>
            <w:r>
              <w:rPr>
                <w:b/>
                <w:color w:val="10B981"/>
                <w:sz w:val="17"/>
              </w:rPr>
              <w:t>PASS</w:t>
            </w:r>
          </w:p>
        </w:tc>
      </w:tr>
      <w:tr>
        <w:tc>
          <w:tcPr>
            <w:tcW w:type="dxa" w:w="1958"/>
            <w:shd w:fill="FFFFFF"/>
            <w:tcMar>
              <w:top w:w="100" w:type="dxa"/>
              <w:bottom w:w="100" w:type="dxa"/>
              <w:left w:w="120" w:type="dxa"/>
              <w:right w:w="120" w:type="dxa"/>
            </w:tcMar>
          </w:tcPr>
          <w:p>
            <w:pPr>
              <w:spacing w:after="40"/>
            </w:pPr>
            <w:r>
              <w:rPr>
                <w:b/>
                <w:color w:val="0E7490"/>
                <w:sz w:val="17"/>
              </w:rPr>
              <w:t>TC-MON-02</w:t>
            </w:r>
          </w:p>
        </w:tc>
        <w:tc>
          <w:tcPr>
            <w:tcW w:type="dxa" w:w="1958"/>
            <w:shd w:fill="FFFFFF"/>
            <w:tcMar>
              <w:top w:w="100" w:type="dxa"/>
              <w:bottom w:w="100" w:type="dxa"/>
              <w:left w:w="120" w:type="dxa"/>
              <w:right w:w="120" w:type="dxa"/>
            </w:tcMar>
          </w:tcPr>
          <w:p>
            <w:pPr>
              <w:spacing w:after="40"/>
            </w:pPr>
            <w:r>
              <w:rPr>
                <w:sz w:val="17"/>
              </w:rPr>
              <w:t>10 RAG Leaderboard Display</w:t>
            </w:r>
          </w:p>
        </w:tc>
        <w:tc>
          <w:tcPr>
            <w:tcW w:type="dxa" w:w="1958"/>
            <w:shd w:fill="FFFFFF"/>
            <w:tcMar>
              <w:top w:w="100" w:type="dxa"/>
              <w:bottom w:w="100" w:type="dxa"/>
              <w:left w:w="120" w:type="dxa"/>
              <w:right w:w="120" w:type="dxa"/>
            </w:tcMar>
          </w:tcPr>
          <w:p>
            <w:pPr>
              <w:spacing w:after="40"/>
            </w:pPr>
            <w:r>
              <w:rPr>
                <w:sz w:val="17"/>
              </w:rPr>
              <w:t>Diagnostics Hub &gt; Leaderboard Matrix</w:t>
            </w:r>
          </w:p>
        </w:tc>
        <w:tc>
          <w:tcPr>
            <w:tcW w:type="dxa" w:w="1958"/>
            <w:shd w:fill="FFFFFF"/>
            <w:tcMar>
              <w:top w:w="100" w:type="dxa"/>
              <w:bottom w:w="100" w:type="dxa"/>
              <w:left w:w="120" w:type="dxa"/>
              <w:right w:w="120" w:type="dxa"/>
            </w:tcMar>
          </w:tcPr>
          <w:p>
            <w:pPr>
              <w:spacing w:after="40"/>
            </w:pPr>
            <w:r>
              <w:rPr>
                <w:sz w:val="17"/>
              </w:rPr>
              <w:t>Renders all 10 RAG architectures with Recall@3, Citation Acc, Refusal Prec, Faithfulness, Latency, and Badges.</w:t>
            </w:r>
          </w:p>
        </w:tc>
        <w:tc>
          <w:tcPr>
            <w:tcW w:type="dxa" w:w="1958"/>
            <w:shd w:fill="FFFFFF"/>
            <w:tcMar>
              <w:top w:w="100" w:type="dxa"/>
              <w:bottom w:w="100" w:type="dxa"/>
              <w:left w:w="120" w:type="dxa"/>
              <w:right w:w="120" w:type="dxa"/>
            </w:tcMar>
          </w:tcPr>
          <w:p>
            <w:pPr>
              <w:spacing w:after="40"/>
            </w:pPr>
            <w:r>
              <w:rPr>
                <w:b/>
                <w:color w:val="10B981"/>
                <w:sz w:val="17"/>
              </w:rPr>
              <w:t>PASS</w:t>
            </w:r>
          </w:p>
        </w:tc>
      </w:tr>
      <w:tr>
        <w:tc>
          <w:tcPr>
            <w:tcW w:type="dxa" w:w="1958"/>
            <w:shd w:fill="F8FAFC"/>
            <w:tcMar>
              <w:top w:w="100" w:type="dxa"/>
              <w:bottom w:w="100" w:type="dxa"/>
              <w:left w:w="120" w:type="dxa"/>
              <w:right w:w="120" w:type="dxa"/>
            </w:tcMar>
          </w:tcPr>
          <w:p>
            <w:pPr>
              <w:spacing w:after="40"/>
            </w:pPr>
            <w:r>
              <w:rPr>
                <w:b/>
                <w:color w:val="0E7490"/>
                <w:sz w:val="17"/>
              </w:rPr>
              <w:t>TC-MON-03</w:t>
            </w:r>
          </w:p>
        </w:tc>
        <w:tc>
          <w:tcPr>
            <w:tcW w:type="dxa" w:w="1958"/>
            <w:shd w:fill="F8FAFC"/>
            <w:tcMar>
              <w:top w:w="100" w:type="dxa"/>
              <w:bottom w:w="100" w:type="dxa"/>
              <w:left w:w="120" w:type="dxa"/>
              <w:right w:w="120" w:type="dxa"/>
            </w:tcMar>
          </w:tcPr>
          <w:p>
            <w:pPr>
              <w:spacing w:after="40"/>
            </w:pPr>
            <w:r>
              <w:rPr>
                <w:sz w:val="17"/>
              </w:rPr>
              <w:t>Live Re-Run &amp; Chroma Persistence</w:t>
            </w:r>
          </w:p>
        </w:tc>
        <w:tc>
          <w:tcPr>
            <w:tcW w:type="dxa" w:w="1958"/>
            <w:shd w:fill="F8FAFC"/>
            <w:tcMar>
              <w:top w:w="100" w:type="dxa"/>
              <w:bottom w:w="100" w:type="dxa"/>
              <w:left w:w="120" w:type="dxa"/>
              <w:right w:w="120" w:type="dxa"/>
            </w:tcMar>
          </w:tcPr>
          <w:p>
            <w:pPr>
              <w:spacing w:after="40"/>
            </w:pPr>
            <w:r>
              <w:rPr>
                <w:sz w:val="17"/>
              </w:rPr>
              <w:t>Click 'Re-run RAG Evals &amp; Update Chroma'</w:t>
            </w:r>
          </w:p>
        </w:tc>
        <w:tc>
          <w:tcPr>
            <w:tcW w:type="dxa" w:w="1958"/>
            <w:shd w:fill="F8FAFC"/>
            <w:tcMar>
              <w:top w:w="100" w:type="dxa"/>
              <w:bottom w:w="100" w:type="dxa"/>
              <w:left w:w="120" w:type="dxa"/>
              <w:right w:w="120" w:type="dxa"/>
            </w:tcMar>
          </w:tcPr>
          <w:p>
            <w:pPr>
              <w:spacing w:after="40"/>
            </w:pPr>
            <w:r>
              <w:rPr>
                <w:sz w:val="17"/>
              </w:rPr>
              <w:t>Executes benchmark suite, updates scores live in UI, and saves run record to ChromaDB collection 'cbuae_eval_runs'.</w:t>
            </w:r>
          </w:p>
        </w:tc>
        <w:tc>
          <w:tcPr>
            <w:tcW w:type="dxa" w:w="1958"/>
            <w:shd w:fill="F8FAFC"/>
            <w:tcMar>
              <w:top w:w="100" w:type="dxa"/>
              <w:bottom w:w="100" w:type="dxa"/>
              <w:left w:w="120" w:type="dxa"/>
              <w:right w:w="120" w:type="dxa"/>
            </w:tcMar>
          </w:tcPr>
          <w:p>
            <w:pPr>
              <w:spacing w:after="40"/>
            </w:pPr>
            <w:r>
              <w:rPr>
                <w:b/>
                <w:color w:val="10B981"/>
                <w:sz w:val="17"/>
              </w:rPr>
              <w:t>PASS</w:t>
            </w:r>
          </w:p>
        </w:tc>
      </w:tr>
      <w:tr>
        <w:tc>
          <w:tcPr>
            <w:tcW w:type="dxa" w:w="1958"/>
            <w:shd w:fill="FFFFFF"/>
            <w:tcMar>
              <w:top w:w="100" w:type="dxa"/>
              <w:bottom w:w="100" w:type="dxa"/>
              <w:left w:w="120" w:type="dxa"/>
              <w:right w:w="120" w:type="dxa"/>
            </w:tcMar>
          </w:tcPr>
          <w:p>
            <w:pPr>
              <w:spacing w:after="40"/>
            </w:pPr>
            <w:r>
              <w:rPr>
                <w:b/>
                <w:color w:val="0E7490"/>
                <w:sz w:val="17"/>
              </w:rPr>
              <w:t>TC-MON-04</w:t>
            </w:r>
          </w:p>
        </w:tc>
        <w:tc>
          <w:tcPr>
            <w:tcW w:type="dxa" w:w="1958"/>
            <w:shd w:fill="FFFFFF"/>
            <w:tcMar>
              <w:top w:w="100" w:type="dxa"/>
              <w:bottom w:w="100" w:type="dxa"/>
              <w:left w:w="120" w:type="dxa"/>
              <w:right w:w="120" w:type="dxa"/>
            </w:tcMar>
          </w:tcPr>
          <w:p>
            <w:pPr>
              <w:spacing w:after="40"/>
            </w:pPr>
            <w:r>
              <w:rPr>
                <w:sz w:val="17"/>
              </w:rPr>
              <w:t>Inspect RAG Pattern Details</w:t>
            </w:r>
          </w:p>
        </w:tc>
        <w:tc>
          <w:tcPr>
            <w:tcW w:type="dxa" w:w="1958"/>
            <w:shd w:fill="FFFFFF"/>
            <w:tcMar>
              <w:top w:w="100" w:type="dxa"/>
              <w:bottom w:w="100" w:type="dxa"/>
              <w:left w:w="120" w:type="dxa"/>
              <w:right w:w="120" w:type="dxa"/>
            </w:tcMar>
          </w:tcPr>
          <w:p>
            <w:pPr>
              <w:spacing w:after="40"/>
            </w:pPr>
            <w:r>
              <w:rPr>
                <w:sz w:val="17"/>
              </w:rPr>
              <w:t>Click 'Inspect' on any RAG row in Leaderboard</w:t>
            </w:r>
          </w:p>
        </w:tc>
        <w:tc>
          <w:tcPr>
            <w:tcW w:type="dxa" w:w="1958"/>
            <w:shd w:fill="FFFFFF"/>
            <w:tcMar>
              <w:top w:w="100" w:type="dxa"/>
              <w:bottom w:w="100" w:type="dxa"/>
              <w:left w:w="120" w:type="dxa"/>
              <w:right w:w="120" w:type="dxa"/>
            </w:tcMar>
          </w:tcPr>
          <w:p>
            <w:pPr>
              <w:spacing w:after="40"/>
            </w:pPr>
            <w:r>
              <w:rPr>
                <w:sz w:val="17"/>
              </w:rPr>
              <w:t>Expands drawer showing Core Mechanism, Legal Auditing Strength, and Ideal CBUAE Compliance Use Case.</w:t>
            </w:r>
          </w:p>
        </w:tc>
        <w:tc>
          <w:tcPr>
            <w:tcW w:type="dxa" w:w="1958"/>
            <w:shd w:fill="FFFFFF"/>
            <w:tcMar>
              <w:top w:w="100" w:type="dxa"/>
              <w:bottom w:w="100" w:type="dxa"/>
              <w:left w:w="120" w:type="dxa"/>
              <w:right w:w="120" w:type="dxa"/>
            </w:tcMar>
          </w:tcPr>
          <w:p>
            <w:pPr>
              <w:spacing w:after="40"/>
            </w:pPr>
            <w:r>
              <w:rPr>
                <w:b/>
                <w:color w:val="10B981"/>
                <w:sz w:val="17"/>
              </w:rPr>
              <w:t>PASS</w:t>
            </w:r>
          </w:p>
        </w:tc>
      </w:tr>
    </w:tbl>
    <w:p>
      <w:pPr>
        <w:spacing w:after="160"/>
      </w:pPr>
    </w:p>
    <w:p>
      <w:pPr>
        <w:pStyle w:val="Heading1"/>
        <w:spacing w:before="280" w:after="120"/>
      </w:pPr>
      <w:r>
        <w:rPr>
          <w:b/>
          <w:color w:val="0F172A"/>
        </w:rPr>
        <w:t>7. Quality Acceptance Summary &amp; Sign-Off Checklist</w:t>
      </w:r>
    </w:p>
    <w:tbl>
      <w:tblPr>
        <w:tblW w:type="auto" w:w="0"/>
        <w:jc w:val="center"/>
        <w:tblLook w:firstColumn="1" w:firstRow="1" w:lastColumn="0" w:lastRow="0" w:noHBand="0" w:noVBand="1" w:val="04A0"/>
      </w:tblPr>
      <w:tblGrid>
        <w:gridCol w:w="2448"/>
        <w:gridCol w:w="2448"/>
        <w:gridCol w:w="2448"/>
        <w:gridCol w:w="2448"/>
      </w:tblGrid>
      <w:tr>
        <w:tc>
          <w:tcPr>
            <w:tcW w:type="dxa" w:w="2448"/>
            <w:shd w:fill="0F172A"/>
            <w:tcMar>
              <w:top w:w="140" w:type="dxa"/>
              <w:bottom w:w="140" w:type="dxa"/>
              <w:left w:w="140" w:type="dxa"/>
              <w:right w:w="140" w:type="dxa"/>
            </w:tcMar>
          </w:tcPr>
          <w:p>
            <w:pPr>
              <w:spacing w:before="40" w:after="40"/>
              <w:jc w:val="left"/>
            </w:pPr>
            <w:r>
              <w:rPr>
                <w:b/>
                <w:color w:val="FFFFFF"/>
                <w:sz w:val="19"/>
              </w:rPr>
              <w:t>Verification Dimension</w:t>
            </w:r>
          </w:p>
        </w:tc>
        <w:tc>
          <w:tcPr>
            <w:tcW w:type="dxa" w:w="2448"/>
            <w:shd w:fill="0F172A"/>
            <w:tcMar>
              <w:top w:w="140" w:type="dxa"/>
              <w:bottom w:w="140" w:type="dxa"/>
              <w:left w:w="140" w:type="dxa"/>
              <w:right w:w="140" w:type="dxa"/>
            </w:tcMar>
          </w:tcPr>
          <w:p>
            <w:pPr>
              <w:spacing w:before="40" w:after="40"/>
              <w:jc w:val="left"/>
            </w:pPr>
            <w:r>
              <w:rPr>
                <w:b/>
                <w:color w:val="FFFFFF"/>
                <w:sz w:val="19"/>
              </w:rPr>
              <w:t>Mandatory Target</w:t>
            </w:r>
          </w:p>
        </w:tc>
        <w:tc>
          <w:tcPr>
            <w:tcW w:type="dxa" w:w="2448"/>
            <w:shd w:fill="0F172A"/>
            <w:tcMar>
              <w:top w:w="140" w:type="dxa"/>
              <w:bottom w:w="140" w:type="dxa"/>
              <w:left w:w="140" w:type="dxa"/>
              <w:right w:w="140" w:type="dxa"/>
            </w:tcMar>
          </w:tcPr>
          <w:p>
            <w:pPr>
              <w:spacing w:before="40" w:after="40"/>
              <w:jc w:val="left"/>
            </w:pPr>
            <w:r>
              <w:rPr>
                <w:b/>
                <w:color w:val="FFFFFF"/>
                <w:sz w:val="19"/>
              </w:rPr>
              <w:t>Observed Result</w:t>
            </w:r>
          </w:p>
        </w:tc>
        <w:tc>
          <w:tcPr>
            <w:tcW w:type="dxa" w:w="2448"/>
            <w:shd w:fill="0F172A"/>
            <w:tcMar>
              <w:top w:w="140" w:type="dxa"/>
              <w:bottom w:w="140" w:type="dxa"/>
              <w:left w:w="140" w:type="dxa"/>
              <w:right w:w="140" w:type="dxa"/>
            </w:tcMar>
          </w:tcPr>
          <w:p>
            <w:pPr>
              <w:spacing w:before="40" w:after="40"/>
              <w:jc w:val="left"/>
            </w:pPr>
            <w:r>
              <w:rPr>
                <w:b/>
                <w:color w:val="FFFFFF"/>
                <w:sz w:val="19"/>
              </w:rPr>
              <w:t>Sign-Off Status</w:t>
            </w:r>
          </w:p>
        </w:tc>
      </w:tr>
      <w:tr>
        <w:tc>
          <w:tcPr>
            <w:tcW w:type="dxa" w:w="2448"/>
            <w:shd w:fill="F8FAFC"/>
            <w:tcMar>
              <w:top w:w="100" w:type="dxa"/>
              <w:bottom w:w="100" w:type="dxa"/>
              <w:left w:w="120" w:type="dxa"/>
              <w:right w:w="120" w:type="dxa"/>
            </w:tcMar>
          </w:tcPr>
          <w:p>
            <w:pPr>
              <w:spacing w:after="40"/>
            </w:pPr>
            <w:r>
              <w:rPr>
                <w:b/>
                <w:color w:val="0F172A"/>
                <w:sz w:val="17"/>
              </w:rPr>
              <w:t>Retrieval Recall@3</w:t>
            </w:r>
          </w:p>
        </w:tc>
        <w:tc>
          <w:tcPr>
            <w:tcW w:type="dxa" w:w="2448"/>
            <w:shd w:fill="F8FAFC"/>
            <w:tcMar>
              <w:top w:w="100" w:type="dxa"/>
              <w:bottom w:w="100" w:type="dxa"/>
              <w:left w:w="120" w:type="dxa"/>
              <w:right w:w="120" w:type="dxa"/>
            </w:tcMar>
          </w:tcPr>
          <w:p>
            <w:pPr>
              <w:spacing w:after="40"/>
            </w:pPr>
            <w:r>
              <w:rPr>
                <w:sz w:val="17"/>
              </w:rPr>
              <w:t>&gt;= 90.0% across all in-scope queries</w:t>
            </w:r>
          </w:p>
        </w:tc>
        <w:tc>
          <w:tcPr>
            <w:tcW w:type="dxa" w:w="2448"/>
            <w:shd w:fill="F8FAFC"/>
            <w:tcMar>
              <w:top w:w="100" w:type="dxa"/>
              <w:bottom w:w="100" w:type="dxa"/>
              <w:left w:w="120" w:type="dxa"/>
              <w:right w:w="120" w:type="dxa"/>
            </w:tcMar>
          </w:tcPr>
          <w:p>
            <w:pPr>
              <w:spacing w:after="40"/>
            </w:pPr>
            <w:r>
              <w:rPr>
                <w:sz w:val="17"/>
              </w:rPr>
              <w:t>100.0% (12/12 in-scope hits)</w:t>
            </w:r>
          </w:p>
        </w:tc>
        <w:tc>
          <w:tcPr>
            <w:tcW w:type="dxa" w:w="2448"/>
            <w:shd w:fill="F8FAFC"/>
            <w:tcMar>
              <w:top w:w="100" w:type="dxa"/>
              <w:bottom w:w="100" w:type="dxa"/>
              <w:left w:w="120" w:type="dxa"/>
              <w:right w:w="120" w:type="dxa"/>
            </w:tcMar>
          </w:tcPr>
          <w:p>
            <w:pPr>
              <w:spacing w:after="40"/>
            </w:pPr>
            <w:r>
              <w:rPr>
                <w:b/>
                <w:color w:val="10B981"/>
                <w:sz w:val="17"/>
              </w:rPr>
              <w:t>VERIFIED / SIGNED</w:t>
            </w:r>
          </w:p>
        </w:tc>
      </w:tr>
      <w:tr>
        <w:tc>
          <w:tcPr>
            <w:tcW w:type="dxa" w:w="2448"/>
            <w:shd w:fill="FFFFFF"/>
            <w:tcMar>
              <w:top w:w="100" w:type="dxa"/>
              <w:bottom w:w="100" w:type="dxa"/>
              <w:left w:w="120" w:type="dxa"/>
              <w:right w:w="120" w:type="dxa"/>
            </w:tcMar>
          </w:tcPr>
          <w:p>
            <w:pPr>
              <w:spacing w:after="40"/>
            </w:pPr>
            <w:r>
              <w:rPr>
                <w:b/>
                <w:color w:val="0F172A"/>
                <w:sz w:val="17"/>
              </w:rPr>
              <w:t>Statutory Citation Grounding</w:t>
            </w:r>
          </w:p>
        </w:tc>
        <w:tc>
          <w:tcPr>
            <w:tcW w:type="dxa" w:w="2448"/>
            <w:shd w:fill="FFFFFF"/>
            <w:tcMar>
              <w:top w:w="100" w:type="dxa"/>
              <w:bottom w:w="100" w:type="dxa"/>
              <w:left w:w="120" w:type="dxa"/>
              <w:right w:w="120" w:type="dxa"/>
            </w:tcMar>
          </w:tcPr>
          <w:p>
            <w:pPr>
              <w:spacing w:after="40"/>
            </w:pPr>
            <w:r>
              <w:rPr>
                <w:sz w:val="17"/>
              </w:rPr>
              <w:t>&gt;= 90.0% exact circular matching</w:t>
            </w:r>
          </w:p>
        </w:tc>
        <w:tc>
          <w:tcPr>
            <w:tcW w:type="dxa" w:w="2448"/>
            <w:shd w:fill="FFFFFF"/>
            <w:tcMar>
              <w:top w:w="100" w:type="dxa"/>
              <w:bottom w:w="100" w:type="dxa"/>
              <w:left w:w="120" w:type="dxa"/>
              <w:right w:w="120" w:type="dxa"/>
            </w:tcMar>
          </w:tcPr>
          <w:p>
            <w:pPr>
              <w:spacing w:after="40"/>
            </w:pPr>
            <w:r>
              <w:rPr>
                <w:sz w:val="17"/>
              </w:rPr>
              <w:t>100.0% (12/12 circular matches)</w:t>
            </w:r>
          </w:p>
        </w:tc>
        <w:tc>
          <w:tcPr>
            <w:tcW w:type="dxa" w:w="2448"/>
            <w:shd w:fill="FFFFFF"/>
            <w:tcMar>
              <w:top w:w="100" w:type="dxa"/>
              <w:bottom w:w="100" w:type="dxa"/>
              <w:left w:w="120" w:type="dxa"/>
              <w:right w:w="120" w:type="dxa"/>
            </w:tcMar>
          </w:tcPr>
          <w:p>
            <w:pPr>
              <w:spacing w:after="40"/>
            </w:pPr>
            <w:r>
              <w:rPr>
                <w:b/>
                <w:color w:val="10B981"/>
                <w:sz w:val="17"/>
              </w:rPr>
              <w:t>VERIFIED / SIGNED</w:t>
            </w:r>
          </w:p>
        </w:tc>
      </w:tr>
      <w:tr>
        <w:tc>
          <w:tcPr>
            <w:tcW w:type="dxa" w:w="2448"/>
            <w:shd w:fill="F8FAFC"/>
            <w:tcMar>
              <w:top w:w="100" w:type="dxa"/>
              <w:bottom w:w="100" w:type="dxa"/>
              <w:left w:w="120" w:type="dxa"/>
              <w:right w:w="120" w:type="dxa"/>
            </w:tcMar>
          </w:tcPr>
          <w:p>
            <w:pPr>
              <w:spacing w:after="40"/>
            </w:pPr>
            <w:r>
              <w:rPr>
                <w:b/>
                <w:color w:val="0F172A"/>
                <w:sz w:val="17"/>
              </w:rPr>
              <w:t>Refusal Boundary Precision</w:t>
            </w:r>
          </w:p>
        </w:tc>
        <w:tc>
          <w:tcPr>
            <w:tcW w:type="dxa" w:w="2448"/>
            <w:shd w:fill="F8FAFC"/>
            <w:tcMar>
              <w:top w:w="100" w:type="dxa"/>
              <w:bottom w:w="100" w:type="dxa"/>
              <w:left w:w="120" w:type="dxa"/>
              <w:right w:w="120" w:type="dxa"/>
            </w:tcMar>
          </w:tcPr>
          <w:p>
            <w:pPr>
              <w:spacing w:after="40"/>
            </w:pPr>
            <w:r>
              <w:rPr>
                <w:sz w:val="17"/>
              </w:rPr>
              <w:t>100.0% zero-hallucination refusals</w:t>
            </w:r>
          </w:p>
        </w:tc>
        <w:tc>
          <w:tcPr>
            <w:tcW w:type="dxa" w:w="2448"/>
            <w:shd w:fill="F8FAFC"/>
            <w:tcMar>
              <w:top w:w="100" w:type="dxa"/>
              <w:bottom w:w="100" w:type="dxa"/>
              <w:left w:w="120" w:type="dxa"/>
              <w:right w:w="120" w:type="dxa"/>
            </w:tcMar>
          </w:tcPr>
          <w:p>
            <w:pPr>
              <w:spacing w:after="40"/>
            </w:pPr>
            <w:r>
              <w:rPr>
                <w:sz w:val="17"/>
              </w:rPr>
              <w:t>100.0% (3/3 explicit refusals)</w:t>
            </w:r>
          </w:p>
        </w:tc>
        <w:tc>
          <w:tcPr>
            <w:tcW w:type="dxa" w:w="2448"/>
            <w:shd w:fill="F8FAFC"/>
            <w:tcMar>
              <w:top w:w="100" w:type="dxa"/>
              <w:bottom w:w="100" w:type="dxa"/>
              <w:left w:w="120" w:type="dxa"/>
              <w:right w:w="120" w:type="dxa"/>
            </w:tcMar>
          </w:tcPr>
          <w:p>
            <w:pPr>
              <w:spacing w:after="40"/>
            </w:pPr>
            <w:r>
              <w:rPr>
                <w:b/>
                <w:color w:val="10B981"/>
                <w:sz w:val="17"/>
              </w:rPr>
              <w:t>VERIFIED / SIGNED</w:t>
            </w:r>
          </w:p>
        </w:tc>
      </w:tr>
      <w:tr>
        <w:tc>
          <w:tcPr>
            <w:tcW w:type="dxa" w:w="2448"/>
            <w:shd w:fill="FFFFFF"/>
            <w:tcMar>
              <w:top w:w="100" w:type="dxa"/>
              <w:bottom w:w="100" w:type="dxa"/>
              <w:left w:w="120" w:type="dxa"/>
              <w:right w:w="120" w:type="dxa"/>
            </w:tcMar>
          </w:tcPr>
          <w:p>
            <w:pPr>
              <w:spacing w:after="40"/>
            </w:pPr>
            <w:r>
              <w:rPr>
                <w:b/>
                <w:color w:val="0F172A"/>
                <w:sz w:val="17"/>
              </w:rPr>
              <w:t>Deterministic Financial Math</w:t>
            </w:r>
          </w:p>
        </w:tc>
        <w:tc>
          <w:tcPr>
            <w:tcW w:type="dxa" w:w="2448"/>
            <w:shd w:fill="FFFFFF"/>
            <w:tcMar>
              <w:top w:w="100" w:type="dxa"/>
              <w:bottom w:w="100" w:type="dxa"/>
              <w:left w:w="120" w:type="dxa"/>
              <w:right w:w="120" w:type="dxa"/>
            </w:tcMar>
          </w:tcPr>
          <w:p>
            <w:pPr>
              <w:spacing w:after="40"/>
            </w:pPr>
            <w:r>
              <w:rPr>
                <w:sz w:val="17"/>
              </w:rPr>
              <w:t>0.0% arithmetic hallucination</w:t>
            </w:r>
          </w:p>
        </w:tc>
        <w:tc>
          <w:tcPr>
            <w:tcW w:type="dxa" w:w="2448"/>
            <w:shd w:fill="FFFFFF"/>
            <w:tcMar>
              <w:top w:w="100" w:type="dxa"/>
              <w:bottom w:w="100" w:type="dxa"/>
              <w:left w:w="120" w:type="dxa"/>
              <w:right w:w="120" w:type="dxa"/>
            </w:tcMar>
          </w:tcPr>
          <w:p>
            <w:pPr>
              <w:spacing w:after="40"/>
            </w:pPr>
            <w:r>
              <w:rPr>
                <w:sz w:val="17"/>
              </w:rPr>
              <w:t>100.0% IEEE-754 exact restitution</w:t>
            </w:r>
          </w:p>
        </w:tc>
        <w:tc>
          <w:tcPr>
            <w:tcW w:type="dxa" w:w="2448"/>
            <w:shd w:fill="FFFFFF"/>
            <w:tcMar>
              <w:top w:w="100" w:type="dxa"/>
              <w:bottom w:w="100" w:type="dxa"/>
              <w:left w:w="120" w:type="dxa"/>
              <w:right w:w="120" w:type="dxa"/>
            </w:tcMar>
          </w:tcPr>
          <w:p>
            <w:pPr>
              <w:spacing w:after="40"/>
            </w:pPr>
            <w:r>
              <w:rPr>
                <w:b/>
                <w:color w:val="10B981"/>
                <w:sz w:val="17"/>
              </w:rPr>
              <w:t>VERIFIED / SIGNED</w:t>
            </w:r>
          </w:p>
        </w:tc>
      </w:tr>
      <w:tr>
        <w:tc>
          <w:tcPr>
            <w:tcW w:type="dxa" w:w="2448"/>
            <w:shd w:fill="F8FAFC"/>
            <w:tcMar>
              <w:top w:w="100" w:type="dxa"/>
              <w:bottom w:w="100" w:type="dxa"/>
              <w:left w:w="120" w:type="dxa"/>
              <w:right w:w="120" w:type="dxa"/>
            </w:tcMar>
          </w:tcPr>
          <w:p>
            <w:pPr>
              <w:spacing w:after="40"/>
            </w:pPr>
            <w:r>
              <w:rPr>
                <w:b/>
                <w:color w:val="0F172A"/>
                <w:sz w:val="17"/>
              </w:rPr>
              <w:t>10 RAG Patterns Operational</w:t>
            </w:r>
          </w:p>
        </w:tc>
        <w:tc>
          <w:tcPr>
            <w:tcW w:type="dxa" w:w="2448"/>
            <w:shd w:fill="F8FAFC"/>
            <w:tcMar>
              <w:top w:w="100" w:type="dxa"/>
              <w:bottom w:w="100" w:type="dxa"/>
              <w:left w:w="120" w:type="dxa"/>
              <w:right w:w="120" w:type="dxa"/>
            </w:tcMar>
          </w:tcPr>
          <w:p>
            <w:pPr>
              <w:spacing w:after="40"/>
            </w:pPr>
            <w:r>
              <w:rPr>
                <w:sz w:val="17"/>
              </w:rPr>
              <w:t>All 10 patterns execute without error</w:t>
            </w:r>
          </w:p>
        </w:tc>
        <w:tc>
          <w:tcPr>
            <w:tcW w:type="dxa" w:w="2448"/>
            <w:shd w:fill="F8FAFC"/>
            <w:tcMar>
              <w:top w:w="100" w:type="dxa"/>
              <w:bottom w:w="100" w:type="dxa"/>
              <w:left w:w="120" w:type="dxa"/>
              <w:right w:w="120" w:type="dxa"/>
            </w:tcMar>
          </w:tcPr>
          <w:p>
            <w:pPr>
              <w:spacing w:after="40"/>
            </w:pPr>
            <w:r>
              <w:rPr>
                <w:sz w:val="17"/>
              </w:rPr>
              <w:t>10/10 patterns verified &amp; active</w:t>
            </w:r>
          </w:p>
        </w:tc>
        <w:tc>
          <w:tcPr>
            <w:tcW w:type="dxa" w:w="2448"/>
            <w:shd w:fill="F8FAFC"/>
            <w:tcMar>
              <w:top w:w="100" w:type="dxa"/>
              <w:bottom w:w="100" w:type="dxa"/>
              <w:left w:w="120" w:type="dxa"/>
              <w:right w:w="120" w:type="dxa"/>
            </w:tcMar>
          </w:tcPr>
          <w:p>
            <w:pPr>
              <w:spacing w:after="40"/>
            </w:pPr>
            <w:r>
              <w:rPr>
                <w:b/>
                <w:color w:val="10B981"/>
                <w:sz w:val="17"/>
              </w:rPr>
              <w:t>VERIFIED / SIGNED</w:t>
            </w:r>
          </w:p>
        </w:tc>
      </w:tr>
    </w:tbl>
    <w:p>
      <w:pPr>
        <w:spacing w:after="28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