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30"/>
        </w:rPr>
        <w:t>EMIRATES FIRST COMMERCIAL BANK (PJSC)</w:t>
      </w:r>
    </w:p>
    <w:p>
      <w:pPr>
        <w:spacing w:after="240"/>
        <w:jc w:val="center"/>
      </w:pPr>
      <w:r>
        <w:rPr>
          <w:color w:val="64748B"/>
          <w:sz w:val="17"/>
        </w:rPr>
        <w:t>Licensed &amp; Regulated by Central Bank of the UAE | Tier-1 National Banking Institution</w:t>
      </w:r>
    </w:p>
    <w:p>
      <w:pPr>
        <w:spacing w:after="160"/>
        <w:jc w:val="center"/>
      </w:pPr>
      <w:r>
        <w:rPr>
          <w:color w:val="CBD5E1"/>
        </w:rPr>
        <w:t>――――――――――――――――――――――――――――――――――――――――――――――――――――――――――</w:t>
      </w:r>
    </w:p>
    <w:p>
      <w:pPr>
        <w:spacing w:after="80"/>
      </w:pPr>
      <w:r>
        <w:rPr>
          <w:b/>
          <w:color w:val="0284C7"/>
          <w:sz w:val="26"/>
        </w:rPr>
        <w:t>RESIDENTIAL MORTGAGE HOME FINANCE AGREEMENT</w:t>
      </w:r>
    </w:p>
    <w:p>
      <w:pPr>
        <w:spacing w:after="240"/>
      </w:pPr>
      <w:r>
        <w:rPr>
          <w:b/>
          <w:color w:val="E11D48"/>
          <w:sz w:val="18"/>
        </w:rPr>
        <w:t>AUDIT STRESS TEST TARGET: 100% CBUAE COMPLIANT RESIDENTIAL MORTGAGE</w:t>
      </w:r>
    </w:p>
    <w:tbl>
      <w:tblPr>
        <w:tblW w:type="auto" w:w="0"/>
        <w:jc w:val="center"/>
        <w:tblLayout w:type="fixed"/>
        <w:tblLook w:firstColumn="1" w:firstRow="1" w:lastColumn="0" w:lastRow="0" w:noHBand="0" w:noVBand="1" w:val="04A0"/>
      </w:tblPr>
      <w:tblGrid>
        <w:gridCol w:w="4802"/>
        <w:gridCol w:w="4802"/>
      </w:tblGrid>
      <w:tr>
        <w:tc>
          <w:tcPr>
            <w:tcW w:type="dxa" w:w="4752"/>
            <w:shd w:fill="f8fafc"/>
            <w:tcMar>
              <w:top w:w="80" w:type="dxa"/>
              <w:bottom w:w="80" w:type="dxa"/>
              <w:left w:w="120" w:type="dxa"/>
              <w:right w:w="120" w:type="dxa"/>
            </w:tcMar>
          </w:tcPr>
          <w:p>
            <w:r>
              <w:rPr>
                <w:color w:val="1E293B"/>
                <w:sz w:val="19"/>
              </w:rPr>
              <w:t>Contract Reference: EFN-MORT-2026-4402</w:t>
            </w:r>
          </w:p>
        </w:tc>
        <w:tc>
          <w:tcPr>
            <w:tcW w:type="dxa" w:w="4752"/>
            <w:shd w:fill="f8fafc"/>
            <w:tcMar>
              <w:top w:w="80" w:type="dxa"/>
              <w:bottom w:w="80" w:type="dxa"/>
              <w:left w:w="120" w:type="dxa"/>
              <w:right w:w="120" w:type="dxa"/>
            </w:tcMar>
          </w:tcPr>
          <w:p>
            <w:r>
              <w:rPr>
                <w:color w:val="1E293B"/>
                <w:sz w:val="19"/>
              </w:rPr>
              <w:t>Sanction Date: 10 February 2026</w:t>
            </w:r>
          </w:p>
        </w:tc>
      </w:tr>
      <w:tr>
        <w:tc>
          <w:tcPr>
            <w:tcW w:type="dxa" w:w="4752"/>
            <w:shd w:fill="f8fafc"/>
            <w:tcMar>
              <w:top w:w="80" w:type="dxa"/>
              <w:bottom w:w="80" w:type="dxa"/>
              <w:left w:w="120" w:type="dxa"/>
              <w:right w:w="120" w:type="dxa"/>
            </w:tcMar>
          </w:tcPr>
          <w:p>
            <w:r>
              <w:rPr>
                <w:color w:val="1E293B"/>
                <w:sz w:val="19"/>
              </w:rPr>
              <w:t>Borrower: Sarah Jenkins</w:t>
            </w:r>
          </w:p>
        </w:tc>
        <w:tc>
          <w:tcPr>
            <w:tcW w:type="dxa" w:w="4752"/>
            <w:shd w:fill="f8fafc"/>
            <w:tcMar>
              <w:top w:w="80" w:type="dxa"/>
              <w:bottom w:w="80" w:type="dxa"/>
              <w:left w:w="120" w:type="dxa"/>
              <w:right w:w="120" w:type="dxa"/>
            </w:tcMar>
          </w:tcPr>
          <w:p>
            <w:r>
              <w:rPr>
                <w:color w:val="1E293B"/>
                <w:sz w:val="19"/>
              </w:rPr>
              <w:t>Borrower ID: 784-1985-7654321-2</w:t>
            </w:r>
          </w:p>
        </w:tc>
      </w:tr>
      <w:tr>
        <w:tc>
          <w:tcPr>
            <w:tcW w:type="dxa" w:w="4752"/>
            <w:shd w:fill="f8fafc"/>
            <w:tcMar>
              <w:top w:w="80" w:type="dxa"/>
              <w:bottom w:w="80" w:type="dxa"/>
              <w:left w:w="120" w:type="dxa"/>
              <w:right w:w="120" w:type="dxa"/>
            </w:tcMar>
          </w:tcPr>
          <w:p>
            <w:r>
              <w:rPr>
                <w:color w:val="1E293B"/>
                <w:sz w:val="19"/>
              </w:rPr>
              <w:t>Verified Income: AED 48,000.00 per month (Verified Gross)</w:t>
            </w:r>
          </w:p>
        </w:tc>
        <w:tc>
          <w:tcPr>
            <w:tcW w:type="dxa" w:w="4752"/>
            <w:shd w:fill="f8fafc"/>
            <w:tcMar>
              <w:top w:w="80" w:type="dxa"/>
              <w:bottom w:w="80" w:type="dxa"/>
              <w:left w:w="120" w:type="dxa"/>
              <w:right w:w="120" w:type="dxa"/>
            </w:tcMar>
          </w:tcPr>
          <w:p>
            <w:r>
              <w:rPr>
                <w:color w:val="1E293B"/>
                <w:sz w:val="19"/>
              </w:rPr>
              <w:t>Regulatory Gazette: CBUAE Licensed Entity</w:t>
            </w:r>
          </w:p>
        </w:tc>
      </w:tr>
    </w:tbl>
    <w:p>
      <w:pPr>
        <w:spacing w:after="240"/>
      </w:pPr>
    </w:p>
    <w:p>
      <w:pPr>
        <w:spacing w:after="120"/>
      </w:pPr>
      <w:r>
        <w:rPr>
          <w:b/>
          <w:color w:val="0F172A"/>
          <w:sz w:val="22"/>
        </w:rPr>
        <w:t>SCHEDULE A: SANCTIONED FACILITY TERMS &amp; SCHEDULE</w:t>
      </w:r>
    </w:p>
    <w:tbl>
      <w:tblPr>
        <w:tblW w:type="auto" w:w="0"/>
        <w:jc w:val="center"/>
        <w:tblLayout w:type="fixed"/>
        <w:tblLook w:firstColumn="1" w:firstRow="1" w:lastColumn="0" w:lastRow="0" w:noHBand="0" w:noVBand="1" w:val="04A0"/>
      </w:tblPr>
      <w:tblGrid>
        <w:gridCol w:w="4802"/>
        <w:gridCol w:w="4802"/>
      </w:tblGrid>
      <w:tr>
        <w:tc>
          <w:tcPr>
            <w:tcW w:type="dxa" w:w="4032"/>
            <w:shd w:fill="0f172a"/>
            <w:tcMar>
              <w:top w:w="100" w:type="dxa"/>
              <w:bottom w:w="100" w:type="dxa"/>
              <w:left w:w="140" w:type="dxa"/>
              <w:right w:w="140" w:type="dxa"/>
            </w:tcMar>
          </w:tcPr>
          <w:p>
            <w:r>
              <w:rPr>
                <w:b/>
                <w:color w:val="FFFFFF"/>
                <w:sz w:val="19"/>
              </w:rPr>
              <w:t>Credit Parameter / Covenant</w:t>
            </w:r>
          </w:p>
        </w:tc>
        <w:tc>
          <w:tcPr>
            <w:tcW w:type="dxa" w:w="5472"/>
            <w:shd w:fill="0f172a"/>
            <w:tcMar>
              <w:top w:w="100" w:type="dxa"/>
              <w:bottom w:w="100" w:type="dxa"/>
              <w:left w:w="140" w:type="dxa"/>
              <w:right w:w="140" w:type="dxa"/>
            </w:tcMar>
          </w:tcPr>
          <w:p>
            <w:r>
              <w:rPr>
                <w:b/>
                <w:color w:val="FFFFFF"/>
                <w:sz w:val="19"/>
              </w:rPr>
              <w:t>Stipulated Contractual Term</w:t>
            </w:r>
          </w:p>
        </w:tc>
      </w:tr>
      <w:tr>
        <w:tc>
          <w:tcPr>
            <w:tcW w:type="dxa" w:w="4032"/>
            <w:shd w:fill="ffffff"/>
            <w:tcMar>
              <w:top w:w="80" w:type="dxa"/>
              <w:bottom w:w="80" w:type="dxa"/>
              <w:left w:w="140" w:type="dxa"/>
              <w:right w:w="140" w:type="dxa"/>
            </w:tcMar>
          </w:tcPr>
          <w:p>
            <w:r>
              <w:rPr>
                <w:b/>
                <w:color w:val="334155"/>
                <w:sz w:val="18"/>
              </w:rPr>
              <w:t>Facility Type</w:t>
            </w:r>
          </w:p>
        </w:tc>
        <w:tc>
          <w:tcPr>
            <w:tcW w:type="dxa" w:w="5472"/>
            <w:shd w:fill="ffffff"/>
            <w:tcMar>
              <w:top w:w="80" w:type="dxa"/>
              <w:bottom w:w="80" w:type="dxa"/>
              <w:left w:w="140" w:type="dxa"/>
              <w:right w:w="140" w:type="dxa"/>
            </w:tcMar>
          </w:tcPr>
          <w:p>
            <w:r>
              <w:rPr>
                <w:color w:val="0F172A"/>
                <w:sz w:val="18"/>
              </w:rPr>
              <w:t>First-Time Home Buyer Residential Mortgage (Completed Property)</w:t>
            </w:r>
          </w:p>
        </w:tc>
      </w:tr>
      <w:tr>
        <w:tc>
          <w:tcPr>
            <w:tcW w:type="dxa" w:w="4032"/>
            <w:shd w:fill="f1f5f9"/>
            <w:tcMar>
              <w:top w:w="80" w:type="dxa"/>
              <w:bottom w:w="80" w:type="dxa"/>
              <w:left w:w="140" w:type="dxa"/>
              <w:right w:w="140" w:type="dxa"/>
            </w:tcMar>
          </w:tcPr>
          <w:p>
            <w:r>
              <w:rPr>
                <w:b/>
                <w:color w:val="334155"/>
                <w:sz w:val="18"/>
              </w:rPr>
              <w:t>Agreed Property Purchase Valuation</w:t>
            </w:r>
          </w:p>
        </w:tc>
        <w:tc>
          <w:tcPr>
            <w:tcW w:type="dxa" w:w="5472"/>
            <w:shd w:fill="f1f5f9"/>
            <w:tcMar>
              <w:top w:w="80" w:type="dxa"/>
              <w:bottom w:w="80" w:type="dxa"/>
              <w:left w:w="140" w:type="dxa"/>
              <w:right w:w="140" w:type="dxa"/>
            </w:tcMar>
          </w:tcPr>
          <w:p>
            <w:r>
              <w:rPr>
                <w:color w:val="0F172A"/>
                <w:sz w:val="18"/>
              </w:rPr>
              <w:t>AED 3,000,000.00</w:t>
            </w:r>
          </w:p>
        </w:tc>
      </w:tr>
      <w:tr>
        <w:tc>
          <w:tcPr>
            <w:tcW w:type="dxa" w:w="4032"/>
            <w:shd w:fill="ffffff"/>
            <w:tcMar>
              <w:top w:w="80" w:type="dxa"/>
              <w:bottom w:w="80" w:type="dxa"/>
              <w:left w:w="140" w:type="dxa"/>
              <w:right w:w="140" w:type="dxa"/>
            </w:tcMar>
          </w:tcPr>
          <w:p>
            <w:r>
              <w:rPr>
                <w:b/>
                <w:color w:val="334155"/>
                <w:sz w:val="18"/>
              </w:rPr>
              <w:t>Down Payment Paid by Borrower</w:t>
            </w:r>
          </w:p>
        </w:tc>
        <w:tc>
          <w:tcPr>
            <w:tcW w:type="dxa" w:w="5472"/>
            <w:shd w:fill="ffffff"/>
            <w:tcMar>
              <w:top w:w="80" w:type="dxa"/>
              <w:bottom w:w="80" w:type="dxa"/>
              <w:left w:w="140" w:type="dxa"/>
              <w:right w:w="140" w:type="dxa"/>
            </w:tcMar>
          </w:tcPr>
          <w:p>
            <w:r>
              <w:rPr>
                <w:color w:val="0F172A"/>
                <w:sz w:val="18"/>
              </w:rPr>
              <w:t>AED 800,000.00 (26.67% of valuation)</w:t>
            </w:r>
          </w:p>
        </w:tc>
      </w:tr>
      <w:tr>
        <w:tc>
          <w:tcPr>
            <w:tcW w:type="dxa" w:w="4032"/>
            <w:shd w:fill="f1f5f9"/>
            <w:tcMar>
              <w:top w:w="80" w:type="dxa"/>
              <w:bottom w:w="80" w:type="dxa"/>
              <w:left w:w="140" w:type="dxa"/>
              <w:right w:w="140" w:type="dxa"/>
            </w:tcMar>
          </w:tcPr>
          <w:p>
            <w:r>
              <w:rPr>
                <w:b/>
                <w:color w:val="334155"/>
                <w:sz w:val="18"/>
              </w:rPr>
              <w:t>Sanctioned Loan Principal (Financed)</w:t>
            </w:r>
          </w:p>
        </w:tc>
        <w:tc>
          <w:tcPr>
            <w:tcW w:type="dxa" w:w="5472"/>
            <w:shd w:fill="f1f5f9"/>
            <w:tcMar>
              <w:top w:w="80" w:type="dxa"/>
              <w:bottom w:w="80" w:type="dxa"/>
              <w:left w:w="140" w:type="dxa"/>
              <w:right w:w="140" w:type="dxa"/>
            </w:tcMar>
          </w:tcPr>
          <w:p>
            <w:r>
              <w:rPr>
                <w:color w:val="0F172A"/>
                <w:sz w:val="18"/>
              </w:rPr>
              <w:t>AED 2,200,000.00 (LTV = 73.33%)</w:t>
            </w:r>
          </w:p>
        </w:tc>
      </w:tr>
      <w:tr>
        <w:tc>
          <w:tcPr>
            <w:tcW w:type="dxa" w:w="4032"/>
            <w:shd w:fill="ffffff"/>
            <w:tcMar>
              <w:top w:w="80" w:type="dxa"/>
              <w:bottom w:w="80" w:type="dxa"/>
              <w:left w:w="140" w:type="dxa"/>
              <w:right w:w="140" w:type="dxa"/>
            </w:tcMar>
          </w:tcPr>
          <w:p>
            <w:r>
              <w:rPr>
                <w:b/>
                <w:color w:val="334155"/>
                <w:sz w:val="18"/>
              </w:rPr>
              <w:t>Repayment Tenure</w:t>
            </w:r>
          </w:p>
        </w:tc>
        <w:tc>
          <w:tcPr>
            <w:tcW w:type="dxa" w:w="5472"/>
            <w:shd w:fill="ffffff"/>
            <w:tcMar>
              <w:top w:w="80" w:type="dxa"/>
              <w:bottom w:w="80" w:type="dxa"/>
              <w:left w:w="140" w:type="dxa"/>
              <w:right w:w="140" w:type="dxa"/>
            </w:tcMar>
          </w:tcPr>
          <w:p>
            <w:r>
              <w:rPr>
                <w:color w:val="0F172A"/>
                <w:sz w:val="18"/>
              </w:rPr>
              <w:t>240 Months (20 Years)</w:t>
            </w:r>
          </w:p>
        </w:tc>
      </w:tr>
      <w:tr>
        <w:tc>
          <w:tcPr>
            <w:tcW w:type="dxa" w:w="4032"/>
            <w:shd w:fill="f1f5f9"/>
            <w:tcMar>
              <w:top w:w="80" w:type="dxa"/>
              <w:bottom w:w="80" w:type="dxa"/>
              <w:left w:w="140" w:type="dxa"/>
              <w:right w:w="140" w:type="dxa"/>
            </w:tcMar>
          </w:tcPr>
          <w:p>
            <w:r>
              <w:rPr>
                <w:b/>
                <w:color w:val="334155"/>
                <w:sz w:val="18"/>
              </w:rPr>
              <w:t>Annual Profit / Interest Rate</w:t>
            </w:r>
          </w:p>
        </w:tc>
        <w:tc>
          <w:tcPr>
            <w:tcW w:type="dxa" w:w="5472"/>
            <w:shd w:fill="f1f5f9"/>
            <w:tcMar>
              <w:top w:w="80" w:type="dxa"/>
              <w:bottom w:w="80" w:type="dxa"/>
              <w:left w:w="140" w:type="dxa"/>
              <w:right w:w="140" w:type="dxa"/>
            </w:tcMar>
          </w:tcPr>
          <w:p>
            <w:r>
              <w:rPr>
                <w:color w:val="0F172A"/>
                <w:sz w:val="18"/>
              </w:rPr>
              <w:t>4.25% reducing per annum</w:t>
            </w:r>
          </w:p>
        </w:tc>
      </w:tr>
      <w:tr>
        <w:tc>
          <w:tcPr>
            <w:tcW w:type="dxa" w:w="4032"/>
            <w:shd w:fill="ffffff"/>
            <w:tcMar>
              <w:top w:w="80" w:type="dxa"/>
              <w:bottom w:w="80" w:type="dxa"/>
              <w:left w:w="140" w:type="dxa"/>
              <w:right w:w="140" w:type="dxa"/>
            </w:tcMar>
          </w:tcPr>
          <w:p>
            <w:r>
              <w:rPr>
                <w:b/>
                <w:color w:val="334155"/>
                <w:sz w:val="18"/>
              </w:rPr>
              <w:t>Scheduled Monthly Installment (EMI)</w:t>
            </w:r>
          </w:p>
        </w:tc>
        <w:tc>
          <w:tcPr>
            <w:tcW w:type="dxa" w:w="5472"/>
            <w:shd w:fill="ffffff"/>
            <w:tcMar>
              <w:top w:w="80" w:type="dxa"/>
              <w:bottom w:w="80" w:type="dxa"/>
              <w:left w:w="140" w:type="dxa"/>
              <w:right w:w="140" w:type="dxa"/>
            </w:tcMar>
          </w:tcPr>
          <w:p>
            <w:r>
              <w:rPr>
                <w:color w:val="0F172A"/>
                <w:sz w:val="18"/>
              </w:rPr>
              <w:t>AED 13,622.00</w:t>
            </w:r>
          </w:p>
        </w:tc>
      </w:tr>
      <w:tr>
        <w:tc>
          <w:tcPr>
            <w:tcW w:type="dxa" w:w="4032"/>
            <w:shd w:fill="f1f5f9"/>
            <w:tcMar>
              <w:top w:w="80" w:type="dxa"/>
              <w:bottom w:w="80" w:type="dxa"/>
              <w:left w:w="140" w:type="dxa"/>
              <w:right w:w="140" w:type="dxa"/>
            </w:tcMar>
          </w:tcPr>
          <w:p>
            <w:r>
              <w:rPr>
                <w:b/>
                <w:color w:val="334155"/>
                <w:sz w:val="18"/>
              </w:rPr>
              <w:t>Borrower Debt Burden Ratio (DBR)</w:t>
            </w:r>
          </w:p>
        </w:tc>
        <w:tc>
          <w:tcPr>
            <w:tcW w:type="dxa" w:w="5472"/>
            <w:shd w:fill="f1f5f9"/>
            <w:tcMar>
              <w:top w:w="80" w:type="dxa"/>
              <w:bottom w:w="80" w:type="dxa"/>
              <w:left w:w="140" w:type="dxa"/>
              <w:right w:w="140" w:type="dxa"/>
            </w:tcMar>
          </w:tcPr>
          <w:p>
            <w:r>
              <w:rPr>
                <w:color w:val="0F172A"/>
                <w:sz w:val="18"/>
              </w:rPr>
              <w:t>28.38% (Fully compliant with 50% cap)</w:t>
            </w:r>
          </w:p>
        </w:tc>
      </w:tr>
      <w:tr>
        <w:tc>
          <w:tcPr>
            <w:tcW w:type="dxa" w:w="4032"/>
            <w:shd w:fill="ffffff"/>
            <w:tcMar>
              <w:top w:w="80" w:type="dxa"/>
              <w:bottom w:w="80" w:type="dxa"/>
              <w:left w:w="140" w:type="dxa"/>
              <w:right w:w="140" w:type="dxa"/>
            </w:tcMar>
          </w:tcPr>
          <w:p>
            <w:r>
              <w:rPr>
                <w:b/>
                <w:color w:val="334155"/>
                <w:sz w:val="18"/>
              </w:rPr>
              <w:t>Processing &amp; Valuation Fee</w:t>
            </w:r>
          </w:p>
        </w:tc>
        <w:tc>
          <w:tcPr>
            <w:tcW w:type="dxa" w:w="5472"/>
            <w:shd w:fill="ffffff"/>
            <w:tcMar>
              <w:top w:w="80" w:type="dxa"/>
              <w:bottom w:w="80" w:type="dxa"/>
              <w:left w:w="140" w:type="dxa"/>
              <w:right w:w="140" w:type="dxa"/>
            </w:tcMar>
          </w:tcPr>
          <w:p>
            <w:r>
              <w:rPr>
                <w:color w:val="0F172A"/>
                <w:sz w:val="18"/>
              </w:rPr>
              <w:t>AED 5,000.00 (Strictly compliant with CBUAE fee caps)</w:t>
            </w:r>
          </w:p>
        </w:tc>
      </w:tr>
    </w:tbl>
    <w:p>
      <w:pPr>
        <w:spacing w:after="280"/>
      </w:pPr>
    </w:p>
    <w:p>
      <w:pPr>
        <w:spacing w:after="120"/>
      </w:pPr>
      <w:r>
        <w:rPr>
          <w:b/>
          <w:color w:val="0F172A"/>
          <w:sz w:val="22"/>
        </w:rPr>
        <w:t>SCHEDULE B: CONTRACTUAL COVENANTS &amp; LEGAL PROVISIONS</w:t>
      </w:r>
    </w:p>
    <w:p>
      <w:pPr>
        <w:spacing w:after="40"/>
      </w:pPr>
      <w:r>
        <w:rPr>
          <w:b/>
          <w:color w:val="1E293B"/>
          <w:sz w:val="20"/>
        </w:rPr>
        <w:t>Clause 8.2 — Prepayment &amp; Early Settlement Terms</w:t>
      </w:r>
    </w:p>
    <w:p>
      <w:pPr>
        <w:spacing w:after="160"/>
      </w:pPr>
      <w:r>
        <w:rPr>
          <w:color w:val="475569"/>
          <w:sz w:val="19"/>
        </w:rPr>
        <w:t>The Borrower has the contractual right to prepay or partially amortize the facility at any quarterly cycle. In the event of full or partial early settlement, the early exit fee is capped at exactly 1.0% of the prepaid principal sum, or AED 10,000.00, whichever is lower, strictly mirroring CBUAE Notice 3877/2019 and Circular 8/2020. The Lender shall provide an updated amortization schedule within five (5) business days reflecting the reduced balance.</w:t>
      </w:r>
    </w:p>
    <w:p>
      <w:pPr>
        <w:spacing w:after="40"/>
      </w:pPr>
      <w:r>
        <w:rPr>
          <w:b/>
          <w:color w:val="1E293B"/>
          <w:sz w:val="20"/>
        </w:rPr>
        <w:t>Clause 16.4 — Governing Law &amp; Jurisdiction</w:t>
      </w:r>
    </w:p>
    <w:p>
      <w:pPr>
        <w:spacing w:after="160"/>
      </w:pPr>
      <w:r>
        <w:rPr>
          <w:color w:val="475569"/>
          <w:sz w:val="19"/>
        </w:rPr>
        <w:t>This facility is executed under UAE Federal Banking Law and is subject to the exclusive regulatory supervision of the Central Bank of the United Arab Emirates.</w:t>
      </w:r>
    </w:p>
    <w:p>
      <w:pPr>
        <w:spacing w:after="240"/>
      </w:pPr>
    </w:p>
    <w:tbl>
      <w:tblPr>
        <w:tblW w:type="auto" w:w="0"/>
        <w:jc w:val="center"/>
        <w:tblLayout w:type="fixed"/>
        <w:tblLook w:firstColumn="1" w:firstRow="1" w:lastColumn="0" w:lastRow="0" w:noHBand="0" w:noVBand="1" w:val="04A0"/>
      </w:tblPr>
      <w:tblGrid>
        <w:gridCol w:w="4802"/>
        <w:gridCol w:w="4802"/>
      </w:tblGrid>
      <w:tr>
        <w:tc>
          <w:tcPr>
            <w:tcW w:type="dxa" w:w="4752"/>
            <w:shd w:fill="fafafa"/>
            <w:tcMar>
              <w:top w:w="100" w:type="dxa"/>
              <w:bottom w:w="100" w:type="dxa"/>
              <w:left w:w="120" w:type="dxa"/>
              <w:right w:w="120" w:type="dxa"/>
            </w:tcMar>
          </w:tcPr>
          <w:p>
            <w:r>
              <w:rPr>
                <w:color w:val="64748B"/>
                <w:sz w:val="17"/>
              </w:rPr>
              <w:t>FOR AND ON BEHALF OF LENDER:</w:t>
              <w:br/>
              <w:br/>
              <w:t>___________________________________</w:t>
              <w:br/>
              <w:t>Authorized Signatory (Credit Underwriting)</w:t>
              <w:br/>
              <w:t>Official Institutional Seal</w:t>
            </w:r>
          </w:p>
        </w:tc>
        <w:tc>
          <w:tcPr>
            <w:tcW w:type="dxa" w:w="4752"/>
            <w:shd w:fill="fafafa"/>
            <w:tcMar>
              <w:top w:w="100" w:type="dxa"/>
              <w:bottom w:w="100" w:type="dxa"/>
              <w:left w:w="120" w:type="dxa"/>
              <w:right w:w="120" w:type="dxa"/>
            </w:tcMar>
          </w:tcPr>
          <w:p>
            <w:r>
              <w:rPr>
                <w:color w:val="64748B"/>
                <w:sz w:val="17"/>
              </w:rPr>
              <w:t>BORROWER ACCEPTANCE &amp; WARRANTY:</w:t>
              <w:br/>
              <w:br/>
              <w:t>___________________________________</w:t>
              <w:br/>
              <w:t>Borrower Signature</w:t>
              <w:br/>
              <w:t>Emirates ID Verified</w:t>
            </w:r>
          </w:p>
        </w:tc>
      </w:tr>
    </w:tbl>
    <w:sectPr w:rsidR="00FC693F" w:rsidRPr="0006063C" w:rsidSect="00034616">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