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APEX GULF FINANCIAL SERVICES (PJSC)</w:t>
      </w:r>
    </w:p>
    <w:p>
      <w:pPr>
        <w:spacing w:after="240"/>
        <w:jc w:val="center"/>
      </w:pPr>
      <w:r>
        <w:rPr>
          <w:color w:val="64748B"/>
          <w:sz w:val="17"/>
        </w:rPr>
        <w:t>Licensed &amp; Regulated by Central Bank of the UAE | Category: Commercial Financing</w:t>
      </w:r>
    </w:p>
    <w:p>
      <w:pPr>
        <w:spacing w:after="16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/>
          <w:color w:val="0284C7"/>
          <w:sz w:val="26"/>
        </w:rPr>
        <w:t>RETAIL PERSONAL CREDIT FACILITY SANCTION LETTER</w:t>
      </w:r>
    </w:p>
    <w:p>
      <w:pPr>
        <w:spacing w:after="240"/>
      </w:pPr>
      <w:r>
        <w:rPr>
          <w:b/>
          <w:color w:val="E11D48"/>
          <w:sz w:val="18"/>
        </w:rPr>
        <w:t>AUDIT STRESS TEST TARGET: PREDATORY EXIT PENALTIES &amp; TENURE VIOLATION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Contract Reference: AG-PL-2026-9941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Sanction Date: 15 January 2026</w:t>
            </w:r>
          </w:p>
        </w:tc>
      </w:tr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Borrower: Tariq Mansoor Al-Hashemi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Borrower ID: 784-1988-1234567-1</w:t>
            </w:r>
          </w:p>
        </w:tc>
      </w:tr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Verified Income: AED 15,000.00 per month (Verified Gross)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Regulatory Gazette: CBUAE Licensed Entity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22"/>
        </w:rPr>
        <w:t>SCHEDULE A: SANCTIONED FACILITY TERMS &amp;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03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Credit Parameter / Covenant</w:t>
            </w:r>
          </w:p>
        </w:tc>
        <w:tc>
          <w:tcPr>
            <w:tcW w:type="dxa" w:w="547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Stipulated Contractual Term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Facility Type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Unsecured Personal Consumer Cash Loan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Sanctioned Loan Principal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180,000.00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Agreed Loan Tenure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60 Months (5 Years)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Fixed Reducing Interest Rate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7.99% per annum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Scheduled Monthly Installment (EMI)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9,500.00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Upfront Processing &amp; Origination Fee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4,500.00 (Deducted at source)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Late Payment Penalty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300.00 per missed cycle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22"/>
        </w:rPr>
        <w:t>SCHEDULE B: CONTRACTUAL COVENANTS &amp; LEGAL PROVISIONS</w:t>
      </w:r>
    </w:p>
    <w:p>
      <w:pPr>
        <w:spacing w:after="40"/>
      </w:pPr>
      <w:r>
        <w:rPr>
          <w:b/>
          <w:color w:val="1E293B"/>
          <w:sz w:val="20"/>
        </w:rPr>
        <w:t>Clause 9.4 — Voluntary Early Settlement &amp; Refinancing</w:t>
      </w:r>
    </w:p>
    <w:p>
      <w:pPr>
        <w:spacing w:after="160"/>
      </w:pPr>
      <w:r>
        <w:rPr>
          <w:color w:val="475569"/>
          <w:sz w:val="19"/>
        </w:rPr>
        <w:t>The Borrower may request early settlement of the outstanding facility provided thirty (30) days prior notice is served. In the event of full or partial early settlement: (a) The Borrower shall pay an early termination exit fee equal to 2.75% of the remaining outstanding principal balance, subject to an absolute minimum penalty charge of AED 15,000.00. (b) Any unamortized administrative setup costs shall be retained by the Lender.</w:t>
      </w:r>
    </w:p>
    <w:p>
      <w:pPr>
        <w:spacing w:after="40"/>
      </w:pPr>
      <w:r>
        <w:rPr>
          <w:b/>
          <w:color w:val="1E293B"/>
          <w:sz w:val="20"/>
        </w:rPr>
        <w:t>Clause 11.2 — Default &amp; Late Settlement Penalties</w:t>
      </w:r>
    </w:p>
    <w:p>
      <w:pPr>
        <w:spacing w:after="160"/>
      </w:pPr>
      <w:r>
        <w:rPr>
          <w:color w:val="475569"/>
          <w:sz w:val="19"/>
        </w:rPr>
        <w:t>Failure to honor any monthly installment on the 1st of each calendar month shall incur an automated delinquent processing fee of AED 300.00 per occurrence. Delinquent amounts shall compound at a default rate of 18% per annum until settled.</w:t>
      </w:r>
    </w:p>
    <w:p>
      <w:pPr>
        <w:spacing w:after="40"/>
      </w:pPr>
      <w:r>
        <w:rPr>
          <w:b/>
          <w:color w:val="1E293B"/>
          <w:sz w:val="20"/>
        </w:rPr>
        <w:t>Clause 14.1 — Governing Law &amp; Gazette Direction</w:t>
      </w:r>
    </w:p>
    <w:p>
      <w:pPr>
        <w:spacing w:after="160"/>
      </w:pPr>
      <w:r>
        <w:rPr>
          <w:color w:val="475569"/>
          <w:sz w:val="19"/>
        </w:rPr>
        <w:t>This Agreement shall be governed by the laws of the United Arab Emirates and the regulatory directions of the Central Bank of the UAE.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7"/>
              </w:rPr>
              <w:t>FOR AND ON BEHALF OF LENDER:</w:t>
              <w:br/>
              <w:br/>
              <w:t>___________________________________</w:t>
              <w:br/>
              <w:t>Authorized Signatory (Credit Underwriting)</w:t>
              <w:br/>
              <w:t>Official Institutional Seal</w:t>
            </w:r>
          </w:p>
        </w:tc>
        <w:tc>
          <w:tcPr>
            <w:tcW w:type="dxa" w:w="475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7"/>
              </w:rPr>
              <w:t>BORROWER ACCEPTANCE &amp; WARRANTY:</w:t>
              <w:br/>
              <w:br/>
              <w:t>___________________________________</w:t>
              <w:br/>
              <w:t>Borrower Signature</w:t>
              <w:br/>
              <w:t>Emirates ID Verified</w:t>
            </w:r>
          </w:p>
        </w:tc>
      </w:tr>
    </w:tbl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