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FALCON AUTO CREDIT &amp; CONSUMER LEASING LLC</w:t>
      </w:r>
    </w:p>
    <w:p>
      <w:pPr>
        <w:spacing w:after="240"/>
        <w:jc w:val="center"/>
      </w:pPr>
      <w:r>
        <w:rPr>
          <w:color w:val="64748B"/>
          <w:sz w:val="17"/>
        </w:rPr>
        <w:t>Licensed Finance Company | UAE Commercial Credit Registry No. 44921</w:t>
      </w:r>
    </w:p>
    <w:p>
      <w:pPr>
        <w:spacing w:after="16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color w:val="0284C7"/>
          <w:sz w:val="26"/>
        </w:rPr>
        <w:t>VEHICLE CONSUMER CREDIT SANCTION FACILITY</w:t>
      </w:r>
    </w:p>
    <w:p>
      <w:pPr>
        <w:spacing w:after="240"/>
      </w:pPr>
      <w:r>
        <w:rPr>
          <w:b/>
          <w:color w:val="E11D48"/>
          <w:sz w:val="18"/>
        </w:rPr>
        <w:t>AUDIT STRESS TEST TARGET: TENURE BREACH (72 MO) &amp; LATE FEE OVERCHARGE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Contract Reference: FAC-AUTO-2026-1188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Sanction Date: 02 March 2026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Borrower: Ahmed Rashid Al-Nuaimi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 ID: 784-1994-9988776-5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Verified Income: AED 12,000.00 per month (Verified Gross)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Regulatory Gazette: CBUAE Licensed Entity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2"/>
        </w:rPr>
        <w:t>SCHEDULE A: SANCTIONED FACILITY TERMS &amp;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03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Credit Parameter / Covenant</w:t>
            </w:r>
          </w:p>
        </w:tc>
        <w:tc>
          <w:tcPr>
            <w:tcW w:type="dxa" w:w="547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Stipulated Contractual Term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Financed Asset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2026 Premium SUV (Brand New)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Vehicle Invoiced Price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160,000.00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Down Payment Received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0.00 (Zero Down Payment Promotion - 100% Financed)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Sanctioned Loan Principal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160,000.00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Loan Repayment Tenure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72 Months (6 Years)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Scheduled Monthly Installment (EMI)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2,750.00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Late Payment Delinquent Charge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350.00 per occurrence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Processing &amp; Admin Fee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3,200.00 (Exceeds CBUAE standard cap)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22"/>
        </w:rPr>
        <w:t>SCHEDULE B: CONTRACTUAL COVENANTS &amp; LEGAL PROVISIONS</w:t>
      </w:r>
    </w:p>
    <w:p>
      <w:pPr>
        <w:spacing w:after="40"/>
      </w:pPr>
      <w:r>
        <w:rPr>
          <w:b/>
          <w:color w:val="1E293B"/>
          <w:sz w:val="20"/>
        </w:rPr>
        <w:t>Clause 5.1 — Extended Auto Tenure Terms</w:t>
      </w:r>
    </w:p>
    <w:p>
      <w:pPr>
        <w:spacing w:after="160"/>
      </w:pPr>
      <w:r>
        <w:rPr>
          <w:color w:val="475569"/>
          <w:sz w:val="19"/>
        </w:rPr>
        <w:t>The facility is amortized across seventy-two (72) equal monthly installments of AED 2,750.00. Notice 2011/23 Article 5 statutory cap is 60 months; customer voluntarily elects extended 72-month tenure.</w:t>
      </w:r>
    </w:p>
    <w:p>
      <w:pPr>
        <w:spacing w:after="40"/>
      </w:pPr>
      <w:r>
        <w:rPr>
          <w:b/>
          <w:color w:val="1E293B"/>
          <w:sz w:val="20"/>
        </w:rPr>
        <w:t>Clause 9.3 — Delinquency and Administrative Surcharges</w:t>
      </w:r>
    </w:p>
    <w:p>
      <w:pPr>
        <w:spacing w:after="160"/>
      </w:pPr>
      <w:r>
        <w:rPr>
          <w:color w:val="475569"/>
          <w:sz w:val="19"/>
        </w:rPr>
        <w:t>Any payment delayed beyond the 5th day of each billing cycle shall be assessed an administrative late fee of AED 350.00 per incident.</w:t>
      </w:r>
    </w:p>
    <w:p>
      <w:pPr>
        <w:spacing w:after="40"/>
      </w:pPr>
      <w:r>
        <w:rPr>
          <w:b/>
          <w:color w:val="1E293B"/>
          <w:sz w:val="20"/>
        </w:rPr>
        <w:t>Clause 13.0 — UAE Banking Regulations</w:t>
      </w:r>
    </w:p>
    <w:p>
      <w:pPr>
        <w:spacing w:after="160"/>
      </w:pPr>
      <w:r>
        <w:rPr>
          <w:color w:val="475569"/>
          <w:sz w:val="19"/>
        </w:rPr>
        <w:t>Governed by the civil and commercial laws of the United Arab Emirates and CBUAE financing standards.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FOR AND ON BEHALF OF LENDER:</w:t>
              <w:br/>
              <w:br/>
              <w:t>___________________________________</w:t>
              <w:br/>
              <w:t>Authorized Signatory (Credit Underwriting)</w:t>
              <w:br/>
              <w:t>Official Institutional Seal</w:t>
            </w:r>
          </w:p>
        </w:tc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BORROWER ACCEPTANCE &amp; WARRANTY:</w:t>
              <w:br/>
              <w:br/>
              <w:t>___________________________________</w:t>
              <w:br/>
              <w:t>Borrower Signature</w:t>
              <w:br/>
              <w:t>Emirates ID Verified</w:t>
            </w:r>
          </w:p>
        </w:tc>
      </w:tr>
    </w:tbl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