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DUBAI CRESCENT CREDIT BANK (PJSC)</w:t>
      </w:r>
    </w:p>
    <w:p>
      <w:pPr>
        <w:spacing w:after="240"/>
        <w:jc w:val="center"/>
      </w:pPr>
      <w:r>
        <w:rPr>
          <w:color w:val="64748B"/>
          <w:sz w:val="17"/>
        </w:rPr>
        <w:t>Licensed Commercial Banking Institution | Central Bank of the UAE Registration No. 1104</w:t>
      </w:r>
    </w:p>
    <w:p>
      <w:pPr>
        <w:spacing w:after="16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/>
          <w:color w:val="0284C7"/>
          <w:sz w:val="26"/>
        </w:rPr>
        <w:t>CONSOLIDATED RETAIL CREDIT FACILITY SANCTION LETTER</w:t>
      </w:r>
    </w:p>
    <w:p>
      <w:pPr>
        <w:spacing w:after="240"/>
      </w:pPr>
      <w:r>
        <w:rPr>
          <w:b/>
          <w:color w:val="E11D48"/>
          <w:sz w:val="18"/>
        </w:rPr>
        <w:t>AUDIT STRESS TEST TARGET: SEVERE DEBT BURDEN RATIO (74.7% DBR) BREACH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Contract Reference: DCCB-CRF-2026-8812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Sanction Date: 28 February 2026</w:t>
            </w:r>
          </w:p>
        </w:tc>
      </w:tr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Borrower: Hamad Salem Al-Falasi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Borrower ID: 784-1991-7654321-2</w:t>
            </w:r>
          </w:p>
        </w:tc>
      </w:tr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Verified Income: AED 16,000.00 per month (Verified Gross Monthly Income)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Regulatory Gazette: CBUAE Licensed Entity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22"/>
        </w:rPr>
        <w:t>SCHEDULE A: SANCTIONED FACILITY TERMS &amp;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03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Credit Parameter / Covenant</w:t>
            </w:r>
          </w:p>
        </w:tc>
        <w:tc>
          <w:tcPr>
            <w:tcW w:type="dxa" w:w="547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Stipulated Contractual Term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Facility Type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Personal Debt Consolidation Facility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Approved Principal Amount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320,000.00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Agreed Loan Tenure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48 Months (4 Years)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Scheduled Monthly Loan Installment (EMI)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7,650.00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Active Auto Loan Commitment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1,800.00 / month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Approved Revolving Credit Card Limits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50,000.00 (Imputed 5% monthly: AED 2,500.00)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Total Aggregate Monthly Debt Commitments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11,950.00 per month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Computed Debt Burden Ratio (DBR)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74.69% of Gross Monthly Income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Upfront Processing Fee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1,600.00 (0.5% of principal)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Late Payment Charge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AED 150.00 per missed cycle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22"/>
        </w:rPr>
        <w:t>SCHEDULE B: CONTRACTUAL COVENANTS &amp; LEGAL PROVISIONS</w:t>
      </w:r>
    </w:p>
    <w:p>
      <w:pPr>
        <w:spacing w:after="40"/>
      </w:pPr>
      <w:r>
        <w:rPr>
          <w:b/>
          <w:color w:val="1E293B"/>
          <w:sz w:val="20"/>
        </w:rPr>
        <w:t>Clause 8.2 — Prepayment &amp; Foreclosure Terms</w:t>
      </w:r>
    </w:p>
    <w:p>
      <w:pPr>
        <w:spacing w:after="160"/>
      </w:pPr>
      <w:r>
        <w:rPr>
          <w:color w:val="475569"/>
          <w:sz w:val="19"/>
        </w:rPr>
        <w:t>Early settlement shall be permitted subject to an early settlement charge of 1.0% of the remaining outstanding principal balance or AED 10,000.00, whichever is lower, in accordance with Central Bank of the UAE regulatory schedules.</w:t>
      </w:r>
    </w:p>
    <w:p>
      <w:pPr>
        <w:spacing w:after="40"/>
      </w:pPr>
      <w:r>
        <w:rPr>
          <w:b/>
          <w:color w:val="1E293B"/>
          <w:sz w:val="20"/>
        </w:rPr>
        <w:t>Clause 12.1 — Debt Burden Ratio Acknowledgment</w:t>
      </w:r>
    </w:p>
    <w:p>
      <w:pPr>
        <w:spacing w:after="160"/>
      </w:pPr>
      <w:r>
        <w:rPr>
          <w:color w:val="475569"/>
          <w:sz w:val="19"/>
        </w:rPr>
        <w:t>The Borrower acknowledges that aggregate monthly repayment commitments across all active facilities equal AED 11,950.00 per month, representing 74.69% of validated monthly earnings. Central Bank Notice 2011/23 Article 7 restricts retail DBR to 50.0%.</w:t>
      </w:r>
    </w:p>
    <w:p>
      <w:pPr>
        <w:spacing w:after="40"/>
      </w:pPr>
      <w:r>
        <w:rPr>
          <w:b/>
          <w:color w:val="1E293B"/>
          <w:sz w:val="20"/>
        </w:rPr>
        <w:t>Clause 15.3 — Regulatory Oversight</w:t>
      </w:r>
    </w:p>
    <w:p>
      <w:pPr>
        <w:spacing w:after="160"/>
      </w:pPr>
      <w:r>
        <w:rPr>
          <w:color w:val="475569"/>
          <w:sz w:val="19"/>
        </w:rPr>
        <w:t>This credit facility is governed by the laws of the United Arab Emirates and subject to CBUAE regulatory enforcement.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7"/>
              </w:rPr>
              <w:t>FOR AND ON BEHALF OF LENDER:</w:t>
              <w:br/>
              <w:br/>
              <w:t>___________________________________</w:t>
              <w:br/>
              <w:t>Authorized Signatory (Credit Underwriting)</w:t>
              <w:br/>
              <w:t>Official Institutional Seal</w:t>
            </w:r>
          </w:p>
        </w:tc>
        <w:tc>
          <w:tcPr>
            <w:tcW w:type="dxa" w:w="475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7"/>
              </w:rPr>
              <w:t>BORROWER ACCEPTANCE &amp; WARRANTY:</w:t>
              <w:br/>
              <w:br/>
              <w:t>___________________________________</w:t>
              <w:br/>
              <w:t>Borrower Signature</w:t>
              <w:br/>
              <w:t>Emirates ID Verified</w:t>
            </w:r>
          </w:p>
        </w:tc>
      </w:tr>
    </w:tbl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