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B5E20"/>
          <w:sz w:val="64"/>
        </w:rPr>
        <w:t>CARBONLENS</w:t>
      </w:r>
    </w:p>
    <w:p>
      <w:pPr>
        <w:jc w:val="center"/>
      </w:pPr>
      <w:r>
        <w:rPr>
          <w:b/>
          <w:color w:val="263238"/>
          <w:sz w:val="42"/>
        </w:rPr>
        <w:t>Google JAPAC Prototype Technical Execution Plan</w:t>
        <w:br/>
        <w:t>+ Integrated High-Level Design (HLD) - Reward Framework Upgrade</w:t>
      </w:r>
    </w:p>
    <w:p>
      <w:pPr>
        <w:spacing w:before="500"/>
        <w:jc w:val="center"/>
      </w:pPr>
      <w:r>
        <w:rPr>
          <w:color w:val="546E7A"/>
          <w:sz w:val="24"/>
        </w:rPr>
        <w:t>Web + Android Mobile Prototype | Google-First Architecture | Oct 7-18, 2026</w:t>
      </w:r>
    </w:p>
    <w:tbl>
      <w:tblPr>
        <w:tblW w:type="auto" w:w="0"/>
        <w:jc w:val="center"/>
        <w:tblLook w:firstColumn="1" w:firstRow="1" w:lastColumn="0" w:lastRow="0" w:noHBand="0" w:noVBand="1" w:val="04A0"/>
      </w:tblPr>
      <w:tblGrid>
        <w:gridCol w:w="10080"/>
      </w:tblGrid>
      <w:tr>
        <w:tc>
          <w:tcPr>
            <w:tcW w:type="dxa" w:w="10080"/>
            <w:shd w:fill="E8F5E9"/>
          </w:tcPr>
          <w:p>
            <w:r>
              <w:t>Primary architecture decision</w:t>
              <w:br/>
              <w:t>Build from the core outward. Prove one thin, end-to-end CarbonLens loop first: capture evidence -&gt; identify/normalize -&gt; deterministic impact/sustainability calculation -&gt; Gemini explanation -&gt; Trusted Green Event verification -&gt; policy-driven reward ledger -&gt; dashboard. The same Trusted Green Event contract is then reused across four foundational reward segments: Go-Green-Product, Green-Move, Grow-Green and Recycle-Red. Store, community, Earth Pulse and other wrappers remain secondary.</w:t>
            </w:r>
          </w:p>
        </w:tc>
      </w:tr>
    </w:tbl>
    <w:p>
      <w:pPr>
        <w:spacing w:after="40"/>
      </w:pPr>
    </w:p>
    <w:p>
      <w:pPr>
        <w:spacing w:before="700"/>
        <w:jc w:val="center"/>
      </w:pPr>
      <w:r>
        <w:t>Prepared for Google JAPAC Prototype Submission</w:t>
        <w:br/>
        <w:t>Document Version 2.1 | 9 October 2026</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1B5E20"/>
          </w:tcPr>
          <w:p>
            <w:pPr>
              <w:jc w:val="center"/>
            </w:pPr>
            <w:r/>
            <w:r>
              <w:rPr>
                <w:rFonts w:ascii="Aptos" w:hAnsi="Aptos"/>
                <w:b/>
                <w:color w:val="FFFFFF"/>
                <w:sz w:val="18"/>
              </w:rPr>
              <w:t>Item</w:t>
            </w:r>
          </w:p>
        </w:tc>
        <w:tc>
          <w:tcPr>
            <w:tcW w:type="dxa" w:w="8064"/>
            <w:vAlign w:val="center"/>
            <w:shd w:fill="1B5E20"/>
          </w:tcPr>
          <w:p>
            <w:pPr>
              <w:jc w:val="center"/>
            </w:pPr>
            <w:r/>
            <w:r>
              <w:rPr>
                <w:rFonts w:ascii="Aptos" w:hAnsi="Aptos"/>
                <w:b/>
                <w:color w:val="FFFFFF"/>
                <w:sz w:val="18"/>
              </w:rPr>
              <w:t>Value</w:t>
            </w:r>
          </w:p>
        </w:tc>
      </w:tr>
      <w:tr>
        <w:tc>
          <w:tcPr>
            <w:tcW w:type="dxa" w:w="2016"/>
            <w:vAlign w:val="center"/>
          </w:tcPr>
          <w:p>
            <w:r/>
            <w:r>
              <w:rPr>
                <w:rFonts w:ascii="Aptos" w:hAnsi="Aptos"/>
                <w:b w:val="0"/>
                <w:sz w:val="18"/>
              </w:rPr>
              <w:t>Document</w:t>
            </w:r>
          </w:p>
        </w:tc>
        <w:tc>
          <w:tcPr>
            <w:tcW w:type="dxa" w:w="8064"/>
            <w:vAlign w:val="center"/>
          </w:tcPr>
          <w:p>
            <w:r/>
            <w:r>
              <w:rPr>
                <w:rFonts w:ascii="Aptos" w:hAnsi="Aptos"/>
                <w:b w:val="0"/>
                <w:sz w:val="18"/>
              </w:rPr>
              <w:t>CarbonLens Google JAPAC Technical Execution Plan + Integrated HLD</w:t>
            </w:r>
          </w:p>
        </w:tc>
      </w:tr>
      <w:tr>
        <w:tc>
          <w:tcPr>
            <w:tcW w:type="dxa" w:w="2016"/>
            <w:vAlign w:val="center"/>
            <w:shd w:fill="F7F9F9"/>
          </w:tcPr>
          <w:p>
            <w:r/>
            <w:r>
              <w:rPr>
                <w:rFonts w:ascii="Aptos" w:hAnsi="Aptos"/>
                <w:b w:val="0"/>
                <w:sz w:val="18"/>
              </w:rPr>
              <w:t>Version</w:t>
            </w:r>
          </w:p>
        </w:tc>
        <w:tc>
          <w:tcPr>
            <w:tcW w:type="dxa" w:w="8064"/>
            <w:vAlign w:val="center"/>
            <w:shd w:fill="F7F9F9"/>
          </w:tcPr>
          <w:p>
            <w:r>
              <w:t>2.1</w:t>
            </w:r>
          </w:p>
        </w:tc>
      </w:tr>
      <w:tr>
        <w:tc>
          <w:tcPr>
            <w:tcW w:type="dxa" w:w="2016"/>
            <w:vAlign w:val="center"/>
          </w:tcPr>
          <w:p>
            <w:r/>
            <w:r>
              <w:rPr>
                <w:rFonts w:ascii="Aptos" w:hAnsi="Aptos"/>
                <w:b w:val="0"/>
                <w:sz w:val="18"/>
              </w:rPr>
              <w:t>Date</w:t>
            </w:r>
          </w:p>
        </w:tc>
        <w:tc>
          <w:tcPr>
            <w:tcW w:type="dxa" w:w="8064"/>
            <w:vAlign w:val="center"/>
          </w:tcPr>
          <w:p>
            <w:r>
              <w:t>9 October 2026</w:t>
            </w:r>
          </w:p>
        </w:tc>
      </w:tr>
      <w:tr>
        <w:tc>
          <w:tcPr>
            <w:tcW w:type="dxa" w:w="2016"/>
            <w:vAlign w:val="center"/>
            <w:shd w:fill="F7F9F9"/>
          </w:tcPr>
          <w:p>
            <w:r/>
            <w:r>
              <w:rPr>
                <w:rFonts w:ascii="Aptos" w:hAnsi="Aptos"/>
                <w:b w:val="0"/>
                <w:sz w:val="18"/>
              </w:rPr>
              <w:t>Target Submission</w:t>
            </w:r>
          </w:p>
        </w:tc>
        <w:tc>
          <w:tcPr>
            <w:tcW w:type="dxa" w:w="8064"/>
            <w:vAlign w:val="center"/>
            <w:shd w:fill="F7F9F9"/>
          </w:tcPr>
          <w:p>
            <w:r/>
            <w:r>
              <w:rPr>
                <w:rFonts w:ascii="Aptos" w:hAnsi="Aptos"/>
                <w:b w:val="0"/>
                <w:sz w:val="18"/>
              </w:rPr>
              <w:t>18 October 2026</w:t>
            </w:r>
          </w:p>
        </w:tc>
      </w:tr>
      <w:tr>
        <w:tc>
          <w:tcPr>
            <w:tcW w:type="dxa" w:w="2016"/>
            <w:vAlign w:val="center"/>
          </w:tcPr>
          <w:p>
            <w:r/>
            <w:r>
              <w:rPr>
                <w:rFonts w:ascii="Aptos" w:hAnsi="Aptos"/>
                <w:b w:val="0"/>
                <w:sz w:val="18"/>
              </w:rPr>
              <w:t>Primary Outputs</w:t>
            </w:r>
          </w:p>
        </w:tc>
        <w:tc>
          <w:tcPr>
            <w:tcW w:type="dxa" w:w="8064"/>
            <w:vAlign w:val="center"/>
          </w:tcPr>
          <w:p>
            <w:r/>
            <w:r>
              <w:rPr>
                <w:rFonts w:ascii="Aptos" w:hAnsi="Aptos"/>
                <w:b w:val="0"/>
                <w:sz w:val="18"/>
              </w:rPr>
              <w:t>Public web prototype, Android mobile build, GitHub repository, PPT/PDF, demo video</w:t>
            </w:r>
          </w:p>
        </w:tc>
      </w:tr>
      <w:tr>
        <w:tc>
          <w:tcPr>
            <w:tcW w:type="dxa" w:w="2016"/>
            <w:vAlign w:val="center"/>
            <w:shd w:fill="F7F9F9"/>
          </w:tcPr>
          <w:p>
            <w:r/>
            <w:r>
              <w:rPr>
                <w:rFonts w:ascii="Aptos" w:hAnsi="Aptos"/>
                <w:b w:val="0"/>
                <w:sz w:val="18"/>
              </w:rPr>
              <w:t>Architecture Constraint</w:t>
            </w:r>
          </w:p>
        </w:tc>
        <w:tc>
          <w:tcPr>
            <w:tcW w:type="dxa" w:w="8064"/>
            <w:vAlign w:val="center"/>
            <w:shd w:fill="F7F9F9"/>
          </w:tcPr>
          <w:p>
            <w:r/>
            <w:r>
              <w:rPr>
                <w:rFonts w:ascii="Aptos" w:hAnsi="Aptos"/>
                <w:b w:val="0"/>
                <w:sz w:val="18"/>
              </w:rPr>
              <w:t>Google products/services for the solution stack; GitHub retained only because the submission explicitly requires a public GitHub repository.</w:t>
            </w:r>
          </w:p>
        </w:tc>
      </w:tr>
      <w:tr>
        <w:tc>
          <w:tcPr>
            <w:tcW w:type="dxa" w:w="2016"/>
            <w:vAlign w:val="center"/>
          </w:tcPr>
          <w:p>
            <w:r/>
            <w:r>
              <w:rPr>
                <w:rFonts w:ascii="Aptos" w:hAnsi="Aptos"/>
                <w:b w:val="0"/>
                <w:sz w:val="18"/>
              </w:rPr>
              <w:t>Source Design</w:t>
            </w:r>
          </w:p>
        </w:tc>
        <w:tc>
          <w:tcPr>
            <w:tcW w:type="dxa" w:w="8064"/>
            <w:vAlign w:val="center"/>
          </w:tcPr>
          <w:p>
            <w:r>
              <w:t>CarbonLens finalized product concept, CarbonLens HLD v1.0, and four-segment reward framework upgrade</w:t>
            </w:r>
          </w:p>
        </w:tc>
      </w:tr>
    </w:tbl>
    <w:p>
      <w:pPr>
        <w:spacing w:after="40"/>
      </w:pPr>
    </w:p>
    <w:tbl>
      <w:tblPr>
        <w:tblW w:type="auto" w:w="0"/>
        <w:jc w:val="center"/>
        <w:tblLook w:firstColumn="1" w:firstRow="1" w:lastColumn="0" w:lastRow="0" w:noHBand="0" w:noVBand="1" w:val="04A0"/>
      </w:tblPr>
      <w:tblGrid>
        <w:gridCol w:w="10080"/>
      </w:tblGrid>
      <w:tr>
        <w:tc>
          <w:tcPr>
            <w:tcW w:type="dxa" w:w="10080"/>
            <w:shd w:fill="FFF3E0"/>
          </w:tcPr>
          <w:p>
            <w:pPr>
              <w:spacing w:before="120" w:after="120"/>
            </w:pPr>
            <w:r>
              <w:rPr>
                <w:b/>
                <w:color w:val="1B5E20"/>
                <w:sz w:val="21"/>
              </w:rPr>
              <w:t>Status as of Oct 7</w:t>
              <w:br/>
            </w:r>
            <w:r>
              <w:rPr>
                <w:color w:val="263238"/>
                <w:sz w:val="19"/>
              </w:rPr>
              <w:t>Oct 5 (idea selection) and Oct 6 (problem statement/HLD) are treated as completed inputs. The build plan therefore starts immediately with project/repository/bootstrap work on Oct 7.</w:t>
            </w:r>
          </w:p>
        </w:tc>
      </w:tr>
    </w:tbl>
    <w:p>
      <w:pPr>
        <w:spacing w:after="40"/>
      </w:pPr>
    </w:p>
    <w:p>
      <w:pPr>
        <w:pStyle w:val="Heading1"/>
        <w:keepNext/>
      </w:pPr>
      <w:r>
        <w:t>Table of Contents</w:t>
      </w:r>
    </w:p>
    <w:p>
      <w:pPr>
        <w:pStyle w:val="ListBullet"/>
        <w:spacing w:after="20"/>
      </w:pPr>
      <w:r>
        <w:t>1. Executive Direction</w:t>
      </w:r>
    </w:p>
    <w:p>
      <w:pPr>
        <w:pStyle w:val="ListBullet"/>
        <w:spacing w:after="20"/>
      </w:pPr>
      <w:r>
        <w:t>2. Competition Requirements Translated to Engineering Goals</w:t>
      </w:r>
    </w:p>
    <w:p>
      <w:pPr>
        <w:pStyle w:val="ListBullet"/>
        <w:spacing w:after="20"/>
      </w:pPr>
      <w:r>
        <w:t>3. Build Strategy: Core First, Wrappers Later</w:t>
      </w:r>
    </w:p>
    <w:p>
      <w:pPr>
        <w:pStyle w:val="ListBullet"/>
        <w:spacing w:after="20"/>
      </w:pPr>
      <w:r>
        <w:t>4. Approved Google-First Technology Stack</w:t>
      </w:r>
    </w:p>
    <w:p>
      <w:pPr>
        <w:pStyle w:val="ListBullet"/>
        <w:spacing w:after="20"/>
      </w:pPr>
      <w:r>
        <w:t>5. Integrated High-Level Design (HLD)</w:t>
      </w:r>
    </w:p>
    <w:p>
      <w:pPr>
        <w:pStyle w:val="ListBullet"/>
        <w:spacing w:after="20"/>
      </w:pPr>
      <w:r>
        <w:t>6. MVP Scope and Cut Lines</w:t>
      </w:r>
    </w:p>
    <w:p>
      <w:pPr>
        <w:pStyle w:val="ListBullet"/>
        <w:spacing w:after="20"/>
      </w:pPr>
      <w:r>
        <w:t>7. Repository and Project Structure</w:t>
      </w:r>
    </w:p>
    <w:p>
      <w:pPr>
        <w:pStyle w:val="ListBullet"/>
        <w:spacing w:after="20"/>
      </w:pPr>
      <w:r>
        <w:t>8. Google Cloud/Firebase Foundation Setup</w:t>
      </w:r>
    </w:p>
    <w:p>
      <w:pPr>
        <w:pStyle w:val="ListBullet"/>
        <w:spacing w:after="20"/>
      </w:pPr>
      <w:r>
        <w:t>9. Day-by-Day Execution Plan: Oct 7-18</w:t>
      </w:r>
    </w:p>
    <w:p>
      <w:pPr>
        <w:pStyle w:val="ListBullet"/>
        <w:spacing w:after="20"/>
      </w:pPr>
      <w:r>
        <w:t>10. Detailed Implementation Sequence</w:t>
      </w:r>
    </w:p>
    <w:p>
      <w:pPr>
        <w:pStyle w:val="ListBullet"/>
        <w:spacing w:after="20"/>
      </w:pPr>
      <w:r>
        <w:t>11. API and Event Contracts</w:t>
      </w:r>
    </w:p>
    <w:p>
      <w:pPr>
        <w:pStyle w:val="ListBullet"/>
        <w:spacing w:after="20"/>
      </w:pPr>
      <w:r>
        <w:t>12. Data Architecture and Schemas</w:t>
      </w:r>
    </w:p>
    <w:p>
      <w:pPr>
        <w:pStyle w:val="ListBullet"/>
        <w:spacing w:after="20"/>
      </w:pPr>
      <w:r>
        <w:t>13. Security, Privacy and Trust Controls</w:t>
      </w:r>
    </w:p>
    <w:p>
      <w:pPr>
        <w:pStyle w:val="ListBullet"/>
        <w:spacing w:after="20"/>
      </w:pPr>
      <w:r>
        <w:t>14. CI/CD, Deployment and Observability</w:t>
      </w:r>
    </w:p>
    <w:p>
      <w:pPr>
        <w:pStyle w:val="ListBullet"/>
        <w:spacing w:after="20"/>
      </w:pPr>
      <w:r>
        <w:t>15. Test Strategy and Quality Gates</w:t>
      </w:r>
    </w:p>
    <w:p>
      <w:pPr>
        <w:pStyle w:val="ListBullet"/>
        <w:spacing w:after="20"/>
      </w:pPr>
      <w:r>
        <w:t>16. Demo, Documentation and Submission Packaging</w:t>
      </w:r>
    </w:p>
    <w:p>
      <w:pPr>
        <w:pStyle w:val="ListBullet"/>
        <w:spacing w:after="20"/>
      </w:pPr>
      <w:r>
        <w:t>17. Risk Register and Recovery Plan</w:t>
      </w:r>
    </w:p>
    <w:p>
      <w:pPr>
        <w:pStyle w:val="ListBullet"/>
        <w:spacing w:after="20"/>
      </w:pPr>
      <w:r>
        <w:t>18. Final Definition of Done</w:t>
      </w:r>
    </w:p>
    <w:p>
      <w:pPr>
        <w:pStyle w:val="ListBullet"/>
        <w:spacing w:after="20"/>
      </w:pPr>
      <w:r>
        <w:t>Appendix A. Integrated HLD Diagrams</w:t>
      </w:r>
    </w:p>
    <w:p>
      <w:pPr>
        <w:pStyle w:val="ListBullet"/>
        <w:spacing w:after="20"/>
      </w:pPr>
      <w:r>
        <w:t>Appendix B. Google Product Reference Map</w:t>
      </w:r>
    </w:p>
    <w:p>
      <w:pPr>
        <w:pStyle w:val="Heading1"/>
        <w:keepNext/>
      </w:pPr>
      <w:r>
        <w:t>1. Executive Direction</w:t>
      </w:r>
    </w:p>
    <w:p>
      <w:r>
        <w:rPr>
          <w:b/>
        </w:rPr>
        <w:t xml:space="preserve">Recommended development direction: </w:t>
      </w:r>
      <w:r>
        <w:t>inside-out, core-first, using a thin vertical slice.</w:t>
      </w:r>
    </w:p>
    <w:p>
      <w:r>
        <w:t>Do not spend the first days building every screen, store page, community wrapper or report. The judging model gives 40% to technical merit and 30% to problem alignment. A small but real AI + Google Cloud + sustainability workflow is stronger than a visually broad prototype whose core calculations and AI are mocked.</w:t>
      </w:r>
    </w:p>
    <w:p>
      <w:pPr>
        <w:pStyle w:val="ListBullet"/>
        <w:spacing w:after="40"/>
      </w:pPr>
      <w:r>
        <w:rPr>
          <w:b/>
        </w:rPr>
        <w:t xml:space="preserve">First prove the scientific/technical core. </w:t>
      </w:r>
      <w:r>
        <w:t>A product or receipt is converted into structured evidence; CarbonLens calculates a reproducible estimate/score and records confidence.</w:t>
      </w:r>
    </w:p>
    <w:p>
      <w:pPr>
        <w:pStyle w:val="ListBullet"/>
        <w:spacing w:after="40"/>
      </w:pPr>
      <w:r>
        <w:rPr>
          <w:b/>
        </w:rPr>
        <w:t xml:space="preserve">Then prove the AI value. </w:t>
      </w:r>
      <w:r>
        <w:t>Gemini explains the trusted result and generates a practical greener alternative. It does not invent the carbon value.</w:t>
      </w:r>
    </w:p>
    <w:p>
      <w:pPr>
        <w:pStyle w:val="ListBullet"/>
        <w:spacing w:after="40"/>
      </w:pPr>
      <w:r>
        <w:rPr>
          <w:b/>
        </w:rPr>
        <w:t xml:space="preserve">Then prove trust and reward. </w:t>
      </w:r>
      <w:r>
        <w:t>Verification/duplicate checks gate Green Points so the prototype shows responsible behavior design rather than simple gamification.</w:t>
      </w:r>
    </w:p>
    <w:p>
      <w:pPr>
        <w:pStyle w:val="ListBullet"/>
        <w:spacing w:after="40"/>
      </w:pPr>
      <w:r>
        <w:t>Then expand the reward foundation. Reuse the same Trusted Green Event contract for Green-Move, Grow-Green and Recycle-Red once Go-Green-Product works.</w:t>
      </w:r>
    </w:p>
    <w:p>
      <w:pPr>
        <w:pStyle w:val="ListBullet"/>
      </w:pPr>
      <w:r>
        <w:t>Then wrap it in experience. Dashboard, reports, Green Store sample cards, community and Earth Pulse come after the verified action loop is stable.</w:t>
      </w:r>
    </w:p>
    <w:p>
      <w:pPr>
        <w:jc w:val="center"/>
      </w:pPr>
      <w:r>
        <w:drawing>
          <wp:inline xmlns:a="http://schemas.openxmlformats.org/drawingml/2006/main" xmlns:pic="http://schemas.openxmlformats.org/drawingml/2006/picture">
            <wp:extent cx="6400800" cy="3548692"/>
            <wp:docPr id="1" name="Picture 1"/>
            <wp:cNvGraphicFramePr>
              <a:graphicFrameLocks noChangeAspect="1"/>
            </wp:cNvGraphicFramePr>
            <a:graphic>
              <a:graphicData uri="http://schemas.openxmlformats.org/drawingml/2006/picture">
                <pic:pic>
                  <pic:nvPicPr>
                    <pic:cNvPr id="0" name="build_order.png"/>
                    <pic:cNvPicPr/>
                  </pic:nvPicPr>
                  <pic:blipFill>
                    <a:blip r:embed="rId11"/>
                    <a:stretch>
                      <a:fillRect/>
                    </a:stretch>
                  </pic:blipFill>
                  <pic:spPr>
                    <a:xfrm>
                      <a:off x="0" y="0"/>
                      <a:ext cx="6400800" cy="3548692"/>
                    </a:xfrm>
                    <a:prstGeom prst="rect"/>
                  </pic:spPr>
                </pic:pic>
              </a:graphicData>
            </a:graphic>
          </wp:inline>
        </w:drawing>
      </w:r>
    </w:p>
    <w:p>
      <w:pPr>
        <w:pStyle w:val="Caption"/>
        <w:jc w:val="center"/>
      </w:pPr>
      <w:r>
        <w:t>Figure 1 - Core-first implementation order for the JAPAC prototype</w:t>
      </w:r>
    </w:p>
    <w:p>
      <w:pPr>
        <w:pStyle w:val="Heading2"/>
        <w:keepNext/>
      </w:pPr>
      <w:r>
        <w:t>1.1 The prototype story that must work</w:t>
      </w:r>
    </w:p>
    <w:p>
      <w:pPr>
        <w:spacing w:after="40"/>
        <w:ind w:left="259" w:hanging="259"/>
      </w:pPr>
      <w:r>
        <w:rPr>
          <w:b/>
        </w:rPr>
        <w:t xml:space="preserve">1. </w:t>
      </w:r>
      <w:r>
        <w:t>John signs in and accepts only the permissions needed for the selected feature.</w:t>
      </w:r>
    </w:p>
    <w:p>
      <w:pPr>
        <w:spacing w:after="40"/>
        <w:ind w:left="259" w:hanging="259"/>
      </w:pPr>
      <w:r>
        <w:rPr>
          <w:b/>
        </w:rPr>
        <w:t xml:space="preserve">2. </w:t>
      </w:r>
      <w:r>
        <w:t>John scans a product (plastic water bottle) or chooses a provided sample image.</w:t>
      </w:r>
    </w:p>
    <w:p>
      <w:pPr>
        <w:spacing w:after="40"/>
        <w:ind w:left="259" w:hanging="259"/>
      </w:pPr>
      <w:r>
        <w:rPr>
          <w:b/>
        </w:rPr>
        <w:t xml:space="preserve">3. </w:t>
      </w:r>
      <w:r>
        <w:t>Cloud Vision/OCR and product normalization produce a candidate product/category and confidence.</w:t>
      </w:r>
    </w:p>
    <w:p>
      <w:pPr>
        <w:spacing w:after="40"/>
        <w:ind w:left="259" w:hanging="259"/>
      </w:pPr>
      <w:r>
        <w:rPr>
          <w:b/>
        </w:rPr>
        <w:t xml:space="preserve">4. </w:t>
      </w:r>
      <w:r>
        <w:t>The Carbon Engine retrieves a versioned factor/category record and calculates the carbon estimate and Sustainability Score.</w:t>
      </w:r>
    </w:p>
    <w:p>
      <w:pPr>
        <w:spacing w:after="40"/>
        <w:ind w:left="259" w:hanging="259"/>
      </w:pPr>
      <w:r>
        <w:rPr>
          <w:b/>
        </w:rPr>
        <w:t xml:space="preserve">5. </w:t>
      </w:r>
      <w:r>
        <w:t>Gemini receives the structured result and explains why the item scores as it does; it proposes a reusable alternative.</w:t>
      </w:r>
    </w:p>
    <w:p>
      <w:pPr>
        <w:spacing w:after="40"/>
        <w:ind w:left="259" w:hanging="259"/>
      </w:pPr>
      <w:r>
        <w:rPr>
          <w:b/>
        </w:rPr>
        <w:t xml:space="preserve">6. </w:t>
      </w:r>
      <w:r>
        <w:t>A trusted green action or purchase produces a verification decision and eligible Green Points.</w:t>
      </w:r>
    </w:p>
    <w:p>
      <w:pPr>
        <w:spacing w:after="40"/>
        <w:ind w:left="259" w:hanging="259"/>
      </w:pPr>
      <w:r>
        <w:rPr>
          <w:b/>
        </w:rPr>
        <w:t xml:space="preserve">7. </w:t>
      </w:r>
      <w:r>
        <w:t>The dashboard/report updates with carbon, avoided emissions, score and points kept as separate metrics.</w:t>
      </w:r>
    </w:p>
    <w:p>
      <w:pPr>
        <w:spacing w:after="40"/>
        <w:ind w:left="259" w:hanging="259"/>
      </w:pPr>
      <w:r>
        <w:rPr>
          <w:b/>
        </w:rPr>
        <w:t xml:space="preserve">8. </w:t>
      </w:r>
      <w:r>
        <w:t>Optional: Green Move demonstrates low-carbon transport using Health Connect/route evidence.</w:t>
      </w:r>
    </w:p>
    <w:p>
      <w:pPr>
        <w:pStyle w:val="Heading1"/>
        <w:keepNext/>
      </w:pPr>
      <w:r>
        <w:t>2. Competition Requirements Translated to Engineering Goals</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1B5E20"/>
          </w:tcPr>
          <w:p>
            <w:pPr>
              <w:jc w:val="center"/>
            </w:pPr>
            <w:r/>
            <w:r>
              <w:rPr>
                <w:rFonts w:ascii="Aptos" w:hAnsi="Aptos"/>
                <w:b/>
                <w:color w:val="FFFFFF"/>
                <w:sz w:val="16"/>
              </w:rPr>
              <w:t>Competition requirement</w:t>
            </w:r>
          </w:p>
        </w:tc>
        <w:tc>
          <w:tcPr>
            <w:tcW w:type="dxa" w:w="3960"/>
            <w:vAlign w:val="center"/>
            <w:shd w:fill="1B5E20"/>
          </w:tcPr>
          <w:p>
            <w:pPr>
              <w:jc w:val="center"/>
            </w:pPr>
            <w:r/>
            <w:r>
              <w:rPr>
                <w:rFonts w:ascii="Aptos" w:hAnsi="Aptos"/>
                <w:b/>
                <w:color w:val="FFFFFF"/>
                <w:sz w:val="16"/>
              </w:rPr>
              <w:t>Engineering interpretation</w:t>
            </w:r>
          </w:p>
        </w:tc>
        <w:tc>
          <w:tcPr>
            <w:tcW w:type="dxa" w:w="3672"/>
            <w:vAlign w:val="center"/>
            <w:shd w:fill="1B5E20"/>
          </w:tcPr>
          <w:p>
            <w:pPr>
              <w:jc w:val="center"/>
            </w:pPr>
            <w:r/>
            <w:r>
              <w:rPr>
                <w:rFonts w:ascii="Aptos" w:hAnsi="Aptos"/>
                <w:b/>
                <w:color w:val="FFFFFF"/>
                <w:sz w:val="16"/>
              </w:rPr>
              <w:t>Evidence in final demo</w:t>
            </w:r>
          </w:p>
        </w:tc>
      </w:tr>
      <w:tr>
        <w:tc>
          <w:tcPr>
            <w:tcW w:type="dxa" w:w="2232"/>
            <w:vAlign w:val="center"/>
          </w:tcPr>
          <w:p>
            <w:r/>
            <w:r>
              <w:rPr>
                <w:rFonts w:ascii="Aptos" w:hAnsi="Aptos"/>
                <w:b w:val="0"/>
                <w:sz w:val="16"/>
              </w:rPr>
              <w:t>Working prototype</w:t>
            </w:r>
          </w:p>
        </w:tc>
        <w:tc>
          <w:tcPr>
            <w:tcW w:type="dxa" w:w="3960"/>
            <w:vAlign w:val="center"/>
          </w:tcPr>
          <w:p>
            <w:r/>
            <w:r>
              <w:rPr>
                <w:rFonts w:ascii="Aptos" w:hAnsi="Aptos"/>
                <w:b w:val="0"/>
                <w:sz w:val="16"/>
              </w:rPr>
              <w:t>At least one complete, live E2E path using real Google Cloud services.</w:t>
            </w:r>
          </w:p>
        </w:tc>
        <w:tc>
          <w:tcPr>
            <w:tcW w:type="dxa" w:w="3672"/>
            <w:vAlign w:val="center"/>
          </w:tcPr>
          <w:p>
            <w:r/>
            <w:r>
              <w:rPr>
                <w:rFonts w:ascii="Aptos" w:hAnsi="Aptos"/>
                <w:b w:val="0"/>
                <w:sz w:val="16"/>
              </w:rPr>
              <w:t>Live public web URL plus Cloud Run-backed workflow.</w:t>
            </w:r>
          </w:p>
        </w:tc>
      </w:tr>
      <w:tr>
        <w:tc>
          <w:tcPr>
            <w:tcW w:type="dxa" w:w="2232"/>
            <w:vAlign w:val="center"/>
            <w:shd w:fill="F7F9F9"/>
          </w:tcPr>
          <w:p>
            <w:r/>
            <w:r>
              <w:rPr>
                <w:rFonts w:ascii="Aptos" w:hAnsi="Aptos"/>
                <w:b w:val="0"/>
                <w:sz w:val="16"/>
              </w:rPr>
              <w:t>Google Cloud / AI</w:t>
            </w:r>
          </w:p>
        </w:tc>
        <w:tc>
          <w:tcPr>
            <w:tcW w:type="dxa" w:w="3960"/>
            <w:vAlign w:val="center"/>
            <w:shd w:fill="F7F9F9"/>
          </w:tcPr>
          <w:p>
            <w:r/>
            <w:r>
              <w:rPr>
                <w:rFonts w:ascii="Aptos" w:hAnsi="Aptos"/>
                <w:b w:val="0"/>
                <w:sz w:val="16"/>
              </w:rPr>
              <w:t>Vertex AI Gemini is part of the user outcome, not a decorative chatbot.</w:t>
            </w:r>
          </w:p>
        </w:tc>
        <w:tc>
          <w:tcPr>
            <w:tcW w:type="dxa" w:w="3672"/>
            <w:vAlign w:val="center"/>
            <w:shd w:fill="F7F9F9"/>
          </w:tcPr>
          <w:p>
            <w:r/>
            <w:r>
              <w:rPr>
                <w:rFonts w:ascii="Aptos" w:hAnsi="Aptos"/>
                <w:b w:val="0"/>
                <w:sz w:val="16"/>
              </w:rPr>
              <w:t>Gemini explains structured CarbonLens evidence; architecture slide names services and responsibilities.</w:t>
            </w:r>
          </w:p>
        </w:tc>
      </w:tr>
      <w:tr>
        <w:tc>
          <w:tcPr>
            <w:tcW w:type="dxa" w:w="2232"/>
            <w:vAlign w:val="center"/>
          </w:tcPr>
          <w:p>
            <w:r/>
            <w:r>
              <w:rPr>
                <w:rFonts w:ascii="Aptos" w:hAnsi="Aptos"/>
                <w:b w:val="0"/>
                <w:sz w:val="16"/>
              </w:rPr>
              <w:t>Meaningful environmental/social problem</w:t>
            </w:r>
          </w:p>
        </w:tc>
        <w:tc>
          <w:tcPr>
            <w:tcW w:type="dxa" w:w="3960"/>
            <w:vAlign w:val="center"/>
          </w:tcPr>
          <w:p>
            <w:r/>
            <w:r>
              <w:rPr>
                <w:rFonts w:ascii="Aptos" w:hAnsi="Aptos"/>
                <w:b w:val="0"/>
                <w:sz w:val="16"/>
              </w:rPr>
              <w:t>Every calculation/recommendation maps to a concrete user action and transparent confidence.</w:t>
            </w:r>
          </w:p>
        </w:tc>
        <w:tc>
          <w:tcPr>
            <w:tcW w:type="dxa" w:w="3672"/>
            <w:vAlign w:val="center"/>
          </w:tcPr>
          <w:p>
            <w:r/>
            <w:r>
              <w:rPr>
                <w:rFonts w:ascii="Aptos" w:hAnsi="Aptos"/>
                <w:b w:val="0"/>
                <w:sz w:val="16"/>
              </w:rPr>
              <w:t>Before/after greener choice and avoided-emissions story.</w:t>
            </w:r>
          </w:p>
        </w:tc>
      </w:tr>
      <w:tr>
        <w:tc>
          <w:tcPr>
            <w:tcW w:type="dxa" w:w="2232"/>
            <w:vAlign w:val="center"/>
            <w:shd w:fill="F7F9F9"/>
          </w:tcPr>
          <w:p>
            <w:r/>
            <w:r>
              <w:rPr>
                <w:rFonts w:ascii="Aptos" w:hAnsi="Aptos"/>
                <w:b w:val="0"/>
                <w:sz w:val="16"/>
              </w:rPr>
              <w:t>Technical Merit - 40%</w:t>
            </w:r>
          </w:p>
        </w:tc>
        <w:tc>
          <w:tcPr>
            <w:tcW w:type="dxa" w:w="3960"/>
            <w:vAlign w:val="center"/>
            <w:shd w:fill="F7F9F9"/>
          </w:tcPr>
          <w:p>
            <w:r/>
            <w:r>
              <w:rPr>
                <w:rFonts w:ascii="Aptos" w:hAnsi="Aptos"/>
                <w:b w:val="0"/>
                <w:sz w:val="16"/>
              </w:rPr>
              <w:t>Show service boundaries, deterministic carbon engine, data provenance, secure identity, observability and event flow.</w:t>
            </w:r>
          </w:p>
        </w:tc>
        <w:tc>
          <w:tcPr>
            <w:tcW w:type="dxa" w:w="3672"/>
            <w:vAlign w:val="center"/>
            <w:shd w:fill="F7F9F9"/>
          </w:tcPr>
          <w:p>
            <w:r/>
            <w:r>
              <w:rPr>
                <w:rFonts w:ascii="Aptos" w:hAnsi="Aptos"/>
                <w:b w:val="0"/>
                <w:sz w:val="16"/>
              </w:rPr>
              <w:t>Architecture, logs/monitoring screenshot, API/data flow.</w:t>
            </w:r>
          </w:p>
        </w:tc>
      </w:tr>
      <w:tr>
        <w:tc>
          <w:tcPr>
            <w:tcW w:type="dxa" w:w="2232"/>
            <w:vAlign w:val="center"/>
          </w:tcPr>
          <w:p>
            <w:r/>
            <w:r>
              <w:rPr>
                <w:rFonts w:ascii="Aptos" w:hAnsi="Aptos"/>
                <w:b w:val="0"/>
                <w:sz w:val="16"/>
              </w:rPr>
              <w:t>Problem Alignment - 30%</w:t>
            </w:r>
          </w:p>
        </w:tc>
        <w:tc>
          <w:tcPr>
            <w:tcW w:type="dxa" w:w="3960"/>
            <w:vAlign w:val="center"/>
          </w:tcPr>
          <w:p>
            <w:r>
              <w:t>Demonstrate sustainable purchasing, low-carbon mobility, tree survival/persistence and safe e-waste diversion through verified actions.</w:t>
            </w:r>
          </w:p>
        </w:tc>
        <w:tc>
          <w:tcPr>
            <w:tcW w:type="dxa" w:w="3672"/>
            <w:vAlign w:val="center"/>
          </w:tcPr>
          <w:p>
            <w:r>
              <w:t>Four-segment reward story with at least one live path and bounded evidence for the others.</w:t>
            </w:r>
          </w:p>
        </w:tc>
      </w:tr>
      <w:tr>
        <w:tc>
          <w:tcPr>
            <w:tcW w:type="dxa" w:w="2232"/>
            <w:vAlign w:val="center"/>
            <w:shd w:fill="F7F9F9"/>
          </w:tcPr>
          <w:p>
            <w:r/>
            <w:r>
              <w:rPr>
                <w:rFonts w:ascii="Aptos" w:hAnsi="Aptos"/>
                <w:b w:val="0"/>
                <w:sz w:val="16"/>
              </w:rPr>
              <w:t>Innovation - 20%</w:t>
            </w:r>
          </w:p>
        </w:tc>
        <w:tc>
          <w:tcPr>
            <w:tcW w:type="dxa" w:w="3960"/>
            <w:vAlign w:val="center"/>
            <w:shd w:fill="F7F9F9"/>
          </w:tcPr>
          <w:p>
            <w:r>
              <w:t>Four reward segments converge on one Trusted Green Event + versioned Reward Policy Engine + confidence + anti-gaming ledger.</w:t>
            </w:r>
          </w:p>
        </w:tc>
        <w:tc>
          <w:tcPr>
            <w:tcW w:type="dxa" w:w="3672"/>
            <w:vAlign w:val="center"/>
            <w:shd w:fill="F7F9F9"/>
          </w:tcPr>
          <w:p>
            <w:r>
              <w:t>V0-V3 verification, provisional/vested states, duplicate/fraud controls and reason codes visible in demo/diagram.</w:t>
            </w:r>
          </w:p>
        </w:tc>
      </w:tr>
      <w:tr>
        <w:tc>
          <w:tcPr>
            <w:tcW w:type="dxa" w:w="2232"/>
            <w:vAlign w:val="center"/>
          </w:tcPr>
          <w:p>
            <w:r/>
            <w:r>
              <w:rPr>
                <w:rFonts w:ascii="Aptos" w:hAnsi="Aptos"/>
                <w:b w:val="0"/>
                <w:sz w:val="16"/>
              </w:rPr>
              <w:t>UX - 10%</w:t>
            </w:r>
          </w:p>
        </w:tc>
        <w:tc>
          <w:tcPr>
            <w:tcW w:type="dxa" w:w="3960"/>
            <w:vAlign w:val="center"/>
          </w:tcPr>
          <w:p>
            <w:r/>
            <w:r>
              <w:rPr>
                <w:rFonts w:ascii="Aptos" w:hAnsi="Aptos"/>
                <w:b w:val="0"/>
                <w:sz w:val="16"/>
              </w:rPr>
              <w:t>One simple mobile/web flow with clear scores, caveats and actions.</w:t>
            </w:r>
          </w:p>
        </w:tc>
        <w:tc>
          <w:tcPr>
            <w:tcW w:type="dxa" w:w="3672"/>
            <w:vAlign w:val="center"/>
          </w:tcPr>
          <w:p>
            <w:r/>
            <w:r>
              <w:rPr>
                <w:rFonts w:ascii="Aptos" w:hAnsi="Aptos"/>
                <w:b w:val="0"/>
                <w:sz w:val="16"/>
              </w:rPr>
              <w:t>Clean Flutter UI and 2-3 minute demo.</w:t>
            </w:r>
          </w:p>
        </w:tc>
      </w:tr>
      <w:tr>
        <w:tc>
          <w:tcPr>
            <w:tcW w:type="dxa" w:w="2232"/>
            <w:vAlign w:val="center"/>
            <w:shd w:fill="F7F9F9"/>
          </w:tcPr>
          <w:p>
            <w:r/>
            <w:r>
              <w:rPr>
                <w:rFonts w:ascii="Aptos" w:hAnsi="Aptos"/>
                <w:b w:val="0"/>
                <w:sz w:val="16"/>
              </w:rPr>
              <w:t>Artifacts</w:t>
            </w:r>
          </w:p>
        </w:tc>
        <w:tc>
          <w:tcPr>
            <w:tcW w:type="dxa" w:w="3960"/>
            <w:vAlign w:val="center"/>
            <w:shd w:fill="F7F9F9"/>
          </w:tcPr>
          <w:p>
            <w:r/>
            <w:r>
              <w:rPr>
                <w:rFonts w:ascii="Aptos" w:hAnsi="Aptos"/>
                <w:b w:val="0"/>
                <w:sz w:val="16"/>
              </w:rPr>
              <w:t>Public GitHub, functional link, PPT/PDF, video.</w:t>
            </w:r>
          </w:p>
        </w:tc>
        <w:tc>
          <w:tcPr>
            <w:tcW w:type="dxa" w:w="3672"/>
            <w:vAlign w:val="center"/>
            <w:shd w:fill="F7F9F9"/>
          </w:tcPr>
          <w:p>
            <w:r/>
            <w:r>
              <w:rPr>
                <w:rFonts w:ascii="Aptos" w:hAnsi="Aptos"/>
                <w:b w:val="0"/>
                <w:sz w:val="16"/>
              </w:rPr>
              <w:t>Submission checklist completed by Oct 18.</w:t>
            </w:r>
          </w:p>
        </w:tc>
      </w:tr>
    </w:tbl>
    <w:p>
      <w:pPr>
        <w:spacing w:after="40"/>
      </w:pPr>
    </w:p>
    <w:p>
      <w:pPr>
        <w:pStyle w:val="Heading1"/>
        <w:keepNext/>
      </w:pPr>
      <w:r>
        <w:t>3. Build Strategy: Core First, Wrappers Later</w:t>
      </w:r>
    </w:p>
    <w:tbl>
      <w:tblPr>
        <w:tblW w:type="auto" w:w="0"/>
        <w:jc w:val="center"/>
        <w:tblLook w:firstColumn="1" w:firstRow="1" w:lastColumn="0" w:lastRow="0" w:noHBand="0" w:noVBand="1" w:val="04A0"/>
      </w:tblPr>
      <w:tblGrid>
        <w:gridCol w:w="10080"/>
      </w:tblGrid>
      <w:tr>
        <w:tc>
          <w:tcPr>
            <w:tcW w:type="dxa" w:w="10080"/>
            <w:shd w:fill="E3F2FD"/>
          </w:tcPr>
          <w:p>
            <w:pPr>
              <w:spacing w:before="120" w:after="120"/>
            </w:pPr>
            <w:r>
              <w:rPr>
                <w:b/>
                <w:color w:val="1B5E20"/>
                <w:sz w:val="21"/>
              </w:rPr>
              <w:t>Why this order</w:t>
              <w:br/>
            </w:r>
            <w:r>
              <w:rPr>
                <w:color w:val="263238"/>
                <w:sz w:val="19"/>
              </w:rPr>
              <w:t>CarbonLens differentiates itself through trusted sustainability evidence, deterministic carbon accounting and verified behavior rewards. Those capabilities sit below the UI. If they are real by Oct 11, the rest of the prototype can be simplified without weakening the submission.</w:t>
            </w:r>
          </w:p>
        </w:tc>
      </w:tr>
    </w:tbl>
    <w:p>
      <w:pPr>
        <w:spacing w:after="40"/>
      </w:pPr>
    </w:p>
    <w:tbl>
      <w:tblPr>
        <w:tblStyle w:val="TableGrid"/>
        <w:tblW w:type="auto" w:w="0"/>
        <w:jc w:val="center"/>
        <w:tblLook w:firstColumn="1" w:firstRow="1" w:lastColumn="0" w:lastRow="0" w:noHBand="0" w:noVBand="1" w:val="04A0"/>
      </w:tblPr>
      <w:tblGrid>
        <w:gridCol w:w="3360"/>
        <w:gridCol w:w="3360"/>
        <w:gridCol w:w="3360"/>
      </w:tblGrid>
      <w:tr>
        <w:tc>
          <w:tcPr>
            <w:tcW w:type="dxa" w:w="3456"/>
            <w:vAlign w:val="center"/>
            <w:shd w:fill="1B5E20"/>
          </w:tcPr>
          <w:p>
            <w:pPr>
              <w:jc w:val="center"/>
            </w:pPr>
            <w:r/>
            <w:r>
              <w:rPr>
                <w:rFonts w:ascii="Aptos" w:hAnsi="Aptos"/>
                <w:b/>
                <w:color w:val="FFFFFF"/>
                <w:sz w:val="17"/>
              </w:rPr>
              <w:t>Layer</w:t>
            </w:r>
          </w:p>
        </w:tc>
        <w:tc>
          <w:tcPr>
            <w:tcW w:type="dxa" w:w="1584"/>
            <w:vAlign w:val="center"/>
            <w:shd w:fill="1B5E20"/>
          </w:tcPr>
          <w:p>
            <w:pPr>
              <w:jc w:val="center"/>
            </w:pPr>
            <w:r/>
            <w:r>
              <w:rPr>
                <w:rFonts w:ascii="Aptos" w:hAnsi="Aptos"/>
                <w:b/>
                <w:color w:val="FFFFFF"/>
                <w:sz w:val="17"/>
              </w:rPr>
              <w:t>Build now?</w:t>
            </w:r>
          </w:p>
        </w:tc>
        <w:tc>
          <w:tcPr>
            <w:tcW w:type="dxa" w:w="4824"/>
            <w:vAlign w:val="center"/>
            <w:shd w:fill="1B5E20"/>
          </w:tcPr>
          <w:p>
            <w:pPr>
              <w:jc w:val="center"/>
            </w:pPr>
            <w:r/>
            <w:r>
              <w:rPr>
                <w:rFonts w:ascii="Aptos" w:hAnsi="Aptos"/>
                <w:b/>
                <w:color w:val="FFFFFF"/>
                <w:sz w:val="17"/>
              </w:rPr>
              <w:t>Why</w:t>
            </w:r>
          </w:p>
        </w:tc>
      </w:tr>
      <w:tr>
        <w:tc>
          <w:tcPr>
            <w:tcW w:type="dxa" w:w="3456"/>
            <w:vAlign w:val="center"/>
          </w:tcPr>
          <w:p>
            <w:r/>
            <w:r>
              <w:rPr>
                <w:rFonts w:ascii="Aptos" w:hAnsi="Aptos"/>
                <w:b w:val="0"/>
                <w:sz w:val="17"/>
              </w:rPr>
              <w:t>Foundation: project, repo, auth, hosting, API</w:t>
            </w:r>
          </w:p>
        </w:tc>
        <w:tc>
          <w:tcPr>
            <w:tcW w:type="dxa" w:w="1584"/>
            <w:vAlign w:val="center"/>
          </w:tcPr>
          <w:p>
            <w:r/>
            <w:r>
              <w:rPr>
                <w:rFonts w:ascii="Aptos" w:hAnsi="Aptos"/>
                <w:b w:val="0"/>
                <w:sz w:val="17"/>
              </w:rPr>
              <w:t>P0 - first</w:t>
            </w:r>
          </w:p>
        </w:tc>
        <w:tc>
          <w:tcPr>
            <w:tcW w:type="dxa" w:w="4824"/>
            <w:vAlign w:val="center"/>
          </w:tcPr>
          <w:p>
            <w:r/>
            <w:r>
              <w:rPr>
                <w:rFonts w:ascii="Aptos" w:hAnsi="Aptos"/>
                <w:b w:val="0"/>
                <w:sz w:val="17"/>
              </w:rPr>
              <w:t>Everything depends on deployability and identity.</w:t>
            </w:r>
          </w:p>
        </w:tc>
      </w:tr>
      <w:tr>
        <w:tc>
          <w:tcPr>
            <w:tcW w:type="dxa" w:w="3456"/>
            <w:vAlign w:val="center"/>
            <w:shd w:fill="F7F9F9"/>
          </w:tcPr>
          <w:p>
            <w:r/>
            <w:r>
              <w:rPr>
                <w:rFonts w:ascii="Aptos" w:hAnsi="Aptos"/>
                <w:b w:val="0"/>
                <w:sz w:val="17"/>
              </w:rPr>
              <w:t>Carbon/score data contract</w:t>
            </w:r>
          </w:p>
        </w:tc>
        <w:tc>
          <w:tcPr>
            <w:tcW w:type="dxa" w:w="1584"/>
            <w:vAlign w:val="center"/>
            <w:shd w:fill="F7F9F9"/>
          </w:tcPr>
          <w:p>
            <w:r/>
            <w:r>
              <w:rPr>
                <w:rFonts w:ascii="Aptos" w:hAnsi="Aptos"/>
                <w:b w:val="0"/>
                <w:sz w:val="17"/>
              </w:rPr>
              <w:t>P0 - early</w:t>
            </w:r>
          </w:p>
        </w:tc>
        <w:tc>
          <w:tcPr>
            <w:tcW w:type="dxa" w:w="4824"/>
            <w:vAlign w:val="center"/>
            <w:shd w:fill="F7F9F9"/>
          </w:tcPr>
          <w:p>
            <w:r/>
            <w:r>
              <w:rPr>
                <w:rFonts w:ascii="Aptos" w:hAnsi="Aptos"/>
                <w:b w:val="0"/>
                <w:sz w:val="17"/>
              </w:rPr>
              <w:t>Prevents AI/UI from inventing or mixing metrics.</w:t>
            </w:r>
          </w:p>
        </w:tc>
      </w:tr>
      <w:tr>
        <w:tc>
          <w:tcPr>
            <w:tcW w:type="dxa" w:w="3456"/>
            <w:vAlign w:val="center"/>
          </w:tcPr>
          <w:p>
            <w:r/>
            <w:r>
              <w:rPr>
                <w:rFonts w:ascii="Aptos" w:hAnsi="Aptos"/>
                <w:b w:val="0"/>
                <w:sz w:val="17"/>
              </w:rPr>
              <w:t>Gemini explanation/recommendation</w:t>
            </w:r>
          </w:p>
        </w:tc>
        <w:tc>
          <w:tcPr>
            <w:tcW w:type="dxa" w:w="1584"/>
            <w:vAlign w:val="center"/>
          </w:tcPr>
          <w:p>
            <w:r/>
            <w:r>
              <w:rPr>
                <w:rFonts w:ascii="Aptos" w:hAnsi="Aptos"/>
                <w:b w:val="0"/>
                <w:sz w:val="17"/>
              </w:rPr>
              <w:t>P0</w:t>
            </w:r>
          </w:p>
        </w:tc>
        <w:tc>
          <w:tcPr>
            <w:tcW w:type="dxa" w:w="4824"/>
            <w:vAlign w:val="center"/>
          </w:tcPr>
          <w:p>
            <w:r/>
            <w:r>
              <w:rPr>
                <w:rFonts w:ascii="Aptos" w:hAnsi="Aptos"/>
                <w:b w:val="0"/>
                <w:sz w:val="17"/>
              </w:rPr>
              <w:t>Directly demonstrates Google AI technical merit.</w:t>
            </w:r>
          </w:p>
        </w:tc>
      </w:tr>
      <w:tr>
        <w:tc>
          <w:tcPr>
            <w:tcW w:type="dxa" w:w="3456"/>
            <w:vAlign w:val="center"/>
            <w:shd w:fill="F7F9F9"/>
          </w:tcPr>
          <w:p>
            <w:r/>
            <w:r>
              <w:rPr>
                <w:rFonts w:ascii="Aptos" w:hAnsi="Aptos"/>
                <w:b w:val="0"/>
                <w:sz w:val="17"/>
              </w:rPr>
              <w:t>Product/receipt evidence ingestion</w:t>
            </w:r>
          </w:p>
        </w:tc>
        <w:tc>
          <w:tcPr>
            <w:tcW w:type="dxa" w:w="1584"/>
            <w:vAlign w:val="center"/>
            <w:shd w:fill="F7F9F9"/>
          </w:tcPr>
          <w:p>
            <w:r/>
            <w:r>
              <w:rPr>
                <w:rFonts w:ascii="Aptos" w:hAnsi="Aptos"/>
                <w:b w:val="0"/>
                <w:sz w:val="17"/>
              </w:rPr>
              <w:t>P0</w:t>
            </w:r>
          </w:p>
        </w:tc>
        <w:tc>
          <w:tcPr>
            <w:tcW w:type="dxa" w:w="4824"/>
            <w:vAlign w:val="center"/>
            <w:shd w:fill="F7F9F9"/>
          </w:tcPr>
          <w:p>
            <w:r/>
            <w:r>
              <w:rPr>
                <w:rFonts w:ascii="Aptos" w:hAnsi="Aptos"/>
                <w:b w:val="0"/>
                <w:sz w:val="17"/>
              </w:rPr>
              <w:t>Turns the idea into a real-world working prototype.</w:t>
            </w:r>
          </w:p>
        </w:tc>
      </w:tr>
      <w:tr>
        <w:tc>
          <w:tcPr>
            <w:tcW w:type="dxa" w:w="3456"/>
            <w:vAlign w:val="center"/>
          </w:tcPr>
          <w:p>
            <w:r>
              <w:t>Trusted Green Event + reward policy/ledger</w:t>
            </w:r>
          </w:p>
        </w:tc>
        <w:tc>
          <w:tcPr>
            <w:tcW w:type="dxa" w:w="1584"/>
            <w:vAlign w:val="center"/>
          </w:tcPr>
          <w:p>
            <w:r>
              <w:t>P0</w:t>
            </w:r>
          </w:p>
        </w:tc>
        <w:tc>
          <w:tcPr>
            <w:tcW w:type="dxa" w:w="4824"/>
            <w:vAlign w:val="center"/>
          </w:tcPr>
          <w:p>
            <w:r>
              <w:t>Foundation shared by all four reward segments; evidence must be verified before value is issued.</w:t>
            </w:r>
          </w:p>
        </w:tc>
      </w:tr>
      <w:tr>
        <w:tc>
          <w:tcPr>
            <w:tcW w:type="dxa" w:w="3456"/>
            <w:vAlign w:val="center"/>
            <w:shd w:fill="F7F9F9"/>
          </w:tcPr>
          <w:p>
            <w:r/>
            <w:r>
              <w:rPr>
                <w:rFonts w:ascii="Aptos" w:hAnsi="Aptos"/>
                <w:b w:val="0"/>
                <w:sz w:val="17"/>
              </w:rPr>
              <w:t>Dashboard + reports</w:t>
            </w:r>
          </w:p>
        </w:tc>
        <w:tc>
          <w:tcPr>
            <w:tcW w:type="dxa" w:w="1584"/>
            <w:vAlign w:val="center"/>
            <w:shd w:fill="F7F9F9"/>
          </w:tcPr>
          <w:p>
            <w:r/>
            <w:r>
              <w:rPr>
                <w:rFonts w:ascii="Aptos" w:hAnsi="Aptos"/>
                <w:b w:val="0"/>
                <w:sz w:val="17"/>
              </w:rPr>
              <w:t>P0</w:t>
            </w:r>
          </w:p>
        </w:tc>
        <w:tc>
          <w:tcPr>
            <w:tcW w:type="dxa" w:w="4824"/>
            <w:vAlign w:val="center"/>
            <w:shd w:fill="F7F9F9"/>
          </w:tcPr>
          <w:p>
            <w:r/>
            <w:r>
              <w:rPr>
                <w:rFonts w:ascii="Aptos" w:hAnsi="Aptos"/>
                <w:b w:val="0"/>
                <w:sz w:val="17"/>
              </w:rPr>
              <w:t>Closes the behavior-feedback loop.</w:t>
            </w:r>
          </w:p>
        </w:tc>
      </w:tr>
      <w:tr>
        <w:tc>
          <w:tcPr>
            <w:tcW w:type="dxa" w:w="3456"/>
            <w:vAlign w:val="center"/>
          </w:tcPr>
          <w:p>
            <w:r>
              <w:t>Four reward segments</w:t>
            </w:r>
          </w:p>
        </w:tc>
        <w:tc>
          <w:tcPr>
            <w:tcW w:type="dxa" w:w="1584"/>
            <w:vAlign w:val="center"/>
          </w:tcPr>
          <w:p>
            <w:r>
              <w:t>P0/P1</w:t>
            </w:r>
          </w:p>
        </w:tc>
        <w:tc>
          <w:tcPr>
            <w:tcW w:type="dxa" w:w="4824"/>
            <w:vAlign w:val="center"/>
          </w:tcPr>
          <w:p>
            <w:r>
              <w:t>Go-Green-Product is the P0 live path; Green-Move, Grow-Green and Recycle-Red use the same event/reward architecture as thin P1 paths.</w:t>
            </w:r>
          </w:p>
        </w:tc>
      </w:tr>
      <w:tr>
        <w:tc>
          <w:tcPr>
            <w:tcW w:type="dxa" w:w="3456"/>
            <w:vAlign w:val="center"/>
            <w:shd w:fill="F7F9F9"/>
          </w:tcPr>
          <w:p>
            <w:r/>
            <w:r>
              <w:rPr>
                <w:rFonts w:ascii="Aptos" w:hAnsi="Aptos"/>
                <w:b w:val="0"/>
                <w:sz w:val="17"/>
              </w:rPr>
              <w:t>Green Store sample catalog</w:t>
            </w:r>
          </w:p>
        </w:tc>
        <w:tc>
          <w:tcPr>
            <w:tcW w:type="dxa" w:w="1584"/>
            <w:vAlign w:val="center"/>
            <w:shd w:fill="F7F9F9"/>
          </w:tcPr>
          <w:p>
            <w:r/>
            <w:r>
              <w:rPr>
                <w:rFonts w:ascii="Aptos" w:hAnsi="Aptos"/>
                <w:b w:val="0"/>
                <w:sz w:val="17"/>
              </w:rPr>
              <w:t>P1</w:t>
            </w:r>
          </w:p>
        </w:tc>
        <w:tc>
          <w:tcPr>
            <w:tcW w:type="dxa" w:w="4824"/>
            <w:vAlign w:val="center"/>
            <w:shd w:fill="F7F9F9"/>
          </w:tcPr>
          <w:p>
            <w:r/>
            <w:r>
              <w:rPr>
                <w:rFonts w:ascii="Aptos" w:hAnsi="Aptos"/>
                <w:b w:val="0"/>
                <w:sz w:val="17"/>
              </w:rPr>
              <w:t>Useful wrapper; use 8-10 curated products only.</w:t>
            </w:r>
          </w:p>
        </w:tc>
      </w:tr>
      <w:tr>
        <w:tc>
          <w:tcPr>
            <w:tcW w:type="dxa" w:w="3456"/>
            <w:vAlign w:val="center"/>
          </w:tcPr>
          <w:p>
            <w:r/>
            <w:r>
              <w:rPr>
                <w:rFonts w:ascii="Aptos" w:hAnsi="Aptos"/>
                <w:b w:val="0"/>
                <w:sz w:val="17"/>
              </w:rPr>
              <w:t>Earth Pulse</w:t>
            </w:r>
          </w:p>
        </w:tc>
        <w:tc>
          <w:tcPr>
            <w:tcW w:type="dxa" w:w="1584"/>
            <w:vAlign w:val="center"/>
          </w:tcPr>
          <w:p>
            <w:r/>
            <w:r>
              <w:rPr>
                <w:rFonts w:ascii="Aptos" w:hAnsi="Aptos"/>
                <w:b w:val="0"/>
                <w:sz w:val="17"/>
              </w:rPr>
              <w:t>P2</w:t>
            </w:r>
          </w:p>
        </w:tc>
        <w:tc>
          <w:tcPr>
            <w:tcW w:type="dxa" w:w="4824"/>
            <w:vAlign w:val="center"/>
          </w:tcPr>
          <w:p>
            <w:r/>
            <w:r>
              <w:rPr>
                <w:rFonts w:ascii="Aptos" w:hAnsi="Aptos"/>
                <w:b w:val="0"/>
                <w:sz w:val="17"/>
              </w:rPr>
              <w:t>Nice-to-have; can distract from core.</w:t>
            </w:r>
          </w:p>
        </w:tc>
      </w:tr>
      <w:tr>
        <w:tc>
          <w:tcPr>
            <w:tcW w:type="dxa" w:w="3456"/>
            <w:vAlign w:val="center"/>
            <w:shd w:fill="F7F9F9"/>
          </w:tcPr>
          <w:p>
            <w:r/>
            <w:r>
              <w:rPr>
                <w:rFonts w:ascii="Aptos" w:hAnsi="Aptos"/>
                <w:b w:val="0"/>
                <w:sz w:val="17"/>
              </w:rPr>
              <w:t>Community leaderboard</w:t>
            </w:r>
          </w:p>
        </w:tc>
        <w:tc>
          <w:tcPr>
            <w:tcW w:type="dxa" w:w="1584"/>
            <w:vAlign w:val="center"/>
            <w:shd w:fill="F7F9F9"/>
          </w:tcPr>
          <w:p>
            <w:r/>
            <w:r>
              <w:rPr>
                <w:rFonts w:ascii="Aptos" w:hAnsi="Aptos"/>
                <w:b w:val="0"/>
                <w:sz w:val="17"/>
              </w:rPr>
              <w:t>P2</w:t>
            </w:r>
          </w:p>
        </w:tc>
        <w:tc>
          <w:tcPr>
            <w:tcW w:type="dxa" w:w="4824"/>
            <w:vAlign w:val="center"/>
            <w:shd w:fill="F7F9F9"/>
          </w:tcPr>
          <w:p>
            <w:r/>
            <w:r>
              <w:rPr>
                <w:rFonts w:ascii="Aptos" w:hAnsi="Aptos"/>
                <w:b w:val="0"/>
                <w:sz w:val="17"/>
              </w:rPr>
              <w:t>Can be mocked/seeded if time remains.</w:t>
            </w:r>
          </w:p>
        </w:tc>
      </w:tr>
      <w:tr>
        <w:tc>
          <w:tcPr>
            <w:tcW w:type="dxa" w:w="3456"/>
            <w:vAlign w:val="center"/>
          </w:tcPr>
          <w:p>
            <w:r>
              <w:t>Voice, Wallet, full marketplace, advanced fraud ML</w:t>
            </w:r>
          </w:p>
        </w:tc>
        <w:tc>
          <w:tcPr>
            <w:tcW w:type="dxa" w:w="1584"/>
            <w:vAlign w:val="center"/>
          </w:tcPr>
          <w:p>
            <w:r/>
            <w:r>
              <w:rPr>
                <w:rFonts w:ascii="Aptos" w:hAnsi="Aptos"/>
                <w:b w:val="0"/>
                <w:sz w:val="17"/>
              </w:rPr>
              <w:t>Phase 2</w:t>
            </w:r>
          </w:p>
        </w:tc>
        <w:tc>
          <w:tcPr>
            <w:tcW w:type="dxa" w:w="4824"/>
            <w:vAlign w:val="center"/>
          </w:tcPr>
          <w:p>
            <w:r>
              <w:t>Do not put submission at risk for breadth; Earth Engine is now a supporting P1/P2 Grow-Green signal.</w:t>
            </w:r>
          </w:p>
        </w:tc>
      </w:tr>
    </w:tbl>
    <w:p>
      <w:pPr>
        <w:spacing w:after="40"/>
      </w:pPr>
    </w:p>
    <w:p>
      <w:pPr>
        <w:pStyle w:val="Heading1"/>
        <w:keepNext/>
      </w:pPr>
      <w:r>
        <w:t>4. Approved Google-First Technology Stack</w:t>
      </w:r>
    </w:p>
    <w:p>
      <w:r>
        <w:t>The following stack intentionally keeps the solution on Google/Firebase/Android products. GitHub is the only submission-required external platform; do not add third-party SaaS services for auth, hosting, CI/CD, analytics, AI or databases.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vAlign w:val="center"/>
            <w:shd w:fill="1B5E20"/>
          </w:tcPr>
          <w:p>
            <w:pPr>
              <w:jc w:val="center"/>
            </w:pPr>
            <w:r/>
            <w:r>
              <w:rPr>
                <w:rFonts w:ascii="Aptos" w:hAnsi="Aptos"/>
                <w:b/>
                <w:color w:val="FFFFFF"/>
                <w:sz w:val="15"/>
              </w:rPr>
              <w:t>Layer</w:t>
            </w:r>
          </w:p>
        </w:tc>
        <w:tc>
          <w:tcPr>
            <w:tcW w:type="dxa" w:w="2952"/>
            <w:vAlign w:val="center"/>
            <w:shd w:fill="1B5E20"/>
          </w:tcPr>
          <w:p>
            <w:pPr>
              <w:jc w:val="center"/>
            </w:pPr>
            <w:r/>
            <w:r>
              <w:rPr>
                <w:rFonts w:ascii="Aptos" w:hAnsi="Aptos"/>
                <w:b/>
                <w:color w:val="FFFFFF"/>
                <w:sz w:val="15"/>
              </w:rPr>
              <w:t>Google technology</w:t>
            </w:r>
          </w:p>
        </w:tc>
        <w:tc>
          <w:tcPr>
            <w:tcW w:type="dxa" w:w="4464"/>
            <w:vAlign w:val="center"/>
            <w:shd w:fill="1B5E20"/>
          </w:tcPr>
          <w:p>
            <w:pPr>
              <w:jc w:val="center"/>
            </w:pPr>
            <w:r/>
            <w:r>
              <w:rPr>
                <w:rFonts w:ascii="Aptos" w:hAnsi="Aptos"/>
                <w:b/>
                <w:color w:val="FFFFFF"/>
                <w:sz w:val="15"/>
              </w:rPr>
              <w:t>Purpose / design rule</w:t>
            </w:r>
          </w:p>
        </w:tc>
        <w:tc>
          <w:tcPr>
            <w:tcW w:type="dxa" w:w="1008"/>
            <w:vAlign w:val="center"/>
            <w:shd w:fill="1B5E20"/>
          </w:tcPr>
          <w:p>
            <w:pPr>
              <w:jc w:val="center"/>
            </w:pPr>
            <w:r/>
            <w:r>
              <w:rPr>
                <w:rFonts w:ascii="Aptos" w:hAnsi="Aptos"/>
                <w:b/>
                <w:color w:val="FFFFFF"/>
                <w:sz w:val="15"/>
              </w:rPr>
              <w:t>Priority</w:t>
            </w:r>
          </w:p>
        </w:tc>
      </w:tr>
      <w:tr>
        <w:tc>
          <w:tcPr>
            <w:tcW w:type="dxa" w:w="1800"/>
            <w:vAlign w:val="center"/>
          </w:tcPr>
          <w:p>
            <w:r/>
            <w:r>
              <w:rPr>
                <w:rFonts w:ascii="Aptos" w:hAnsi="Aptos"/>
                <w:b w:val="0"/>
                <w:sz w:val="15"/>
              </w:rPr>
              <w:t>Client</w:t>
            </w:r>
          </w:p>
        </w:tc>
        <w:tc>
          <w:tcPr>
            <w:tcW w:type="dxa" w:w="2952"/>
            <w:vAlign w:val="center"/>
          </w:tcPr>
          <w:p>
            <w:r/>
            <w:r>
              <w:rPr>
                <w:rFonts w:ascii="Aptos" w:hAnsi="Aptos"/>
                <w:b w:val="0"/>
                <w:sz w:val="15"/>
              </w:rPr>
              <w:t>Flutter + Dart + Material 3</w:t>
            </w:r>
          </w:p>
        </w:tc>
        <w:tc>
          <w:tcPr>
            <w:tcW w:type="dxa" w:w="4464"/>
            <w:vAlign w:val="center"/>
          </w:tcPr>
          <w:p>
            <w:r/>
            <w:r>
              <w:rPr>
                <w:rFonts w:ascii="Aptos" w:hAnsi="Aptos"/>
                <w:b w:val="0"/>
                <w:sz w:val="15"/>
              </w:rPr>
              <w:t>One codebase for web and Android; Google-originated UI stack.</w:t>
            </w:r>
          </w:p>
        </w:tc>
        <w:tc>
          <w:tcPr>
            <w:tcW w:type="dxa" w:w="1008"/>
            <w:vAlign w:val="center"/>
          </w:tcPr>
          <w:p>
            <w:r/>
            <w:r>
              <w:rPr>
                <w:rFonts w:ascii="Aptos" w:hAnsi="Aptos"/>
                <w:b w:val="0"/>
                <w:sz w:val="15"/>
              </w:rPr>
              <w:t>P0</w:t>
            </w:r>
          </w:p>
        </w:tc>
      </w:tr>
      <w:tr>
        <w:tc>
          <w:tcPr>
            <w:tcW w:type="dxa" w:w="1800"/>
            <w:vAlign w:val="center"/>
            <w:shd w:fill="F7F9F9"/>
          </w:tcPr>
          <w:p>
            <w:r/>
            <w:r>
              <w:rPr>
                <w:rFonts w:ascii="Aptos" w:hAnsi="Aptos"/>
                <w:b w:val="0"/>
                <w:sz w:val="15"/>
              </w:rPr>
              <w:t>IDE / local</w:t>
            </w:r>
          </w:p>
        </w:tc>
        <w:tc>
          <w:tcPr>
            <w:tcW w:type="dxa" w:w="2952"/>
            <w:vAlign w:val="center"/>
            <w:shd w:fill="F7F9F9"/>
          </w:tcPr>
          <w:p>
            <w:r/>
            <w:r>
              <w:rPr>
                <w:rFonts w:ascii="Aptos" w:hAnsi="Aptos"/>
                <w:b w:val="0"/>
                <w:sz w:val="15"/>
              </w:rPr>
              <w:t>Android Studio, Chrome DevTools</w:t>
            </w:r>
          </w:p>
        </w:tc>
        <w:tc>
          <w:tcPr>
            <w:tcW w:type="dxa" w:w="4464"/>
            <w:vAlign w:val="center"/>
            <w:shd w:fill="F7F9F9"/>
          </w:tcPr>
          <w:p>
            <w:r/>
            <w:r>
              <w:rPr>
                <w:rFonts w:ascii="Aptos" w:hAnsi="Aptos"/>
                <w:b w:val="0"/>
                <w:sz w:val="15"/>
              </w:rPr>
              <w:t>Google tools for Flutter/mobile/web development and debugging.</w:t>
            </w:r>
          </w:p>
        </w:tc>
        <w:tc>
          <w:tcPr>
            <w:tcW w:type="dxa" w:w="1008"/>
            <w:vAlign w:val="center"/>
            <w:shd w:fill="F7F9F9"/>
          </w:tcPr>
          <w:p>
            <w:r/>
            <w:r>
              <w:rPr>
                <w:rFonts w:ascii="Aptos" w:hAnsi="Aptos"/>
                <w:b w:val="0"/>
                <w:sz w:val="15"/>
              </w:rPr>
              <w:t>P0</w:t>
            </w:r>
          </w:p>
        </w:tc>
      </w:tr>
      <w:tr>
        <w:tc>
          <w:tcPr>
            <w:tcW w:type="dxa" w:w="1800"/>
            <w:vAlign w:val="center"/>
          </w:tcPr>
          <w:p>
            <w:r/>
            <w:r>
              <w:rPr>
                <w:rFonts w:ascii="Aptos" w:hAnsi="Aptos"/>
                <w:b w:val="0"/>
                <w:sz w:val="15"/>
              </w:rPr>
              <w:t>Web hosting</w:t>
            </w:r>
          </w:p>
        </w:tc>
        <w:tc>
          <w:tcPr>
            <w:tcW w:type="dxa" w:w="2952"/>
            <w:vAlign w:val="center"/>
          </w:tcPr>
          <w:p>
            <w:r/>
            <w:r>
              <w:rPr>
                <w:rFonts w:ascii="Aptos" w:hAnsi="Aptos"/>
                <w:b w:val="0"/>
                <w:sz w:val="15"/>
              </w:rPr>
              <w:t>Firebase Hosting</w:t>
            </w:r>
          </w:p>
        </w:tc>
        <w:tc>
          <w:tcPr>
            <w:tcW w:type="dxa" w:w="4464"/>
            <w:vAlign w:val="center"/>
          </w:tcPr>
          <w:p>
            <w:r/>
            <w:r>
              <w:rPr>
                <w:rFonts w:ascii="Aptos" w:hAnsi="Aptos"/>
                <w:b w:val="0"/>
                <w:sz w:val="15"/>
              </w:rPr>
              <w:t>Public web URL; static Flutter web delivery.</w:t>
            </w:r>
          </w:p>
        </w:tc>
        <w:tc>
          <w:tcPr>
            <w:tcW w:type="dxa" w:w="1008"/>
            <w:vAlign w:val="center"/>
          </w:tcPr>
          <w:p>
            <w:r/>
            <w:r>
              <w:rPr>
                <w:rFonts w:ascii="Aptos" w:hAnsi="Aptos"/>
                <w:b w:val="0"/>
                <w:sz w:val="15"/>
              </w:rPr>
              <w:t>P0</w:t>
            </w:r>
          </w:p>
        </w:tc>
      </w:tr>
      <w:tr>
        <w:tc>
          <w:tcPr>
            <w:tcW w:type="dxa" w:w="1800"/>
            <w:vAlign w:val="center"/>
            <w:shd w:fill="F7F9F9"/>
          </w:tcPr>
          <w:p>
            <w:r/>
            <w:r>
              <w:rPr>
                <w:rFonts w:ascii="Aptos" w:hAnsi="Aptos"/>
                <w:b w:val="0"/>
                <w:sz w:val="15"/>
              </w:rPr>
              <w:t>Authentication</w:t>
            </w:r>
          </w:p>
        </w:tc>
        <w:tc>
          <w:tcPr>
            <w:tcW w:type="dxa" w:w="2952"/>
            <w:vAlign w:val="center"/>
            <w:shd w:fill="F7F9F9"/>
          </w:tcPr>
          <w:p>
            <w:r/>
            <w:r>
              <w:rPr>
                <w:rFonts w:ascii="Aptos" w:hAnsi="Aptos"/>
                <w:b w:val="0"/>
                <w:sz w:val="15"/>
              </w:rPr>
              <w:t>Firebase Authentication</w:t>
            </w:r>
          </w:p>
        </w:tc>
        <w:tc>
          <w:tcPr>
            <w:tcW w:type="dxa" w:w="4464"/>
            <w:vAlign w:val="center"/>
            <w:shd w:fill="F7F9F9"/>
          </w:tcPr>
          <w:p>
            <w:r/>
            <w:r>
              <w:rPr>
                <w:rFonts w:ascii="Aptos" w:hAnsi="Aptos"/>
                <w:b w:val="0"/>
                <w:sz w:val="15"/>
              </w:rPr>
              <w:t>Google sign-in and email/password; central UID.</w:t>
            </w:r>
          </w:p>
        </w:tc>
        <w:tc>
          <w:tcPr>
            <w:tcW w:type="dxa" w:w="1008"/>
            <w:vAlign w:val="center"/>
            <w:shd w:fill="F7F9F9"/>
          </w:tcPr>
          <w:p>
            <w:r/>
            <w:r>
              <w:rPr>
                <w:rFonts w:ascii="Aptos" w:hAnsi="Aptos"/>
                <w:b w:val="0"/>
                <w:sz w:val="15"/>
              </w:rPr>
              <w:t>P0</w:t>
            </w:r>
          </w:p>
        </w:tc>
      </w:tr>
      <w:tr>
        <w:tc>
          <w:tcPr>
            <w:tcW w:type="dxa" w:w="1800"/>
            <w:vAlign w:val="center"/>
          </w:tcPr>
          <w:p>
            <w:r/>
            <w:r>
              <w:rPr>
                <w:rFonts w:ascii="Aptos" w:hAnsi="Aptos"/>
                <w:b w:val="0"/>
                <w:sz w:val="15"/>
              </w:rPr>
              <w:t>App abuse protection</w:t>
            </w:r>
          </w:p>
        </w:tc>
        <w:tc>
          <w:tcPr>
            <w:tcW w:type="dxa" w:w="2952"/>
            <w:vAlign w:val="center"/>
          </w:tcPr>
          <w:p>
            <w:r/>
            <w:r>
              <w:rPr>
                <w:rFonts w:ascii="Aptos" w:hAnsi="Aptos"/>
                <w:b w:val="0"/>
                <w:sz w:val="15"/>
              </w:rPr>
              <w:t>Firebase App Check</w:t>
            </w:r>
          </w:p>
        </w:tc>
        <w:tc>
          <w:tcPr>
            <w:tcW w:type="dxa" w:w="4464"/>
            <w:vAlign w:val="center"/>
          </w:tcPr>
          <w:p>
            <w:r/>
            <w:r>
              <w:rPr>
                <w:rFonts w:ascii="Aptos" w:hAnsi="Aptos"/>
                <w:b w:val="0"/>
                <w:sz w:val="15"/>
              </w:rPr>
              <w:t>Attests app/client before sensitive backend access; not proof of physical action.</w:t>
            </w:r>
          </w:p>
        </w:tc>
        <w:tc>
          <w:tcPr>
            <w:tcW w:type="dxa" w:w="1008"/>
            <w:vAlign w:val="center"/>
          </w:tcPr>
          <w:p>
            <w:r/>
            <w:r>
              <w:rPr>
                <w:rFonts w:ascii="Aptos" w:hAnsi="Aptos"/>
                <w:b w:val="0"/>
                <w:sz w:val="15"/>
              </w:rPr>
              <w:t>P0</w:t>
            </w:r>
          </w:p>
        </w:tc>
      </w:tr>
      <w:tr>
        <w:tc>
          <w:tcPr>
            <w:tcW w:type="dxa" w:w="1800"/>
            <w:vAlign w:val="center"/>
            <w:shd w:fill="F7F9F9"/>
          </w:tcPr>
          <w:p>
            <w:r/>
            <w:r>
              <w:rPr>
                <w:rFonts w:ascii="Aptos" w:hAnsi="Aptos"/>
                <w:b w:val="0"/>
                <w:sz w:val="15"/>
              </w:rPr>
              <w:t>Operational DB</w:t>
            </w:r>
          </w:p>
        </w:tc>
        <w:tc>
          <w:tcPr>
            <w:tcW w:type="dxa" w:w="2952"/>
            <w:vAlign w:val="center"/>
            <w:shd w:fill="F7F9F9"/>
          </w:tcPr>
          <w:p>
            <w:r/>
            <w:r>
              <w:rPr>
                <w:rFonts w:ascii="Aptos" w:hAnsi="Aptos"/>
                <w:b w:val="0"/>
                <w:sz w:val="15"/>
              </w:rPr>
              <w:t>Cloud Firestore</w:t>
            </w:r>
          </w:p>
        </w:tc>
        <w:tc>
          <w:tcPr>
            <w:tcW w:type="dxa" w:w="4464"/>
            <w:vAlign w:val="center"/>
            <w:shd w:fill="F7F9F9"/>
          </w:tcPr>
          <w:p>
            <w:r/>
            <w:r>
              <w:rPr>
                <w:rFonts w:ascii="Aptos" w:hAnsi="Aptos"/>
                <w:b w:val="0"/>
                <w:sz w:val="15"/>
              </w:rPr>
              <w:t>User profile, consent, scans, wallet projection, recommendations, catalog metadata.</w:t>
            </w:r>
          </w:p>
        </w:tc>
        <w:tc>
          <w:tcPr>
            <w:tcW w:type="dxa" w:w="1008"/>
            <w:vAlign w:val="center"/>
            <w:shd w:fill="F7F9F9"/>
          </w:tcPr>
          <w:p>
            <w:r/>
            <w:r>
              <w:rPr>
                <w:rFonts w:ascii="Aptos" w:hAnsi="Aptos"/>
                <w:b w:val="0"/>
                <w:sz w:val="15"/>
              </w:rPr>
              <w:t>P0</w:t>
            </w:r>
          </w:p>
        </w:tc>
      </w:tr>
      <w:tr>
        <w:tc>
          <w:tcPr>
            <w:tcW w:type="dxa" w:w="1800"/>
            <w:vAlign w:val="center"/>
          </w:tcPr>
          <w:p>
            <w:r/>
            <w:r>
              <w:rPr>
                <w:rFonts w:ascii="Aptos" w:hAnsi="Aptos"/>
                <w:b w:val="0"/>
                <w:sz w:val="15"/>
              </w:rPr>
              <w:t>Object storage</w:t>
            </w:r>
          </w:p>
        </w:tc>
        <w:tc>
          <w:tcPr>
            <w:tcW w:type="dxa" w:w="2952"/>
            <w:vAlign w:val="center"/>
          </w:tcPr>
          <w:p>
            <w:r/>
            <w:r>
              <w:rPr>
                <w:rFonts w:ascii="Aptos" w:hAnsi="Aptos"/>
                <w:b w:val="0"/>
                <w:sz w:val="15"/>
              </w:rPr>
              <w:t>Cloud Storage for Firebase / Google Cloud Storage</w:t>
            </w:r>
          </w:p>
        </w:tc>
        <w:tc>
          <w:tcPr>
            <w:tcW w:type="dxa" w:w="4464"/>
            <w:vAlign w:val="center"/>
          </w:tcPr>
          <w:p>
            <w:r/>
            <w:r>
              <w:rPr>
                <w:rFonts w:ascii="Aptos" w:hAnsi="Aptos"/>
                <w:b w:val="0"/>
                <w:sz w:val="15"/>
              </w:rPr>
              <w:t>Temporary product/receipt images and demo assets.</w:t>
            </w:r>
          </w:p>
        </w:tc>
        <w:tc>
          <w:tcPr>
            <w:tcW w:type="dxa" w:w="1008"/>
            <w:vAlign w:val="center"/>
          </w:tcPr>
          <w:p>
            <w:r/>
            <w:r>
              <w:rPr>
                <w:rFonts w:ascii="Aptos" w:hAnsi="Aptos"/>
                <w:b w:val="0"/>
                <w:sz w:val="15"/>
              </w:rPr>
              <w:t>P0</w:t>
            </w:r>
          </w:p>
        </w:tc>
      </w:tr>
      <w:tr>
        <w:tc>
          <w:tcPr>
            <w:tcW w:type="dxa" w:w="1800"/>
            <w:vAlign w:val="center"/>
            <w:shd w:fill="F7F9F9"/>
          </w:tcPr>
          <w:p>
            <w:r/>
            <w:r>
              <w:rPr>
                <w:rFonts w:ascii="Aptos" w:hAnsi="Aptos"/>
                <w:b w:val="0"/>
                <w:sz w:val="15"/>
              </w:rPr>
              <w:t>Backend compute</w:t>
            </w:r>
          </w:p>
        </w:tc>
        <w:tc>
          <w:tcPr>
            <w:tcW w:type="dxa" w:w="2952"/>
            <w:vAlign w:val="center"/>
            <w:shd w:fill="F7F9F9"/>
          </w:tcPr>
          <w:p>
            <w:r/>
            <w:r>
              <w:rPr>
                <w:rFonts w:ascii="Aptos" w:hAnsi="Aptos"/>
                <w:b w:val="0"/>
                <w:sz w:val="15"/>
              </w:rPr>
              <w:t>Cloud Run</w:t>
            </w:r>
          </w:p>
        </w:tc>
        <w:tc>
          <w:tcPr>
            <w:tcW w:type="dxa" w:w="4464"/>
            <w:vAlign w:val="center"/>
            <w:shd w:fill="F7F9F9"/>
          </w:tcPr>
          <w:p>
            <w:r/>
            <w:r>
              <w:rPr>
                <w:rFonts w:ascii="Aptos" w:hAnsi="Aptos"/>
                <w:b w:val="0"/>
                <w:sz w:val="15"/>
              </w:rPr>
              <w:t>Containerized stateless API/services with managed autoscaling.</w:t>
            </w:r>
          </w:p>
        </w:tc>
        <w:tc>
          <w:tcPr>
            <w:tcW w:type="dxa" w:w="1008"/>
            <w:vAlign w:val="center"/>
            <w:shd w:fill="F7F9F9"/>
          </w:tcPr>
          <w:p>
            <w:r/>
            <w:r>
              <w:rPr>
                <w:rFonts w:ascii="Aptos" w:hAnsi="Aptos"/>
                <w:b w:val="0"/>
                <w:sz w:val="15"/>
              </w:rPr>
              <w:t>P0</w:t>
            </w:r>
          </w:p>
        </w:tc>
      </w:tr>
      <w:tr>
        <w:tc>
          <w:tcPr>
            <w:tcW w:type="dxa" w:w="1800"/>
            <w:vAlign w:val="center"/>
          </w:tcPr>
          <w:p>
            <w:r/>
            <w:r>
              <w:rPr>
                <w:rFonts w:ascii="Aptos" w:hAnsi="Aptos"/>
                <w:b w:val="0"/>
                <w:sz w:val="15"/>
              </w:rPr>
              <w:t>AI reasoning</w:t>
            </w:r>
          </w:p>
        </w:tc>
        <w:tc>
          <w:tcPr>
            <w:tcW w:type="dxa" w:w="2952"/>
            <w:vAlign w:val="center"/>
          </w:tcPr>
          <w:p>
            <w:r/>
            <w:r>
              <w:rPr>
                <w:rFonts w:ascii="Aptos" w:hAnsi="Aptos"/>
                <w:b w:val="0"/>
                <w:sz w:val="15"/>
              </w:rPr>
              <w:t>Gemini 2.5 Flash on Vertex AI</w:t>
            </w:r>
          </w:p>
        </w:tc>
        <w:tc>
          <w:tcPr>
            <w:tcW w:type="dxa" w:w="4464"/>
            <w:vAlign w:val="center"/>
          </w:tcPr>
          <w:p>
            <w:r/>
            <w:r>
              <w:rPr>
                <w:rFonts w:ascii="Aptos" w:hAnsi="Aptos"/>
                <w:b w:val="0"/>
                <w:sz w:val="15"/>
              </w:rPr>
              <w:t>Multimodal/structured explanation and recommendation; stable choice over preview-only model for demo.</w:t>
            </w:r>
          </w:p>
        </w:tc>
        <w:tc>
          <w:tcPr>
            <w:tcW w:type="dxa" w:w="1008"/>
            <w:vAlign w:val="center"/>
          </w:tcPr>
          <w:p>
            <w:r/>
            <w:r>
              <w:rPr>
                <w:rFonts w:ascii="Aptos" w:hAnsi="Aptos"/>
                <w:b w:val="0"/>
                <w:sz w:val="15"/>
              </w:rPr>
              <w:t>P0</w:t>
            </w:r>
          </w:p>
        </w:tc>
      </w:tr>
      <w:tr>
        <w:tc>
          <w:tcPr>
            <w:tcW w:type="dxa" w:w="1800"/>
            <w:vAlign w:val="center"/>
            <w:shd w:fill="F7F9F9"/>
          </w:tcPr>
          <w:p>
            <w:r/>
            <w:r>
              <w:rPr>
                <w:rFonts w:ascii="Aptos" w:hAnsi="Aptos"/>
                <w:b w:val="0"/>
                <w:sz w:val="15"/>
              </w:rPr>
              <w:t>Image analysis</w:t>
            </w:r>
          </w:p>
        </w:tc>
        <w:tc>
          <w:tcPr>
            <w:tcW w:type="dxa" w:w="2952"/>
            <w:vAlign w:val="center"/>
            <w:shd w:fill="F7F9F9"/>
          </w:tcPr>
          <w:p>
            <w:r/>
            <w:r>
              <w:rPr>
                <w:rFonts w:ascii="Aptos" w:hAnsi="Aptos"/>
                <w:b w:val="0"/>
                <w:sz w:val="15"/>
              </w:rPr>
              <w:t>Cloud Vision API</w:t>
            </w:r>
          </w:p>
        </w:tc>
        <w:tc>
          <w:tcPr>
            <w:tcW w:type="dxa" w:w="4464"/>
            <w:vAlign w:val="center"/>
            <w:shd w:fill="F7F9F9"/>
          </w:tcPr>
          <w:p>
            <w:r/>
            <w:r>
              <w:rPr>
                <w:rFonts w:ascii="Aptos" w:hAnsi="Aptos"/>
                <w:b w:val="0"/>
                <w:sz w:val="15"/>
              </w:rPr>
              <w:t>Labels/text/OCR evidence for product imagery.</w:t>
            </w:r>
          </w:p>
        </w:tc>
        <w:tc>
          <w:tcPr>
            <w:tcW w:type="dxa" w:w="1008"/>
            <w:vAlign w:val="center"/>
            <w:shd w:fill="F7F9F9"/>
          </w:tcPr>
          <w:p>
            <w:r/>
            <w:r>
              <w:rPr>
                <w:rFonts w:ascii="Aptos" w:hAnsi="Aptos"/>
                <w:b w:val="0"/>
                <w:sz w:val="15"/>
              </w:rPr>
              <w:t>P0</w:t>
            </w:r>
          </w:p>
        </w:tc>
      </w:tr>
      <w:tr>
        <w:tc>
          <w:tcPr>
            <w:tcW w:type="dxa" w:w="1800"/>
            <w:vAlign w:val="center"/>
          </w:tcPr>
          <w:p>
            <w:r/>
            <w:r>
              <w:rPr>
                <w:rFonts w:ascii="Aptos" w:hAnsi="Aptos"/>
                <w:b w:val="0"/>
                <w:sz w:val="15"/>
              </w:rPr>
              <w:t>Receipt extraction</w:t>
            </w:r>
          </w:p>
        </w:tc>
        <w:tc>
          <w:tcPr>
            <w:tcW w:type="dxa" w:w="2952"/>
            <w:vAlign w:val="center"/>
          </w:tcPr>
          <w:p>
            <w:r/>
            <w:r>
              <w:rPr>
                <w:rFonts w:ascii="Aptos" w:hAnsi="Aptos"/>
                <w:b w:val="0"/>
                <w:sz w:val="15"/>
              </w:rPr>
              <w:t>Document AI Expense Parser or OCR</w:t>
            </w:r>
          </w:p>
        </w:tc>
        <w:tc>
          <w:tcPr>
            <w:tcW w:type="dxa" w:w="4464"/>
            <w:vAlign w:val="center"/>
          </w:tcPr>
          <w:p>
            <w:r/>
            <w:r>
              <w:rPr>
                <w:rFonts w:ascii="Aptos" w:hAnsi="Aptos"/>
                <w:b w:val="0"/>
                <w:sz w:val="15"/>
              </w:rPr>
              <w:t>Structured merchant/date/amount; item extraction enhanced by normalization logic.</w:t>
            </w:r>
          </w:p>
        </w:tc>
        <w:tc>
          <w:tcPr>
            <w:tcW w:type="dxa" w:w="1008"/>
            <w:vAlign w:val="center"/>
          </w:tcPr>
          <w:p>
            <w:r/>
            <w:r>
              <w:rPr>
                <w:rFonts w:ascii="Aptos" w:hAnsi="Aptos"/>
                <w:b w:val="0"/>
                <w:sz w:val="15"/>
              </w:rPr>
              <w:t>P1</w:t>
            </w:r>
          </w:p>
        </w:tc>
      </w:tr>
      <w:tr>
        <w:tc>
          <w:tcPr>
            <w:tcW w:type="dxa" w:w="1800"/>
            <w:vAlign w:val="center"/>
            <w:shd w:fill="F7F9F9"/>
          </w:tcPr>
          <w:p>
            <w:r/>
            <w:r>
              <w:rPr>
                <w:rFonts w:ascii="Aptos" w:hAnsi="Aptos"/>
                <w:b w:val="0"/>
                <w:sz w:val="15"/>
              </w:rPr>
              <w:t>Analytics / factor store</w:t>
            </w:r>
          </w:p>
        </w:tc>
        <w:tc>
          <w:tcPr>
            <w:tcW w:type="dxa" w:w="2952"/>
            <w:vAlign w:val="center"/>
            <w:shd w:fill="F7F9F9"/>
          </w:tcPr>
          <w:p>
            <w:r/>
            <w:r>
              <w:rPr>
                <w:rFonts w:ascii="Aptos" w:hAnsi="Aptos"/>
                <w:b w:val="0"/>
                <w:sz w:val="15"/>
              </w:rPr>
              <w:t>BigQuery</w:t>
            </w:r>
          </w:p>
        </w:tc>
        <w:tc>
          <w:tcPr>
            <w:tcW w:type="dxa" w:w="4464"/>
            <w:vAlign w:val="center"/>
            <w:shd w:fill="F7F9F9"/>
          </w:tcPr>
          <w:p>
            <w:r/>
            <w:r>
              <w:rPr>
                <w:rFonts w:ascii="Aptos" w:hAnsi="Aptos"/>
                <w:b w:val="0"/>
                <w:sz w:val="15"/>
              </w:rPr>
              <w:t>Versioned sustainability/emission-factor datasets, event analytics and reports.</w:t>
            </w:r>
          </w:p>
        </w:tc>
        <w:tc>
          <w:tcPr>
            <w:tcW w:type="dxa" w:w="1008"/>
            <w:vAlign w:val="center"/>
            <w:shd w:fill="F7F9F9"/>
          </w:tcPr>
          <w:p>
            <w:r/>
            <w:r>
              <w:rPr>
                <w:rFonts w:ascii="Aptos" w:hAnsi="Aptos"/>
                <w:b w:val="0"/>
                <w:sz w:val="15"/>
              </w:rPr>
              <w:t>P0</w:t>
            </w:r>
          </w:p>
        </w:tc>
      </w:tr>
      <w:tr>
        <w:tc>
          <w:tcPr>
            <w:tcW w:type="dxa" w:w="1800"/>
            <w:vAlign w:val="center"/>
          </w:tcPr>
          <w:p>
            <w:r/>
            <w:r>
              <w:rPr>
                <w:rFonts w:ascii="Aptos" w:hAnsi="Aptos"/>
                <w:b w:val="0"/>
                <w:sz w:val="15"/>
              </w:rPr>
              <w:t>Event messaging</w:t>
            </w:r>
          </w:p>
        </w:tc>
        <w:tc>
          <w:tcPr>
            <w:tcW w:type="dxa" w:w="2952"/>
            <w:vAlign w:val="center"/>
          </w:tcPr>
          <w:p>
            <w:r/>
            <w:r>
              <w:rPr>
                <w:rFonts w:ascii="Aptos" w:hAnsi="Aptos"/>
                <w:b w:val="0"/>
                <w:sz w:val="15"/>
              </w:rPr>
              <w:t>Pub/Sub</w:t>
            </w:r>
          </w:p>
        </w:tc>
        <w:tc>
          <w:tcPr>
            <w:tcW w:type="dxa" w:w="4464"/>
            <w:vAlign w:val="center"/>
          </w:tcPr>
          <w:p>
            <w:r/>
            <w:r>
              <w:rPr>
                <w:rFonts w:ascii="Aptos" w:hAnsi="Aptos"/>
                <w:b w:val="0"/>
                <w:sz w:val="15"/>
              </w:rPr>
              <w:t>Async scan/reward/analytics events; decouples demo services.</w:t>
            </w:r>
          </w:p>
        </w:tc>
        <w:tc>
          <w:tcPr>
            <w:tcW w:type="dxa" w:w="1008"/>
            <w:vAlign w:val="center"/>
          </w:tcPr>
          <w:p>
            <w:r/>
            <w:r>
              <w:rPr>
                <w:rFonts w:ascii="Aptos" w:hAnsi="Aptos"/>
                <w:b w:val="0"/>
                <w:sz w:val="15"/>
              </w:rPr>
              <w:t>P1</w:t>
            </w:r>
          </w:p>
        </w:tc>
      </w:tr>
      <w:tr>
        <w:tc>
          <w:tcPr>
            <w:tcW w:type="dxa" w:w="1800"/>
            <w:vAlign w:val="center"/>
            <w:shd w:fill="F7F9F9"/>
          </w:tcPr>
          <w:p>
            <w:r/>
            <w:r>
              <w:rPr>
                <w:rFonts w:ascii="Aptos" w:hAnsi="Aptos"/>
                <w:b w:val="0"/>
                <w:sz w:val="15"/>
              </w:rPr>
              <w:t>Mobility</w:t>
            </w:r>
          </w:p>
        </w:tc>
        <w:tc>
          <w:tcPr>
            <w:tcW w:type="dxa" w:w="2952"/>
            <w:vAlign w:val="center"/>
            <w:shd w:fill="F7F9F9"/>
          </w:tcPr>
          <w:p>
            <w:r/>
            <w:r>
              <w:rPr>
                <w:rFonts w:ascii="Aptos" w:hAnsi="Aptos"/>
                <w:b w:val="0"/>
                <w:sz w:val="15"/>
              </w:rPr>
              <w:t>Health Connect (Android)</w:t>
            </w:r>
          </w:p>
        </w:tc>
        <w:tc>
          <w:tcPr>
            <w:tcW w:type="dxa" w:w="4464"/>
            <w:vAlign w:val="center"/>
            <w:shd w:fill="F7F9F9"/>
          </w:tcPr>
          <w:p>
            <w:r/>
            <w:r>
              <w:rPr>
                <w:rFonts w:ascii="Aptos" w:hAnsi="Aptos"/>
                <w:b w:val="0"/>
                <w:sz w:val="15"/>
              </w:rPr>
              <w:t>Steps/distance/activity/session evidence for Green Move.</w:t>
            </w:r>
          </w:p>
        </w:tc>
        <w:tc>
          <w:tcPr>
            <w:tcW w:type="dxa" w:w="1008"/>
            <w:vAlign w:val="center"/>
            <w:shd w:fill="F7F9F9"/>
          </w:tcPr>
          <w:p>
            <w:r/>
            <w:r>
              <w:rPr>
                <w:rFonts w:ascii="Aptos" w:hAnsi="Aptos"/>
                <w:b w:val="0"/>
                <w:sz w:val="15"/>
              </w:rPr>
              <w:t>P1</w:t>
            </w:r>
          </w:p>
        </w:tc>
      </w:tr>
      <w:tr>
        <w:tc>
          <w:tcPr>
            <w:tcW w:type="dxa" w:w="1800"/>
            <w:vAlign w:val="center"/>
          </w:tcPr>
          <w:p>
            <w:r/>
            <w:r>
              <w:rPr>
                <w:rFonts w:ascii="Aptos" w:hAnsi="Aptos"/>
                <w:b w:val="0"/>
                <w:sz w:val="15"/>
              </w:rPr>
              <w:t>Routing</w:t>
            </w:r>
          </w:p>
        </w:tc>
        <w:tc>
          <w:tcPr>
            <w:tcW w:type="dxa" w:w="2952"/>
            <w:vAlign w:val="center"/>
          </w:tcPr>
          <w:p>
            <w:r/>
            <w:r>
              <w:rPr>
                <w:rFonts w:ascii="Aptos" w:hAnsi="Aptos"/>
                <w:b w:val="0"/>
                <w:sz w:val="15"/>
              </w:rPr>
              <w:t>Google Maps Platform Routes API</w:t>
            </w:r>
          </w:p>
        </w:tc>
        <w:tc>
          <w:tcPr>
            <w:tcW w:type="dxa" w:w="4464"/>
            <w:vAlign w:val="center"/>
          </w:tcPr>
          <w:p>
            <w:r/>
            <w:r>
              <w:rPr>
                <w:rFonts w:ascii="Aptos" w:hAnsi="Aptos"/>
                <w:b w:val="0"/>
                <w:sz w:val="15"/>
              </w:rPr>
              <w:t>Optional eco-route/fuel comparison where supported.</w:t>
            </w:r>
          </w:p>
        </w:tc>
        <w:tc>
          <w:tcPr>
            <w:tcW w:type="dxa" w:w="1008"/>
            <w:vAlign w:val="center"/>
          </w:tcPr>
          <w:p>
            <w:r/>
            <w:r>
              <w:rPr>
                <w:rFonts w:ascii="Aptos" w:hAnsi="Aptos"/>
                <w:b w:val="0"/>
                <w:sz w:val="15"/>
              </w:rPr>
              <w:t>P1/P2</w:t>
            </w:r>
          </w:p>
        </w:tc>
      </w:tr>
      <w:tr>
        <w:tc>
          <w:tcPr>
            <w:tcW w:type="dxa" w:w="1800"/>
            <w:vAlign w:val="center"/>
            <w:shd w:fill="F7F9F9"/>
          </w:tcPr>
          <w:p>
            <w:r/>
            <w:r>
              <w:rPr>
                <w:rFonts w:ascii="Aptos" w:hAnsi="Aptos"/>
                <w:b w:val="0"/>
                <w:sz w:val="15"/>
              </w:rPr>
              <w:t>Secrets</w:t>
            </w:r>
          </w:p>
        </w:tc>
        <w:tc>
          <w:tcPr>
            <w:tcW w:type="dxa" w:w="2952"/>
            <w:vAlign w:val="center"/>
            <w:shd w:fill="F7F9F9"/>
          </w:tcPr>
          <w:p>
            <w:r/>
            <w:r>
              <w:rPr>
                <w:rFonts w:ascii="Aptos" w:hAnsi="Aptos"/>
                <w:b w:val="0"/>
                <w:sz w:val="15"/>
              </w:rPr>
              <w:t>Secret Manager</w:t>
            </w:r>
          </w:p>
        </w:tc>
        <w:tc>
          <w:tcPr>
            <w:tcW w:type="dxa" w:w="4464"/>
            <w:vAlign w:val="center"/>
            <w:shd w:fill="F7F9F9"/>
          </w:tcPr>
          <w:p>
            <w:r/>
            <w:r>
              <w:rPr>
                <w:rFonts w:ascii="Aptos" w:hAnsi="Aptos"/>
                <w:b w:val="0"/>
                <w:sz w:val="15"/>
              </w:rPr>
              <w:t>API secrets/configuration not stored in source.</w:t>
            </w:r>
          </w:p>
        </w:tc>
        <w:tc>
          <w:tcPr>
            <w:tcW w:type="dxa" w:w="1008"/>
            <w:vAlign w:val="center"/>
            <w:shd w:fill="F7F9F9"/>
          </w:tcPr>
          <w:p>
            <w:r/>
            <w:r>
              <w:rPr>
                <w:rFonts w:ascii="Aptos" w:hAnsi="Aptos"/>
                <w:b w:val="0"/>
                <w:sz w:val="15"/>
              </w:rPr>
              <w:t>P0</w:t>
            </w:r>
          </w:p>
        </w:tc>
      </w:tr>
      <w:tr>
        <w:tc>
          <w:tcPr>
            <w:tcW w:type="dxa" w:w="1800"/>
            <w:vAlign w:val="center"/>
          </w:tcPr>
          <w:p>
            <w:r/>
            <w:r>
              <w:rPr>
                <w:rFonts w:ascii="Aptos" w:hAnsi="Aptos"/>
                <w:b w:val="0"/>
                <w:sz w:val="15"/>
              </w:rPr>
              <w:t>Encryption control</w:t>
            </w:r>
          </w:p>
        </w:tc>
        <w:tc>
          <w:tcPr>
            <w:tcW w:type="dxa" w:w="2952"/>
            <w:vAlign w:val="center"/>
          </w:tcPr>
          <w:p>
            <w:r/>
            <w:r>
              <w:rPr>
                <w:rFonts w:ascii="Aptos" w:hAnsi="Aptos"/>
                <w:b w:val="0"/>
                <w:sz w:val="15"/>
              </w:rPr>
              <w:t>Cloud KMS</w:t>
            </w:r>
          </w:p>
        </w:tc>
        <w:tc>
          <w:tcPr>
            <w:tcW w:type="dxa" w:w="4464"/>
            <w:vAlign w:val="center"/>
          </w:tcPr>
          <w:p>
            <w:r/>
            <w:r>
              <w:rPr>
                <w:rFonts w:ascii="Aptos" w:hAnsi="Aptos"/>
                <w:b w:val="0"/>
                <w:sz w:val="15"/>
              </w:rPr>
              <w:t>Optional customer-managed key layer for protected data.</w:t>
            </w:r>
          </w:p>
        </w:tc>
        <w:tc>
          <w:tcPr>
            <w:tcW w:type="dxa" w:w="1008"/>
            <w:vAlign w:val="center"/>
          </w:tcPr>
          <w:p>
            <w:r/>
            <w:r>
              <w:rPr>
                <w:rFonts w:ascii="Aptos" w:hAnsi="Aptos"/>
                <w:b w:val="0"/>
                <w:sz w:val="15"/>
              </w:rPr>
              <w:t>P2</w:t>
            </w:r>
          </w:p>
        </w:tc>
      </w:tr>
      <w:tr>
        <w:tc>
          <w:tcPr>
            <w:tcW w:type="dxa" w:w="1800"/>
            <w:vAlign w:val="center"/>
            <w:shd w:fill="F7F9F9"/>
          </w:tcPr>
          <w:p>
            <w:r/>
            <w:r>
              <w:rPr>
                <w:rFonts w:ascii="Aptos" w:hAnsi="Aptos"/>
                <w:b w:val="0"/>
                <w:sz w:val="15"/>
              </w:rPr>
              <w:t>Build</w:t>
            </w:r>
          </w:p>
        </w:tc>
        <w:tc>
          <w:tcPr>
            <w:tcW w:type="dxa" w:w="2952"/>
            <w:vAlign w:val="center"/>
            <w:shd w:fill="F7F9F9"/>
          </w:tcPr>
          <w:p>
            <w:r/>
            <w:r>
              <w:rPr>
                <w:rFonts w:ascii="Aptos" w:hAnsi="Aptos"/>
                <w:b w:val="0"/>
                <w:sz w:val="15"/>
              </w:rPr>
              <w:t>Cloud Build</w:t>
            </w:r>
          </w:p>
        </w:tc>
        <w:tc>
          <w:tcPr>
            <w:tcW w:type="dxa" w:w="4464"/>
            <w:vAlign w:val="center"/>
            <w:shd w:fill="F7F9F9"/>
          </w:tcPr>
          <w:p>
            <w:r/>
            <w:r>
              <w:rPr>
                <w:rFonts w:ascii="Aptos" w:hAnsi="Aptos"/>
                <w:b w:val="0"/>
                <w:sz w:val="15"/>
              </w:rPr>
              <w:t>CI/build from GitHub connection; no GitHub Actions.</w:t>
            </w:r>
          </w:p>
        </w:tc>
        <w:tc>
          <w:tcPr>
            <w:tcW w:type="dxa" w:w="1008"/>
            <w:vAlign w:val="center"/>
            <w:shd w:fill="F7F9F9"/>
          </w:tcPr>
          <w:p>
            <w:r/>
            <w:r>
              <w:rPr>
                <w:rFonts w:ascii="Aptos" w:hAnsi="Aptos"/>
                <w:b w:val="0"/>
                <w:sz w:val="15"/>
              </w:rPr>
              <w:t>P0</w:t>
            </w:r>
          </w:p>
        </w:tc>
      </w:tr>
      <w:tr>
        <w:tc>
          <w:tcPr>
            <w:tcW w:type="dxa" w:w="1800"/>
            <w:vAlign w:val="center"/>
          </w:tcPr>
          <w:p>
            <w:r/>
            <w:r>
              <w:rPr>
                <w:rFonts w:ascii="Aptos" w:hAnsi="Aptos"/>
                <w:b w:val="0"/>
                <w:sz w:val="15"/>
              </w:rPr>
              <w:t>Artifacts</w:t>
            </w:r>
          </w:p>
        </w:tc>
        <w:tc>
          <w:tcPr>
            <w:tcW w:type="dxa" w:w="2952"/>
            <w:vAlign w:val="center"/>
          </w:tcPr>
          <w:p>
            <w:r/>
            <w:r>
              <w:rPr>
                <w:rFonts w:ascii="Aptos" w:hAnsi="Aptos"/>
                <w:b w:val="0"/>
                <w:sz w:val="15"/>
              </w:rPr>
              <w:t>Artifact Registry</w:t>
            </w:r>
          </w:p>
        </w:tc>
        <w:tc>
          <w:tcPr>
            <w:tcW w:type="dxa" w:w="4464"/>
            <w:vAlign w:val="center"/>
          </w:tcPr>
          <w:p>
            <w:r/>
            <w:r>
              <w:rPr>
                <w:rFonts w:ascii="Aptos" w:hAnsi="Aptos"/>
                <w:b w:val="0"/>
                <w:sz w:val="15"/>
              </w:rPr>
              <w:t>Stores immutable Cloud Run container images.</w:t>
            </w:r>
          </w:p>
        </w:tc>
        <w:tc>
          <w:tcPr>
            <w:tcW w:type="dxa" w:w="1008"/>
            <w:vAlign w:val="center"/>
          </w:tcPr>
          <w:p>
            <w:r/>
            <w:r>
              <w:rPr>
                <w:rFonts w:ascii="Aptos" w:hAnsi="Aptos"/>
                <w:b w:val="0"/>
                <w:sz w:val="15"/>
              </w:rPr>
              <w:t>P0</w:t>
            </w:r>
          </w:p>
        </w:tc>
      </w:tr>
      <w:tr>
        <w:tc>
          <w:tcPr>
            <w:tcW w:type="dxa" w:w="1800"/>
            <w:vAlign w:val="center"/>
            <w:shd w:fill="F7F9F9"/>
          </w:tcPr>
          <w:p>
            <w:r/>
            <w:r>
              <w:rPr>
                <w:rFonts w:ascii="Aptos" w:hAnsi="Aptos"/>
                <w:b w:val="0"/>
                <w:sz w:val="15"/>
              </w:rPr>
              <w:t>Operations</w:t>
            </w:r>
          </w:p>
        </w:tc>
        <w:tc>
          <w:tcPr>
            <w:tcW w:type="dxa" w:w="2952"/>
            <w:vAlign w:val="center"/>
            <w:shd w:fill="F7F9F9"/>
          </w:tcPr>
          <w:p>
            <w:r/>
            <w:r>
              <w:rPr>
                <w:rFonts w:ascii="Aptos" w:hAnsi="Aptos"/>
                <w:b w:val="0"/>
                <w:sz w:val="15"/>
              </w:rPr>
              <w:t>Cloud Logging + Cloud Monitoring</w:t>
            </w:r>
          </w:p>
        </w:tc>
        <w:tc>
          <w:tcPr>
            <w:tcW w:type="dxa" w:w="4464"/>
            <w:vAlign w:val="center"/>
            <w:shd w:fill="F7F9F9"/>
          </w:tcPr>
          <w:p>
            <w:r/>
            <w:r>
              <w:rPr>
                <w:rFonts w:ascii="Aptos" w:hAnsi="Aptos"/>
                <w:b w:val="0"/>
                <w:sz w:val="15"/>
              </w:rPr>
              <w:t>Logs, metrics, dashboards, alerting.</w:t>
            </w:r>
          </w:p>
        </w:tc>
        <w:tc>
          <w:tcPr>
            <w:tcW w:type="dxa" w:w="1008"/>
            <w:vAlign w:val="center"/>
            <w:shd w:fill="F7F9F9"/>
          </w:tcPr>
          <w:p>
            <w:r/>
            <w:r>
              <w:rPr>
                <w:rFonts w:ascii="Aptos" w:hAnsi="Aptos"/>
                <w:b w:val="0"/>
                <w:sz w:val="15"/>
              </w:rPr>
              <w:t>P0</w:t>
            </w:r>
          </w:p>
        </w:tc>
      </w:tr>
      <w:tr>
        <w:tc>
          <w:tcPr>
            <w:tcW w:type="dxa" w:w="1800"/>
            <w:vAlign w:val="center"/>
          </w:tcPr>
          <w:p>
            <w:r/>
            <w:r>
              <w:rPr>
                <w:rFonts w:ascii="Aptos" w:hAnsi="Aptos"/>
                <w:b w:val="0"/>
                <w:sz w:val="15"/>
              </w:rPr>
              <w:t>Mobile test distribution</w:t>
            </w:r>
          </w:p>
        </w:tc>
        <w:tc>
          <w:tcPr>
            <w:tcW w:type="dxa" w:w="2952"/>
            <w:vAlign w:val="center"/>
          </w:tcPr>
          <w:p>
            <w:r/>
            <w:r>
              <w:rPr>
                <w:rFonts w:ascii="Aptos" w:hAnsi="Aptos"/>
                <w:b w:val="0"/>
                <w:sz w:val="15"/>
              </w:rPr>
              <w:t>Firebase App Distribution</w:t>
            </w:r>
          </w:p>
        </w:tc>
        <w:tc>
          <w:tcPr>
            <w:tcW w:type="dxa" w:w="4464"/>
            <w:vAlign w:val="center"/>
          </w:tcPr>
          <w:p>
            <w:r/>
            <w:r>
              <w:rPr>
                <w:rFonts w:ascii="Aptos" w:hAnsi="Aptos"/>
                <w:b w:val="0"/>
                <w:sz w:val="15"/>
              </w:rPr>
              <w:t>Internal Android build sharing during hackathon.</w:t>
            </w:r>
          </w:p>
        </w:tc>
        <w:tc>
          <w:tcPr>
            <w:tcW w:type="dxa" w:w="1008"/>
            <w:vAlign w:val="center"/>
          </w:tcPr>
          <w:p>
            <w:r/>
            <w:r>
              <w:rPr>
                <w:rFonts w:ascii="Aptos" w:hAnsi="Aptos"/>
                <w:b w:val="0"/>
                <w:sz w:val="15"/>
              </w:rPr>
              <w:t>P1</w:t>
            </w:r>
          </w:p>
        </w:tc>
      </w:tr>
      <w:tr>
        <w:tc>
          <w:tcPr>
            <w:tcW w:type="dxa" w:w="1800"/>
            <w:vAlign w:val="center"/>
            <w:shd w:fill="F7F9F9"/>
          </w:tcPr>
          <w:p>
            <w:r/>
            <w:r>
              <w:rPr>
                <w:rFonts w:ascii="Aptos" w:hAnsi="Aptos"/>
                <w:b w:val="0"/>
                <w:sz w:val="15"/>
              </w:rPr>
              <w:t>Video</w:t>
            </w:r>
          </w:p>
        </w:tc>
        <w:tc>
          <w:tcPr>
            <w:tcW w:type="dxa" w:w="2952"/>
            <w:vAlign w:val="center"/>
            <w:shd w:fill="F7F9F9"/>
          </w:tcPr>
          <w:p>
            <w:r/>
            <w:r>
              <w:rPr>
                <w:rFonts w:ascii="Aptos" w:hAnsi="Aptos"/>
                <w:b w:val="0"/>
                <w:sz w:val="15"/>
              </w:rPr>
              <w:t>YouTube or Google Drive</w:t>
            </w:r>
          </w:p>
        </w:tc>
        <w:tc>
          <w:tcPr>
            <w:tcW w:type="dxa" w:w="4464"/>
            <w:vAlign w:val="center"/>
            <w:shd w:fill="F7F9F9"/>
          </w:tcPr>
          <w:p>
            <w:r/>
            <w:r>
              <w:rPr>
                <w:rFonts w:ascii="Aptos" w:hAnsi="Aptos"/>
                <w:b w:val="0"/>
                <w:sz w:val="15"/>
              </w:rPr>
              <w:t>Final demo video hosting.</w:t>
            </w:r>
          </w:p>
        </w:tc>
        <w:tc>
          <w:tcPr>
            <w:tcW w:type="dxa" w:w="1008"/>
            <w:vAlign w:val="center"/>
            <w:shd w:fill="F7F9F9"/>
          </w:tcPr>
          <w:p>
            <w:r/>
            <w:r>
              <w:rPr>
                <w:rFonts w:ascii="Aptos" w:hAnsi="Aptos"/>
                <w:b w:val="0"/>
                <w:sz w:val="15"/>
              </w:rPr>
              <w:t>Submission</w:t>
            </w:r>
          </w:p>
        </w:tc>
      </w:tr>
      <w:tr>
        <w:tc>
          <w:tcPr>
            <w:tcW w:type="dxa" w:w="1800"/>
            <w:vAlign w:val="center"/>
          </w:tcPr>
          <w:p>
            <w:r/>
            <w:r>
              <w:rPr>
                <w:rFonts w:ascii="Aptos" w:hAnsi="Aptos"/>
                <w:b w:val="0"/>
                <w:sz w:val="15"/>
              </w:rPr>
              <w:t>Source repository</w:t>
            </w:r>
          </w:p>
        </w:tc>
        <w:tc>
          <w:tcPr>
            <w:tcW w:type="dxa" w:w="2952"/>
            <w:vAlign w:val="center"/>
          </w:tcPr>
          <w:p>
            <w:r/>
            <w:r>
              <w:rPr>
                <w:rFonts w:ascii="Aptos" w:hAnsi="Aptos"/>
                <w:b w:val="0"/>
                <w:sz w:val="15"/>
              </w:rPr>
              <w:t>GitHub - mandatory exception</w:t>
            </w:r>
          </w:p>
        </w:tc>
        <w:tc>
          <w:tcPr>
            <w:tcW w:type="dxa" w:w="4464"/>
            <w:vAlign w:val="center"/>
          </w:tcPr>
          <w:p>
            <w:r/>
            <w:r>
              <w:rPr>
                <w:rFonts w:ascii="Aptos" w:hAnsi="Aptos"/>
                <w:b w:val="0"/>
                <w:sz w:val="15"/>
              </w:rPr>
              <w:t>Required by competition. Avoid non-Google CI/CD around it.</w:t>
            </w:r>
          </w:p>
        </w:tc>
        <w:tc>
          <w:tcPr>
            <w:tcW w:type="dxa" w:w="1008"/>
            <w:vAlign w:val="center"/>
          </w:tcPr>
          <w:p>
            <w:r/>
            <w:r>
              <w:rPr>
                <w:rFonts w:ascii="Aptos" w:hAnsi="Aptos"/>
                <w:b w:val="0"/>
                <w:sz w:val="15"/>
              </w:rPr>
              <w:t>Submission</w:t>
            </w:r>
          </w:p>
        </w:tc>
      </w:tr>
      <w:tr>
        <w:tc>
          <w:tcPr>
            <w:tcW w:type="dxa" w:w="2520"/>
            <w:vAlign w:val="center"/>
          </w:tcPr>
          <w:p>
            <w:pPr>
              <w:spacing w:after="0" w:before="0"/>
            </w:pPr>
            <w:r/>
            <w:r>
              <w:rPr>
                <w:b w:val="0"/>
                <w:sz w:val="16"/>
              </w:rPr>
              <w:t>Maps / geo evidence</w:t>
            </w:r>
          </w:p>
        </w:tc>
        <w:tc>
          <w:tcPr>
            <w:tcW w:type="dxa" w:w="2520"/>
            <w:vAlign w:val="center"/>
          </w:tcPr>
          <w:p>
            <w:pPr>
              <w:spacing w:after="0" w:before="0"/>
            </w:pPr>
            <w:r/>
            <w:r>
              <w:rPr>
                <w:b w:val="0"/>
                <w:sz w:val="16"/>
              </w:rPr>
              <w:t>Google Maps Platform (Maps SDK, Geocoding/Geolocation as applicable)</w:t>
            </w:r>
          </w:p>
        </w:tc>
        <w:tc>
          <w:tcPr>
            <w:tcW w:type="dxa" w:w="2520"/>
            <w:vAlign w:val="center"/>
          </w:tcPr>
          <w:p>
            <w:pPr>
              <w:spacing w:after="0" w:before="0"/>
            </w:pPr>
            <w:r/>
            <w:r>
              <w:rPr>
                <w:b w:val="0"/>
                <w:sz w:val="16"/>
              </w:rPr>
              <w:t>Render CarbonLens planting plots, validate/normalize locations and support route/location evidence. Google Maps is a visualization/location source, not an individual-tree survival authority.</w:t>
            </w:r>
          </w:p>
        </w:tc>
        <w:tc>
          <w:tcPr>
            <w:tcW w:type="dxa" w:w="2520"/>
            <w:vAlign w:val="center"/>
          </w:tcPr>
          <w:p>
            <w:pPr>
              <w:spacing w:after="0" w:before="0"/>
            </w:pPr>
            <w:r/>
            <w:r>
              <w:rPr>
                <w:b w:val="0"/>
                <w:sz w:val="16"/>
              </w:rPr>
              <w:t>P1</w:t>
            </w:r>
          </w:p>
        </w:tc>
      </w:tr>
      <w:tr>
        <w:tc>
          <w:tcPr>
            <w:tcW w:type="dxa" w:w="2520"/>
            <w:vAlign w:val="center"/>
          </w:tcPr>
          <w:p>
            <w:pPr>
              <w:spacing w:after="0" w:before="0"/>
            </w:pPr>
            <w:r/>
            <w:r>
              <w:rPr>
                <w:b w:val="0"/>
                <w:sz w:val="16"/>
              </w:rPr>
              <w:t>Vegetation monitoring</w:t>
            </w:r>
          </w:p>
        </w:tc>
        <w:tc>
          <w:tcPr>
            <w:tcW w:type="dxa" w:w="2520"/>
            <w:vAlign w:val="center"/>
          </w:tcPr>
          <w:p>
            <w:pPr>
              <w:spacing w:after="0" w:before="0"/>
            </w:pPr>
            <w:r/>
            <w:r>
              <w:rPr>
                <w:b w:val="0"/>
                <w:sz w:val="16"/>
              </w:rPr>
              <w:t>Google Earth Engine</w:t>
            </w:r>
          </w:p>
        </w:tc>
        <w:tc>
          <w:tcPr>
            <w:tcW w:type="dxa" w:w="2520"/>
            <w:vAlign w:val="center"/>
          </w:tcPr>
          <w:p>
            <w:pPr>
              <w:spacing w:after="0" w:before="0"/>
            </w:pPr>
            <w:r/>
            <w:r>
              <w:rPr>
                <w:b w:val="0"/>
                <w:sz w:val="16"/>
              </w:rPr>
              <w:t>Optional second-source evidence for Grow-Green plots using vegetation/land-cover time series. Use at plot/area level only when imagery resolution is sufficient.</w:t>
            </w:r>
          </w:p>
        </w:tc>
        <w:tc>
          <w:tcPr>
            <w:tcW w:type="dxa" w:w="2520"/>
            <w:vAlign w:val="center"/>
          </w:tcPr>
          <w:p>
            <w:pPr>
              <w:spacing w:after="0" w:before="0"/>
            </w:pPr>
            <w:r/>
            <w:r>
              <w:rPr>
                <w:b w:val="0"/>
                <w:sz w:val="16"/>
              </w:rPr>
              <w:t>P1/P2</w:t>
            </w:r>
          </w:p>
        </w:tc>
      </w:tr>
      <w:tr>
        <w:tc>
          <w:tcPr>
            <w:tcW w:type="dxa" w:w="2520"/>
            <w:vAlign w:val="center"/>
          </w:tcPr>
          <w:p>
            <w:pPr>
              <w:spacing w:after="0" w:before="0"/>
            </w:pPr>
            <w:r/>
            <w:r>
              <w:rPr>
                <w:b w:val="0"/>
                <w:sz w:val="16"/>
              </w:rPr>
              <w:t>Grow-Green visual checks</w:t>
            </w:r>
          </w:p>
        </w:tc>
        <w:tc>
          <w:tcPr>
            <w:tcW w:type="dxa" w:w="2520"/>
            <w:vAlign w:val="center"/>
          </w:tcPr>
          <w:p>
            <w:pPr>
              <w:spacing w:after="0" w:before="0"/>
            </w:pPr>
            <w:r/>
            <w:r>
              <w:rPr>
                <w:b w:val="0"/>
                <w:sz w:val="16"/>
              </w:rPr>
              <w:t>Gemini on Vertex AI (multimodal)</w:t>
            </w:r>
          </w:p>
        </w:tc>
        <w:tc>
          <w:tcPr>
            <w:tcW w:type="dxa" w:w="2520"/>
            <w:vAlign w:val="center"/>
          </w:tcPr>
          <w:p>
            <w:pPr>
              <w:spacing w:after="0" w:before="0"/>
            </w:pPr>
            <w:r/>
            <w:r>
              <w:rPr>
                <w:b w:val="0"/>
                <w:sz w:val="16"/>
              </w:rPr>
              <w:t>Compare periodic plot photos for tree/vegetation presence and obvious inconsistencies. Advisory signal only; final reward decision remains deterministic/policy controlled.</w:t>
            </w:r>
          </w:p>
        </w:tc>
        <w:tc>
          <w:tcPr>
            <w:tcW w:type="dxa" w:w="2520"/>
            <w:vAlign w:val="center"/>
          </w:tcPr>
          <w:p>
            <w:pPr>
              <w:spacing w:after="0" w:before="0"/>
            </w:pPr>
            <w:r/>
            <w:r>
              <w:rPr>
                <w:b w:val="0"/>
                <w:sz w:val="16"/>
              </w:rPr>
              <w:t>P1</w:t>
            </w:r>
          </w:p>
        </w:tc>
      </w:tr>
      <w:tr>
        <w:tc>
          <w:tcPr>
            <w:tcW w:type="dxa" w:w="2520"/>
            <w:vAlign w:val="center"/>
          </w:tcPr>
          <w:p>
            <w:pPr>
              <w:spacing w:after="0" w:before="0"/>
            </w:pPr>
            <w:r/>
            <w:r>
              <w:rPr>
                <w:b w:val="0"/>
                <w:sz w:val="16"/>
              </w:rPr>
              <w:t>Recycler document verification</w:t>
            </w:r>
          </w:p>
        </w:tc>
        <w:tc>
          <w:tcPr>
            <w:tcW w:type="dxa" w:w="2520"/>
            <w:vAlign w:val="center"/>
          </w:tcPr>
          <w:p>
            <w:pPr>
              <w:spacing w:after="0" w:before="0"/>
            </w:pPr>
            <w:r/>
            <w:r>
              <w:rPr>
                <w:b w:val="0"/>
                <w:sz w:val="16"/>
              </w:rPr>
              <w:t>Document AI Expense/Invoice Parser + OCR</w:t>
            </w:r>
          </w:p>
        </w:tc>
        <w:tc>
          <w:tcPr>
            <w:tcW w:type="dxa" w:w="2520"/>
            <w:vAlign w:val="center"/>
          </w:tcPr>
          <w:p>
            <w:pPr>
              <w:spacing w:after="0" w:before="0"/>
            </w:pPr>
            <w:r/>
            <w:r>
              <w:rPr>
                <w:b w:val="0"/>
                <w:sz w:val="16"/>
              </w:rPr>
              <w:t>Extract recycler, date, receipt/certificate number, amount/weight where present; normalized fields feed duplicate and registry checks.</w:t>
            </w:r>
          </w:p>
        </w:tc>
        <w:tc>
          <w:tcPr>
            <w:tcW w:type="dxa" w:w="2520"/>
            <w:vAlign w:val="center"/>
          </w:tcPr>
          <w:p>
            <w:pPr>
              <w:spacing w:after="0" w:before="0"/>
            </w:pPr>
            <w:r/>
            <w:r>
              <w:rPr>
                <w:b w:val="0"/>
                <w:sz w:val="16"/>
              </w:rPr>
              <w:t>P1</w:t>
            </w:r>
          </w:p>
        </w:tc>
      </w:tr>
    </w:tbl>
    <w:p>
      <w:pPr>
        <w:spacing w:after="40"/>
      </w:pPr>
    </w:p>
    <w:tbl>
      <w:tblPr>
        <w:tblW w:type="auto" w:w="0"/>
        <w:jc w:val="center"/>
        <w:tblLook w:firstColumn="1" w:firstRow="1" w:lastColumn="0" w:lastRow="0" w:noHBand="0" w:noVBand="1" w:val="04A0"/>
      </w:tblPr>
      <w:tblGrid>
        <w:gridCol w:w="10080"/>
      </w:tblGrid>
      <w:tr>
        <w:tc>
          <w:tcPr>
            <w:tcW w:type="dxa" w:w="10080"/>
            <w:shd w:fill="FFF3E0"/>
          </w:tcPr>
          <w:p>
            <w:pPr>
              <w:spacing w:before="120" w:after="120"/>
            </w:pPr>
            <w:r>
              <w:rPr>
                <w:b/>
                <w:color w:val="1B5E20"/>
                <w:sz w:val="21"/>
              </w:rPr>
              <w:t>Do not over-interpret “Google-only”</w:t>
              <w:br/>
            </w:r>
            <w:r>
              <w:rPr>
                <w:color w:val="263238"/>
                <w:sz w:val="19"/>
              </w:rPr>
              <w:t>Programming languages and open-source packages are implementation details, not competing cloud/SaaS services. Keep every managed platform capability on Google. For maximum purity, prefer Flutter/Dart on clients, official Google Cloud SDKs in the backend, Android Studio/Cloud Shell for tooling, and Cloud Build for CI/CD.</w:t>
            </w:r>
          </w:p>
        </w:tc>
      </w:tr>
    </w:tbl>
    <w:p>
      <w:pPr>
        <w:spacing w:after="40"/>
      </w:pPr>
    </w:p>
    <w:p>
      <w:pPr>
        <w:pStyle w:val="Heading1"/>
        <w:keepNext/>
      </w:pPr>
      <w:r>
        <w:t>5. Integrated High-Level Design (HLD)</w:t>
      </w:r>
    </w:p>
    <w:p>
      <w:r>
        <w:t>This section incorporates the architecture decisions from CarbonLens HLD v1.0 and aligns them to the Oct 18 prototype plan. The architecture remains intentionally production-shaped while allowing a smaller number of deployable services for the prototype.</w:t>
      </w:r>
    </w:p>
    <w:p>
      <w:pPr>
        <w:pStyle w:val="Heading2"/>
        <w:keepNext/>
      </w:pPr>
      <w:r>
        <w:t>5.1 System context</w:t>
      </w:r>
    </w:p>
    <w:p>
      <w:pPr>
        <w:jc w:val="center"/>
      </w:pPr>
      <w:r>
        <w:drawing>
          <wp:inline xmlns:a="http://schemas.openxmlformats.org/drawingml/2006/main" xmlns:pic="http://schemas.openxmlformats.org/drawingml/2006/picture">
            <wp:extent cx="6309360" cy="4468583"/>
            <wp:docPr id="2" name="Picture 2"/>
            <wp:cNvGraphicFramePr>
              <a:graphicFrameLocks noChangeAspect="1"/>
            </wp:cNvGraphicFramePr>
            <a:graphic>
              <a:graphicData uri="http://schemas.openxmlformats.org/drawingml/2006/picture">
                <pic:pic>
                  <pic:nvPicPr>
                    <pic:cNvPr id="0" name="01_system_context.png"/>
                    <pic:cNvPicPr/>
                  </pic:nvPicPr>
                  <pic:blipFill>
                    <a:blip r:embed="rId12"/>
                    <a:stretch>
                      <a:fillRect/>
                    </a:stretch>
                  </pic:blipFill>
                  <pic:spPr>
                    <a:xfrm>
                      <a:off x="0" y="0"/>
                      <a:ext cx="6309360" cy="4468583"/>
                    </a:xfrm>
                    <a:prstGeom prst="rect"/>
                  </pic:spPr>
                </pic:pic>
              </a:graphicData>
            </a:graphic>
          </wp:inline>
        </w:drawing>
      </w:r>
    </w:p>
    <w:p>
      <w:pPr>
        <w:pStyle w:val="Caption"/>
        <w:jc w:val="center"/>
      </w:pPr>
      <w:r>
        <w:t>Figure 2 - CarbonLens system context (integrated from HLD v1.0)</w:t>
      </w:r>
    </w:p>
    <w:p>
      <w:pPr>
        <w:pStyle w:val="ListBullet"/>
        <w:spacing w:after="40"/>
      </w:pPr>
      <w:r>
        <w:t>Users interact through Flutter web/Android clients.</w:t>
      </w:r>
    </w:p>
    <w:p>
      <w:pPr>
        <w:pStyle w:val="ListBullet"/>
        <w:spacing w:after="40"/>
      </w:pPr>
      <w:r>
        <w:t>Firebase Authentication and App Check establish identity and client trust.</w:t>
      </w:r>
    </w:p>
    <w:p>
      <w:pPr>
        <w:pStyle w:val="ListBullet"/>
        <w:spacing w:after="40"/>
      </w:pPr>
      <w:r>
        <w:t>Cloud Run hosts API/domain services; no authoritative carbon or reward logic is trusted to the client.</w:t>
      </w:r>
    </w:p>
    <w:p>
      <w:pPr>
        <w:pStyle w:val="ListBullet"/>
        <w:spacing w:after="40"/>
      </w:pPr>
      <w:r>
        <w:t>BigQuery is the analytical/factor source; Firestore is the low-latency operational store.</w:t>
      </w:r>
    </w:p>
    <w:p>
      <w:pPr>
        <w:pStyle w:val="ListBullet"/>
        <w:spacing w:after="40"/>
      </w:pPr>
      <w:r>
        <w:t>Gemini explains trusted structured facts; it is not the system of record for carbon numbers or rewards.</w:t>
      </w:r>
    </w:p>
    <w:p>
      <w:pPr>
        <w:pStyle w:val="Heading2"/>
        <w:keepNext/>
      </w:pPr>
      <w:r>
        <w:t>5.2 Logical architecture</w:t>
      </w:r>
    </w:p>
    <w:p>
      <w:pPr>
        <w:jc w:val="center"/>
      </w:pPr>
      <w:r>
        <w:drawing>
          <wp:inline xmlns:a="http://schemas.openxmlformats.org/drawingml/2006/main" xmlns:pic="http://schemas.openxmlformats.org/drawingml/2006/picture">
            <wp:extent cx="6309360" cy="3268192"/>
            <wp:docPr id="3" name="Picture 3"/>
            <wp:cNvGraphicFramePr>
              <a:graphicFrameLocks noChangeAspect="1"/>
            </wp:cNvGraphicFramePr>
            <a:graphic>
              <a:graphicData uri="http://schemas.openxmlformats.org/drawingml/2006/picture">
                <pic:pic>
                  <pic:nvPicPr>
                    <pic:cNvPr id="0" name="02_logical_architecture.png"/>
                    <pic:cNvPicPr/>
                  </pic:nvPicPr>
                  <pic:blipFill>
                    <a:blip r:embed="rId13"/>
                    <a:stretch>
                      <a:fillRect/>
                    </a:stretch>
                  </pic:blipFill>
                  <pic:spPr>
                    <a:xfrm>
                      <a:off x="0" y="0"/>
                      <a:ext cx="6309360" cy="3268192"/>
                    </a:xfrm>
                    <a:prstGeom prst="rect"/>
                  </pic:spPr>
                </pic:pic>
              </a:graphicData>
            </a:graphic>
          </wp:inline>
        </w:drawing>
      </w:r>
    </w:p>
    <w:p>
      <w:pPr>
        <w:pStyle w:val="Caption"/>
        <w:jc w:val="center"/>
      </w:pPr>
      <w:r>
        <w:t>Figure 3 - Logical application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1B5E20"/>
          </w:tcPr>
          <w:p>
            <w:pPr>
              <w:jc w:val="center"/>
            </w:pPr>
            <w:r/>
            <w:r>
              <w:rPr>
                <w:rFonts w:ascii="Aptos" w:hAnsi="Aptos"/>
                <w:b/>
                <w:color w:val="FFFFFF"/>
                <w:sz w:val="16"/>
              </w:rPr>
              <w:t>Component</w:t>
            </w:r>
          </w:p>
        </w:tc>
        <w:tc>
          <w:tcPr>
            <w:tcW w:type="dxa" w:w="4680"/>
            <w:vAlign w:val="center"/>
            <w:shd w:fill="1B5E20"/>
          </w:tcPr>
          <w:p>
            <w:pPr>
              <w:jc w:val="center"/>
            </w:pPr>
            <w:r/>
            <w:r>
              <w:rPr>
                <w:rFonts w:ascii="Aptos" w:hAnsi="Aptos"/>
                <w:b/>
                <w:color w:val="FFFFFF"/>
                <w:sz w:val="16"/>
              </w:rPr>
              <w:t>Responsibility</w:t>
            </w:r>
          </w:p>
        </w:tc>
        <w:tc>
          <w:tcPr>
            <w:tcW w:type="dxa" w:w="3600"/>
            <w:vAlign w:val="center"/>
            <w:shd w:fill="1B5E20"/>
          </w:tcPr>
          <w:p>
            <w:pPr>
              <w:jc w:val="center"/>
            </w:pPr>
            <w:r/>
            <w:r>
              <w:rPr>
                <w:rFonts w:ascii="Aptos" w:hAnsi="Aptos"/>
                <w:b/>
                <w:color w:val="FFFFFF"/>
                <w:sz w:val="16"/>
              </w:rPr>
              <w:t>Prototype deployment</w:t>
            </w:r>
          </w:p>
        </w:tc>
      </w:tr>
      <w:tr>
        <w:tc>
          <w:tcPr>
            <w:tcW w:type="dxa" w:w="1944"/>
            <w:vAlign w:val="center"/>
          </w:tcPr>
          <w:p>
            <w:r/>
            <w:r>
              <w:rPr>
                <w:rFonts w:ascii="Aptos" w:hAnsi="Aptos"/>
                <w:b w:val="0"/>
                <w:sz w:val="16"/>
              </w:rPr>
              <w:t>Flutter client</w:t>
            </w:r>
          </w:p>
        </w:tc>
        <w:tc>
          <w:tcPr>
            <w:tcW w:type="dxa" w:w="4680"/>
            <w:vAlign w:val="center"/>
          </w:tcPr>
          <w:p>
            <w:r/>
            <w:r>
              <w:rPr>
                <w:rFonts w:ascii="Aptos" w:hAnsi="Aptos"/>
                <w:b w:val="0"/>
                <w:sz w:val="16"/>
              </w:rPr>
              <w:t>Login/consent, scan capture, dashboard, reports, store, Green Move UI.</w:t>
            </w:r>
          </w:p>
        </w:tc>
        <w:tc>
          <w:tcPr>
            <w:tcW w:type="dxa" w:w="3600"/>
            <w:vAlign w:val="center"/>
          </w:tcPr>
          <w:p>
            <w:r/>
            <w:r>
              <w:rPr>
                <w:rFonts w:ascii="Aptos" w:hAnsi="Aptos"/>
                <w:b w:val="0"/>
                <w:sz w:val="16"/>
              </w:rPr>
              <w:t>One Flutter project targeting web + Android.</w:t>
            </w:r>
          </w:p>
        </w:tc>
      </w:tr>
      <w:tr>
        <w:tc>
          <w:tcPr>
            <w:tcW w:type="dxa" w:w="1944"/>
            <w:vAlign w:val="center"/>
            <w:shd w:fill="F7F9F9"/>
          </w:tcPr>
          <w:p>
            <w:r/>
            <w:r>
              <w:rPr>
                <w:rFonts w:ascii="Aptos" w:hAnsi="Aptos"/>
                <w:b w:val="0"/>
                <w:sz w:val="16"/>
              </w:rPr>
              <w:t>API/BFF</w:t>
            </w:r>
          </w:p>
        </w:tc>
        <w:tc>
          <w:tcPr>
            <w:tcW w:type="dxa" w:w="4680"/>
            <w:vAlign w:val="center"/>
            <w:shd w:fill="F7F9F9"/>
          </w:tcPr>
          <w:p>
            <w:r/>
            <w:r>
              <w:rPr>
                <w:rFonts w:ascii="Aptos" w:hAnsi="Aptos"/>
                <w:b w:val="0"/>
                <w:sz w:val="16"/>
              </w:rPr>
              <w:t>Validates Firebase token/App Check, consent, schema, idempotency; exposes /v1 API.</w:t>
            </w:r>
          </w:p>
        </w:tc>
        <w:tc>
          <w:tcPr>
            <w:tcW w:type="dxa" w:w="3600"/>
            <w:vAlign w:val="center"/>
            <w:shd w:fill="F7F9F9"/>
          </w:tcPr>
          <w:p>
            <w:r/>
            <w:r>
              <w:rPr>
                <w:rFonts w:ascii="Aptos" w:hAnsi="Aptos"/>
                <w:b w:val="0"/>
                <w:sz w:val="16"/>
              </w:rPr>
              <w:t>One Cloud Run service initially.</w:t>
            </w:r>
          </w:p>
        </w:tc>
      </w:tr>
      <w:tr>
        <w:tc>
          <w:tcPr>
            <w:tcW w:type="dxa" w:w="1944"/>
            <w:vAlign w:val="center"/>
          </w:tcPr>
          <w:p>
            <w:r/>
            <w:r>
              <w:rPr>
                <w:rFonts w:ascii="Aptos" w:hAnsi="Aptos"/>
                <w:b w:val="0"/>
                <w:sz w:val="16"/>
              </w:rPr>
              <w:t>Scan module</w:t>
            </w:r>
          </w:p>
        </w:tc>
        <w:tc>
          <w:tcPr>
            <w:tcW w:type="dxa" w:w="4680"/>
            <w:vAlign w:val="center"/>
          </w:tcPr>
          <w:p>
            <w:r/>
            <w:r>
              <w:rPr>
                <w:rFonts w:ascii="Aptos" w:hAnsi="Aptos"/>
                <w:b w:val="0"/>
                <w:sz w:val="16"/>
              </w:rPr>
              <w:t>Image upload, Vision/OCR/Document AI calls, evidence normalization.</w:t>
            </w:r>
          </w:p>
        </w:tc>
        <w:tc>
          <w:tcPr>
            <w:tcW w:type="dxa" w:w="3600"/>
            <w:vAlign w:val="center"/>
          </w:tcPr>
          <w:p>
            <w:r/>
            <w:r>
              <w:rPr>
                <w:rFonts w:ascii="Aptos" w:hAnsi="Aptos"/>
                <w:b w:val="0"/>
                <w:sz w:val="16"/>
              </w:rPr>
              <w:t>Module inside API service until scale requires split.</w:t>
            </w:r>
          </w:p>
        </w:tc>
      </w:tr>
      <w:tr>
        <w:tc>
          <w:tcPr>
            <w:tcW w:type="dxa" w:w="1944"/>
            <w:vAlign w:val="center"/>
            <w:shd w:fill="F7F9F9"/>
          </w:tcPr>
          <w:p>
            <w:r/>
            <w:r>
              <w:rPr>
                <w:rFonts w:ascii="Aptos" w:hAnsi="Aptos"/>
                <w:b w:val="0"/>
                <w:sz w:val="16"/>
              </w:rPr>
              <w:t>Carbon Engine</w:t>
            </w:r>
          </w:p>
        </w:tc>
        <w:tc>
          <w:tcPr>
            <w:tcW w:type="dxa" w:w="4680"/>
            <w:vAlign w:val="center"/>
            <w:shd w:fill="F7F9F9"/>
          </w:tcPr>
          <w:p>
            <w:r/>
            <w:r>
              <w:rPr>
                <w:rFonts w:ascii="Aptos" w:hAnsi="Aptos"/>
                <w:b w:val="0"/>
                <w:sz w:val="16"/>
              </w:rPr>
              <w:t>Deterministic factor lookup/calculation; returns method, boundary, factor version and confidence.</w:t>
            </w:r>
          </w:p>
        </w:tc>
        <w:tc>
          <w:tcPr>
            <w:tcW w:type="dxa" w:w="3600"/>
            <w:vAlign w:val="center"/>
            <w:shd w:fill="F7F9F9"/>
          </w:tcPr>
          <w:p>
            <w:r/>
            <w:r>
              <w:rPr>
                <w:rFonts w:ascii="Aptos" w:hAnsi="Aptos"/>
                <w:b w:val="0"/>
                <w:sz w:val="16"/>
              </w:rPr>
              <w:t>Module inside API, backed by BigQuery.</w:t>
            </w:r>
          </w:p>
        </w:tc>
      </w:tr>
      <w:tr>
        <w:tc>
          <w:tcPr>
            <w:tcW w:type="dxa" w:w="1944"/>
            <w:vAlign w:val="center"/>
          </w:tcPr>
          <w:p>
            <w:r/>
            <w:r>
              <w:rPr>
                <w:rFonts w:ascii="Aptos" w:hAnsi="Aptos"/>
                <w:b w:val="0"/>
                <w:sz w:val="16"/>
              </w:rPr>
              <w:t>Trusted Event Engine</w:t>
            </w:r>
          </w:p>
        </w:tc>
        <w:tc>
          <w:tcPr>
            <w:tcW w:type="dxa" w:w="4680"/>
            <w:vAlign w:val="center"/>
          </w:tcPr>
          <w:p>
            <w:r/>
            <w:r>
              <w:rPr>
                <w:rFonts w:ascii="Aptos" w:hAnsi="Aptos"/>
                <w:b w:val="0"/>
                <w:sz w:val="16"/>
              </w:rPr>
              <w:t>Verification level, duplicates, plausibility, reward eligibility.</w:t>
            </w:r>
          </w:p>
        </w:tc>
        <w:tc>
          <w:tcPr>
            <w:tcW w:type="dxa" w:w="3600"/>
            <w:vAlign w:val="center"/>
          </w:tcPr>
          <w:p>
            <w:r/>
            <w:r>
              <w:rPr>
                <w:rFonts w:ascii="Aptos" w:hAnsi="Aptos"/>
                <w:b w:val="0"/>
                <w:sz w:val="16"/>
              </w:rPr>
              <w:t>Module inside API; persist reasons.</w:t>
            </w:r>
          </w:p>
        </w:tc>
      </w:tr>
      <w:tr>
        <w:tc>
          <w:tcPr>
            <w:tcW w:type="dxa" w:w="1944"/>
            <w:vAlign w:val="center"/>
            <w:shd w:fill="F7F9F9"/>
          </w:tcPr>
          <w:p>
            <w:r/>
            <w:r>
              <w:rPr>
                <w:rFonts w:ascii="Aptos" w:hAnsi="Aptos"/>
                <w:b w:val="0"/>
                <w:sz w:val="16"/>
              </w:rPr>
              <w:t>Reward Engine</w:t>
            </w:r>
          </w:p>
        </w:tc>
        <w:tc>
          <w:tcPr>
            <w:tcW w:type="dxa" w:w="4680"/>
            <w:vAlign w:val="center"/>
            <w:shd w:fill="F7F9F9"/>
          </w:tcPr>
          <w:p>
            <w:r/>
            <w:r>
              <w:rPr>
                <w:rFonts w:ascii="Aptos" w:hAnsi="Aptos"/>
                <w:b w:val="0"/>
                <w:sz w:val="16"/>
              </w:rPr>
              <w:t>Append-only Green Points ledger and balance projection.</w:t>
            </w:r>
          </w:p>
        </w:tc>
        <w:tc>
          <w:tcPr>
            <w:tcW w:type="dxa" w:w="3600"/>
            <w:vAlign w:val="center"/>
            <w:shd w:fill="F7F9F9"/>
          </w:tcPr>
          <w:p>
            <w:r/>
            <w:r>
              <w:rPr>
                <w:rFonts w:ascii="Aptos" w:hAnsi="Aptos"/>
                <w:b w:val="0"/>
                <w:sz w:val="16"/>
              </w:rPr>
              <w:t>Firestore transaction-backed module.</w:t>
            </w:r>
          </w:p>
        </w:tc>
      </w:tr>
      <w:tr>
        <w:tc>
          <w:tcPr>
            <w:tcW w:type="dxa" w:w="1944"/>
            <w:vAlign w:val="center"/>
          </w:tcPr>
          <w:p>
            <w:r/>
            <w:r>
              <w:rPr>
                <w:rFonts w:ascii="Aptos" w:hAnsi="Aptos"/>
                <w:b w:val="0"/>
                <w:sz w:val="16"/>
              </w:rPr>
              <w:t>AI Orchestrator</w:t>
            </w:r>
          </w:p>
        </w:tc>
        <w:tc>
          <w:tcPr>
            <w:tcW w:type="dxa" w:w="4680"/>
            <w:vAlign w:val="center"/>
          </w:tcPr>
          <w:p>
            <w:r/>
            <w:r>
              <w:rPr>
                <w:rFonts w:ascii="Aptos" w:hAnsi="Aptos"/>
                <w:b w:val="0"/>
                <w:sz w:val="16"/>
              </w:rPr>
              <w:t>Builds trusted context, calls Gemini, validates structured output.</w:t>
            </w:r>
          </w:p>
        </w:tc>
        <w:tc>
          <w:tcPr>
            <w:tcW w:type="dxa" w:w="3600"/>
            <w:vAlign w:val="center"/>
          </w:tcPr>
          <w:p>
            <w:r/>
            <w:r>
              <w:rPr>
                <w:rFonts w:ascii="Aptos" w:hAnsi="Aptos"/>
                <w:b w:val="0"/>
                <w:sz w:val="16"/>
              </w:rPr>
              <w:t>Module inside API.</w:t>
            </w:r>
          </w:p>
        </w:tc>
      </w:tr>
      <w:tr>
        <w:tc>
          <w:tcPr>
            <w:tcW w:type="dxa" w:w="1944"/>
            <w:vAlign w:val="center"/>
            <w:shd w:fill="F7F9F9"/>
          </w:tcPr>
          <w:p>
            <w:r/>
            <w:r>
              <w:rPr>
                <w:rFonts w:ascii="Aptos" w:hAnsi="Aptos"/>
                <w:b w:val="0"/>
                <w:sz w:val="16"/>
              </w:rPr>
              <w:t>Analytics</w:t>
            </w:r>
          </w:p>
        </w:tc>
        <w:tc>
          <w:tcPr>
            <w:tcW w:type="dxa" w:w="4680"/>
            <w:vAlign w:val="center"/>
            <w:shd w:fill="F7F9F9"/>
          </w:tcPr>
          <w:p>
            <w:r/>
            <w:r>
              <w:rPr>
                <w:rFonts w:ascii="Aptos" w:hAnsi="Aptos"/>
                <w:b w:val="0"/>
                <w:sz w:val="16"/>
              </w:rPr>
              <w:t>Event facts, daily summaries, factor/version datasets.</w:t>
            </w:r>
          </w:p>
        </w:tc>
        <w:tc>
          <w:tcPr>
            <w:tcW w:type="dxa" w:w="3600"/>
            <w:vAlign w:val="center"/>
            <w:shd w:fill="F7F9F9"/>
          </w:tcPr>
          <w:p>
            <w:r/>
            <w:r>
              <w:rPr>
                <w:rFonts w:ascii="Aptos" w:hAnsi="Aptos"/>
                <w:b w:val="0"/>
                <w:sz w:val="16"/>
              </w:rPr>
              <w:t>BigQuery; optional Pub/Sub ingestion.</w:t>
            </w:r>
          </w:p>
        </w:tc>
      </w:tr>
      <w:tr>
        <w:tc>
          <w:tcPr>
            <w:tcW w:type="dxa" w:w="1944"/>
            <w:vAlign w:val="center"/>
          </w:tcPr>
          <w:p>
            <w:r/>
            <w:r>
              <w:rPr>
                <w:rFonts w:ascii="Aptos" w:hAnsi="Aptos"/>
                <w:b w:val="0"/>
                <w:sz w:val="16"/>
              </w:rPr>
              <w:t>Observability</w:t>
            </w:r>
          </w:p>
        </w:tc>
        <w:tc>
          <w:tcPr>
            <w:tcW w:type="dxa" w:w="4680"/>
            <w:vAlign w:val="center"/>
          </w:tcPr>
          <w:p>
            <w:r/>
            <w:r>
              <w:rPr>
                <w:rFonts w:ascii="Aptos" w:hAnsi="Aptos"/>
                <w:b w:val="0"/>
                <w:sz w:val="16"/>
              </w:rPr>
              <w:t>Trace IDs, structured logs, request/error metrics.</w:t>
            </w:r>
          </w:p>
        </w:tc>
        <w:tc>
          <w:tcPr>
            <w:tcW w:type="dxa" w:w="3600"/>
            <w:vAlign w:val="center"/>
          </w:tcPr>
          <w:p>
            <w:r/>
            <w:r>
              <w:rPr>
                <w:rFonts w:ascii="Aptos" w:hAnsi="Aptos"/>
                <w:b w:val="0"/>
                <w:sz w:val="16"/>
              </w:rPr>
              <w:t>Cloud Logging + Monitoring.</w:t>
            </w:r>
          </w:p>
        </w:tc>
      </w:tr>
      <w:tr>
        <w:tc>
          <w:tcPr>
            <w:tcW w:type="dxa" w:w="3360"/>
            <w:vAlign w:val="center"/>
          </w:tcPr>
          <w:p>
            <w:pPr>
              <w:spacing w:after="0" w:before="0"/>
            </w:pPr>
            <w:r/>
            <w:r>
              <w:rPr>
                <w:b w:val="0"/>
                <w:sz w:val="16"/>
              </w:rPr>
              <w:t>Reward Policy Engine</w:t>
            </w:r>
          </w:p>
        </w:tc>
        <w:tc>
          <w:tcPr>
            <w:tcW w:type="dxa" w:w="3360"/>
            <w:vAlign w:val="center"/>
          </w:tcPr>
          <w:p>
            <w:pPr>
              <w:spacing w:after="0" w:before="0"/>
            </w:pPr>
            <w:r/>
            <w:r>
              <w:rPr>
                <w:b w:val="0"/>
                <w:sz w:val="16"/>
              </w:rPr>
              <w:t>Applies action-specific base rates, impact factors, verification/confidence/persistence factors, caps and sponsor policy. No client or Gemini can issue rewards directly.</w:t>
            </w:r>
          </w:p>
        </w:tc>
        <w:tc>
          <w:tcPr>
            <w:tcW w:type="dxa" w:w="3360"/>
            <w:vAlign w:val="center"/>
          </w:tcPr>
          <w:p>
            <w:pPr>
              <w:spacing w:after="0" w:before="0"/>
            </w:pPr>
            <w:r/>
            <w:r>
              <w:rPr>
                <w:b w:val="0"/>
                <w:sz w:val="16"/>
              </w:rPr>
              <w:t>Module inside API; policies stored/versioned in Firestore/BigQuery.</w:t>
            </w:r>
          </w:p>
        </w:tc>
      </w:tr>
      <w:tr>
        <w:tc>
          <w:tcPr>
            <w:tcW w:type="dxa" w:w="3360"/>
            <w:vAlign w:val="center"/>
          </w:tcPr>
          <w:p>
            <w:pPr>
              <w:spacing w:after="0" w:before="0"/>
            </w:pPr>
            <w:r/>
            <w:r>
              <w:rPr>
                <w:b w:val="0"/>
                <w:sz w:val="16"/>
              </w:rPr>
              <w:t>Grow-Green Verification</w:t>
            </w:r>
          </w:p>
        </w:tc>
        <w:tc>
          <w:tcPr>
            <w:tcW w:type="dxa" w:w="3360"/>
            <w:vAlign w:val="center"/>
          </w:tcPr>
          <w:p>
            <w:pPr>
              <w:spacing w:after="0" w:before="0"/>
            </w:pPr>
            <w:r/>
            <w:r>
              <w:rPr>
                <w:b w:val="0"/>
                <w:sz w:val="16"/>
              </w:rPr>
              <w:t>Manages geo-tagged plots, planting evidence, scheduled check-ins, visitor confirmations and optional Earth Engine area signals.</w:t>
            </w:r>
          </w:p>
        </w:tc>
        <w:tc>
          <w:tcPr>
            <w:tcW w:type="dxa" w:w="3360"/>
            <w:vAlign w:val="center"/>
          </w:tcPr>
          <w:p>
            <w:pPr>
              <w:spacing w:after="0" w:before="0"/>
            </w:pPr>
            <w:r/>
            <w:r>
              <w:rPr>
                <w:b w:val="0"/>
                <w:sz w:val="16"/>
              </w:rPr>
              <w:t>Module inside API; Firestore + Cloud Storage + Maps + Earth Engine.</w:t>
            </w:r>
          </w:p>
        </w:tc>
      </w:tr>
      <w:tr>
        <w:tc>
          <w:tcPr>
            <w:tcW w:type="dxa" w:w="3360"/>
            <w:vAlign w:val="center"/>
          </w:tcPr>
          <w:p>
            <w:pPr>
              <w:spacing w:after="0" w:before="0"/>
            </w:pPr>
            <w:r/>
            <w:r>
              <w:rPr>
                <w:b w:val="0"/>
                <w:sz w:val="16"/>
              </w:rPr>
              <w:t>Recycle-Red Verification</w:t>
            </w:r>
          </w:p>
        </w:tc>
        <w:tc>
          <w:tcPr>
            <w:tcW w:type="dxa" w:w="3360"/>
            <w:vAlign w:val="center"/>
          </w:tcPr>
          <w:p>
            <w:pPr>
              <w:spacing w:after="0" w:before="0"/>
            </w:pPr>
            <w:r/>
            <w:r>
              <w:rPr>
                <w:b w:val="0"/>
                <w:sz w:val="16"/>
              </w:rPr>
              <w:t>Validates e-waste/electronics claims against images, recycler registry, receipt/certificate extraction and duplicate fingerprints.</w:t>
            </w:r>
          </w:p>
        </w:tc>
        <w:tc>
          <w:tcPr>
            <w:tcW w:type="dxa" w:w="3360"/>
            <w:vAlign w:val="center"/>
          </w:tcPr>
          <w:p>
            <w:pPr>
              <w:spacing w:after="0" w:before="0"/>
            </w:pPr>
            <w:r/>
            <w:r>
              <w:rPr>
                <w:b w:val="0"/>
                <w:sz w:val="16"/>
              </w:rPr>
              <w:t>Module inside API; Document AI/Vision + Firestore/BigQuery.</w:t>
            </w:r>
          </w:p>
        </w:tc>
      </w:tr>
    </w:tbl>
    <w:p>
      <w:pPr>
        <w:spacing w:after="40"/>
      </w:pPr>
    </w:p>
    <w:p>
      <w:pPr>
        <w:pStyle w:val="Heading2"/>
        <w:keepNext/>
      </w:pPr>
      <w:r>
        <w:t>5.3 Data architecture</w:t>
      </w:r>
    </w:p>
    <w:p>
      <w:pPr>
        <w:jc w:val="center"/>
      </w:pPr>
      <w:r>
        <w:drawing>
          <wp:inline xmlns:a="http://schemas.openxmlformats.org/drawingml/2006/main" xmlns:pic="http://schemas.openxmlformats.org/drawingml/2006/picture">
            <wp:extent cx="6309360" cy="840084"/>
            <wp:docPr id="4" name="Picture 4"/>
            <wp:cNvGraphicFramePr>
              <a:graphicFrameLocks noChangeAspect="1"/>
            </wp:cNvGraphicFramePr>
            <a:graphic>
              <a:graphicData uri="http://schemas.openxmlformats.org/drawingml/2006/picture">
                <pic:pic>
                  <pic:nvPicPr>
                    <pic:cNvPr id="0" name="03_data_architecture.png"/>
                    <pic:cNvPicPr/>
                  </pic:nvPicPr>
                  <pic:blipFill>
                    <a:blip r:embed="rId14"/>
                    <a:stretch>
                      <a:fillRect/>
                    </a:stretch>
                  </pic:blipFill>
                  <pic:spPr>
                    <a:xfrm>
                      <a:off x="0" y="0"/>
                      <a:ext cx="6309360" cy="840084"/>
                    </a:xfrm>
                    <a:prstGeom prst="rect"/>
                  </pic:spPr>
                </pic:pic>
              </a:graphicData>
            </a:graphic>
          </wp:inline>
        </w:drawing>
      </w:r>
    </w:p>
    <w:p>
      <w:pPr>
        <w:pStyle w:val="Caption"/>
        <w:jc w:val="center"/>
      </w:pPr>
      <w:r>
        <w:t>Figure 4 - Operational, analytical and AI data separation</w:t>
      </w:r>
    </w:p>
    <w:p>
      <w:pPr>
        <w:pStyle w:val="ListBullet"/>
        <w:spacing w:after="40"/>
      </w:pPr>
      <w:r>
        <w:rPr>
          <w:b/>
        </w:rPr>
        <w:t xml:space="preserve">Firestore = operational truth. </w:t>
      </w:r>
      <w:r>
        <w:t>Users, consents, scan jobs/results, reward wallet/ledger, recommendations, sample store/order state.</w:t>
      </w:r>
    </w:p>
    <w:p>
      <w:pPr>
        <w:pStyle w:val="ListBullet"/>
        <w:spacing w:after="40"/>
      </w:pPr>
      <w:r>
        <w:rPr>
          <w:b/>
        </w:rPr>
        <w:t xml:space="preserve">BigQuery = analytical/scientific truth. </w:t>
      </w:r>
      <w:r>
        <w:t>Emission factors, product/category sustainability data, green events, daily summaries, reporting aggregates.</w:t>
      </w:r>
    </w:p>
    <w:p>
      <w:pPr>
        <w:pStyle w:val="ListBullet"/>
        <w:spacing w:after="40"/>
      </w:pPr>
      <w:r>
        <w:rPr>
          <w:b/>
        </w:rPr>
        <w:t xml:space="preserve">Cloud Storage = temporary evidence. </w:t>
      </w:r>
      <w:r>
        <w:t>Raw product/receipt images have lifecycle deletion; persistent records keep structured facts/hashes where possible.</w:t>
      </w:r>
    </w:p>
    <w:p>
      <w:pPr>
        <w:pStyle w:val="ListBullet"/>
        <w:spacing w:after="40"/>
      </w:pPr>
      <w:r>
        <w:rPr>
          <w:b/>
        </w:rPr>
        <w:t xml:space="preserve">Gemini context = derived, not authoritative. </w:t>
      </w:r>
      <w:r>
        <w:t>Only structured, consent-approved facts are sent; generated prose is stored separately from scientific calculations.</w:t>
      </w:r>
    </w:p>
    <w:p>
      <w:pPr>
        <w:pStyle w:val="Heading2"/>
        <w:keepNext/>
      </w:pPr>
      <w:r>
        <w:t>5.4 Carbon accounting rules</w:t>
      </w:r>
    </w:p>
    <w:tbl>
      <w:tblPr>
        <w:tblStyle w:val="TableGrid"/>
        <w:tblW w:type="auto" w:w="0"/>
        <w:tblLook w:firstColumn="1" w:firstRow="1" w:lastColumn="0" w:lastRow="0" w:noHBand="0" w:noVBand="1" w:val="04A0"/>
      </w:tblPr>
      <w:tblGrid>
        <w:gridCol w:w="10080"/>
      </w:tblGrid>
      <w:tr>
        <w:tc>
          <w:tcPr>
            <w:tcW w:type="dxa" w:w="10080"/>
            <w:shd w:fill="F5F5F5"/>
          </w:tcPr>
          <w:p>
            <w:r>
              <w:t>Carbon-linked action:</w:t>
              <w:br/>
              <w:t>activity_quantity x emission_factor = estimated_CO2e</w:t>
              <w:br/>
              <w:t>avoided_CO2e = max(0, baseline_CO2e - actual_CO2e)</w:t>
              <w:br/>
              <w:br/>
              <w:t>Universal reward policy:</w:t>
              <w:br/>
              <w:t>Reward Points = Base Action Points x Impact Factor x Verification Factor x Confidence Factor x Persistence Factor x Anti-Abuse Adjustment</w:t>
              <w:br/>
              <w:br/>
              <w:t>Impact Factor is segment-specific: product improvement delta, avoided CO2e, verified tree survival/persistence, or verified e-waste diversion. Green Points are loyalty/reward units; they are not tradable carbon credits.</w:t>
            </w:r>
          </w:p>
        </w:tc>
      </w:tr>
    </w:tbl>
    <w:p>
      <w:pPr>
        <w:pStyle w:val="ListBullet"/>
        <w:spacing w:after="40"/>
      </w:pPr>
      <w:r>
        <w:t>Carbon estimate, Sustainability Score, avoided CO2e, confidence and Green Points are separate fields and must never be collapsed into one score.</w:t>
      </w:r>
    </w:p>
    <w:p>
      <w:pPr>
        <w:pStyle w:val="ListBullet"/>
        <w:spacing w:after="40"/>
      </w:pPr>
      <w:r>
        <w:t>Product lifecycle boundary may include raw material, manufacturing, packaging, transport, use and end-of-life where supported; otherwise use category estimate + lower confidence.</w:t>
      </w:r>
    </w:p>
    <w:p>
      <w:pPr>
        <w:pStyle w:val="ListBullet"/>
        <w:spacing w:after="40"/>
      </w:pPr>
      <w:r>
        <w:t>Recreational walking/running does not automatically become avoided emissions; the app needs a credible transport baseline/counterfactual.</w:t>
      </w:r>
    </w:p>
    <w:p>
      <w:pPr>
        <w:pStyle w:val="ListBullet"/>
        <w:spacing w:after="40"/>
      </w:pPr>
      <w:r>
        <w:t>Every factor used by the Carbon Engine must carry a factor_set_version and provenance/source field.</w:t>
      </w:r>
    </w:p>
    <w:p>
      <w:pPr>
        <w:pStyle w:val="ListBullet"/>
      </w:pPr>
      <w:r>
        <w:t>Not every reward action should be converted into a carbon-credit claim. Product replacement may use sustainability improvement, Green-Move may use avoided CO2e, Grow-Green uses verified planting/survival/persistence, and Recycle-Red uses verified hazardous-waste diversion. Carbon estimates remain separate where scientifically supportable.</w:t>
      </w:r>
    </w:p>
    <w:p>
      <w:pPr>
        <w:pStyle w:val="Heading2"/>
        <w:keepNext/>
      </w:pPr>
      <w:r>
        <w:t>5.5 Product scan and trusted event sequence</w:t>
      </w:r>
    </w:p>
    <w:p>
      <w:pPr>
        <w:jc w:val="center"/>
      </w:pPr>
      <w:r>
        <w:drawing>
          <wp:inline xmlns:a="http://schemas.openxmlformats.org/drawingml/2006/main" xmlns:pic="http://schemas.openxmlformats.org/drawingml/2006/picture">
            <wp:extent cx="6309360" cy="2668475"/>
            <wp:docPr id="5" name="Picture 5"/>
            <wp:cNvGraphicFramePr>
              <a:graphicFrameLocks noChangeAspect="1"/>
            </wp:cNvGraphicFramePr>
            <a:graphic>
              <a:graphicData uri="http://schemas.openxmlformats.org/drawingml/2006/picture">
                <pic:pic>
                  <pic:nvPicPr>
                    <pic:cNvPr id="0" name="04_product_scan_sequence.png"/>
                    <pic:cNvPicPr/>
                  </pic:nvPicPr>
                  <pic:blipFill>
                    <a:blip r:embed="rId15"/>
                    <a:stretch>
                      <a:fillRect/>
                    </a:stretch>
                  </pic:blipFill>
                  <pic:spPr>
                    <a:xfrm>
                      <a:off x="0" y="0"/>
                      <a:ext cx="6309360" cy="2668475"/>
                    </a:xfrm>
                    <a:prstGeom prst="rect"/>
                  </pic:spPr>
                </pic:pic>
              </a:graphicData>
            </a:graphic>
          </wp:inline>
        </w:drawing>
      </w:r>
    </w:p>
    <w:p>
      <w:pPr>
        <w:pStyle w:val="Caption"/>
        <w:jc w:val="center"/>
      </w:pPr>
      <w:r>
        <w:t>Figure 5 - Product scan and explanation sequence</w:t>
      </w:r>
    </w:p>
    <w:p>
      <w:pPr>
        <w:jc w:val="center"/>
      </w:pPr>
      <w:r>
        <w:drawing>
          <wp:inline xmlns:a="http://schemas.openxmlformats.org/drawingml/2006/main" xmlns:pic="http://schemas.openxmlformats.org/drawingml/2006/picture">
            <wp:extent cx="6309360" cy="922447"/>
            <wp:docPr id="6" name="Picture 6"/>
            <wp:cNvGraphicFramePr>
              <a:graphicFrameLocks noChangeAspect="1"/>
            </wp:cNvGraphicFramePr>
            <a:graphic>
              <a:graphicData uri="http://schemas.openxmlformats.org/drawingml/2006/picture">
                <pic:pic>
                  <pic:nvPicPr>
                    <pic:cNvPr id="0" name="05_trusted_green_event.png"/>
                    <pic:cNvPicPr/>
                  </pic:nvPicPr>
                  <pic:blipFill>
                    <a:blip r:embed="rId16"/>
                    <a:stretch>
                      <a:fillRect/>
                    </a:stretch>
                  </pic:blipFill>
                  <pic:spPr>
                    <a:xfrm>
                      <a:off x="0" y="0"/>
                      <a:ext cx="6309360" cy="922447"/>
                    </a:xfrm>
                    <a:prstGeom prst="rect"/>
                  </pic:spPr>
                </pic:pic>
              </a:graphicData>
            </a:graphic>
          </wp:inline>
        </w:drawing>
      </w:r>
    </w:p>
    <w:p>
      <w:pPr>
        <w:pStyle w:val="Caption"/>
        <w:jc w:val="center"/>
      </w:pPr>
      <w:r>
        <w:t>Figure 6 - Trusted Green Event verification and reward flow</w:t>
      </w:r>
    </w:p>
    <w:tbl>
      <w:tblPr>
        <w:tblStyle w:val="TableGrid"/>
        <w:tblW w:type="auto" w:w="0"/>
        <w:jc w:val="center"/>
        <w:tblLook w:firstColumn="1" w:firstRow="1" w:lastColumn="0" w:lastRow="0" w:noHBand="0" w:noVBand="1" w:val="04A0"/>
      </w:tblPr>
      <w:tblGrid>
        <w:gridCol w:w="3360"/>
        <w:gridCol w:w="3360"/>
        <w:gridCol w:w="3360"/>
      </w:tblGrid>
      <w:tr>
        <w:tc>
          <w:tcPr>
            <w:tcW w:type="dxa" w:w="1008"/>
            <w:vAlign w:val="center"/>
            <w:shd w:fill="1B5E20"/>
          </w:tcPr>
          <w:p>
            <w:pPr>
              <w:jc w:val="center"/>
            </w:pPr>
            <w:r/>
            <w:r>
              <w:rPr>
                <w:rFonts w:ascii="Aptos" w:hAnsi="Aptos"/>
                <w:b/>
                <w:color w:val="FFFFFF"/>
                <w:sz w:val="16"/>
              </w:rPr>
              <w:t>Level</w:t>
            </w:r>
          </w:p>
        </w:tc>
        <w:tc>
          <w:tcPr>
            <w:tcW w:type="dxa" w:w="4464"/>
            <w:vAlign w:val="center"/>
            <w:shd w:fill="1B5E20"/>
          </w:tcPr>
          <w:p>
            <w:pPr>
              <w:jc w:val="center"/>
            </w:pPr>
            <w:r/>
            <w:r>
              <w:rPr>
                <w:rFonts w:ascii="Aptos" w:hAnsi="Aptos"/>
                <w:b/>
                <w:color w:val="FFFFFF"/>
                <w:sz w:val="16"/>
              </w:rPr>
              <w:t>Meaning</w:t>
            </w:r>
          </w:p>
        </w:tc>
        <w:tc>
          <w:tcPr>
            <w:tcW w:type="dxa" w:w="4608"/>
            <w:vAlign w:val="center"/>
            <w:shd w:fill="1B5E20"/>
          </w:tcPr>
          <w:p>
            <w:pPr>
              <w:jc w:val="center"/>
            </w:pPr>
            <w:r/>
            <w:r>
              <w:rPr>
                <w:rFonts w:ascii="Aptos" w:hAnsi="Aptos"/>
                <w:b/>
                <w:color w:val="FFFFFF"/>
                <w:sz w:val="16"/>
              </w:rPr>
              <w:t>Prototype reward treatment</w:t>
            </w:r>
          </w:p>
        </w:tc>
      </w:tr>
      <w:tr>
        <w:tc>
          <w:tcPr>
            <w:tcW w:type="dxa" w:w="1008"/>
            <w:vAlign w:val="center"/>
          </w:tcPr>
          <w:p>
            <w:r>
              <w:t>V0</w:t>
            </w:r>
          </w:p>
        </w:tc>
        <w:tc>
          <w:tcPr>
            <w:tcW w:type="dxa" w:w="4464"/>
            <w:vAlign w:val="center"/>
          </w:tcPr>
          <w:p>
            <w:r>
              <w:t>Self-declared / insufficient evidence</w:t>
            </w:r>
          </w:p>
        </w:tc>
        <w:tc>
          <w:tcPr>
            <w:tcW w:type="dxa" w:w="4608"/>
            <w:vAlign w:val="center"/>
          </w:tcPr>
          <w:p>
            <w:r>
              <w:t>Awareness/badge only; no high-value or carbon-linked reward.</w:t>
            </w:r>
          </w:p>
        </w:tc>
      </w:tr>
      <w:tr>
        <w:tc>
          <w:tcPr>
            <w:tcW w:type="dxa" w:w="1008"/>
            <w:vAlign w:val="center"/>
            <w:shd w:fill="F7F9F9"/>
          </w:tcPr>
          <w:p>
            <w:r>
              <w:t>V1</w:t>
            </w:r>
          </w:p>
        </w:tc>
        <w:tc>
          <w:tcPr>
            <w:tcW w:type="dxa" w:w="4464"/>
            <w:vAlign w:val="center"/>
            <w:shd w:fill="F7F9F9"/>
          </w:tcPr>
          <w:p>
            <w:r>
              <w:t>One partially trusted signal</w:t>
            </w:r>
          </w:p>
        </w:tc>
        <w:tc>
          <w:tcPr>
            <w:tcW w:type="dxa" w:w="4608"/>
            <w:vAlign w:val="center"/>
            <w:shd w:fill="F7F9F9"/>
          </w:tcPr>
          <w:p>
            <w:r>
              <w:t>Reduced/capped or provisional GP; additional evidence may be required.</w:t>
            </w:r>
          </w:p>
        </w:tc>
      </w:tr>
      <w:tr>
        <w:tc>
          <w:tcPr>
            <w:tcW w:type="dxa" w:w="1008"/>
            <w:vAlign w:val="center"/>
          </w:tcPr>
          <w:p>
            <w:r>
              <w:t>V2</w:t>
            </w:r>
          </w:p>
        </w:tc>
        <w:tc>
          <w:tcPr>
            <w:tcW w:type="dxa" w:w="4464"/>
            <w:vAlign w:val="center"/>
          </w:tcPr>
          <w:p>
            <w:r>
              <w:t>Multiple consistent signals (activity/location/photo/document/plausibility)</w:t>
            </w:r>
          </w:p>
        </w:tc>
        <w:tc>
          <w:tcPr>
            <w:tcW w:type="dxa" w:w="4608"/>
            <w:vAlign w:val="center"/>
          </w:tcPr>
          <w:p>
            <w:r>
              <w:t>Eligible for normal reward under segment policy; Grow-Green may remain provisional pending persistence.</w:t>
            </w:r>
          </w:p>
        </w:tc>
      </w:tr>
      <w:tr>
        <w:tc>
          <w:tcPr>
            <w:tcW w:type="dxa" w:w="1008"/>
            <w:vAlign w:val="center"/>
            <w:shd w:fill="F7F9F9"/>
          </w:tcPr>
          <w:p>
            <w:r>
              <w:t>V3</w:t>
            </w:r>
          </w:p>
        </w:tc>
        <w:tc>
          <w:tcPr>
            <w:tcW w:type="dxa" w:w="4464"/>
            <w:vAlign w:val="center"/>
            <w:shd w:fill="F7F9F9"/>
          </w:tcPr>
          <w:p>
            <w:r>
              <w:t>Strong transaction/document/community/independent verification</w:t>
            </w:r>
          </w:p>
        </w:tc>
        <w:tc>
          <w:tcPr>
            <w:tcW w:type="dxa" w:w="4608"/>
            <w:vAlign w:val="center"/>
            <w:shd w:fill="F7F9F9"/>
          </w:tcPr>
          <w:p>
            <w:r>
              <w:t>Highest eligible confidence, still subject to caps, duplicate checks and policy rules.</w:t>
            </w:r>
          </w:p>
        </w:tc>
      </w:tr>
    </w:tbl>
    <w:p>
      <w:pPr>
        <w:spacing w:after="40"/>
      </w:pPr>
    </w:p>
    <w:p>
      <w:pPr>
        <w:pStyle w:val="Heading2"/>
      </w:pPr>
      <w:r>
        <w:t>5.6 Four-Segment Rewarding Architecture - Foundational Design</w:t>
      </w:r>
    </w:p>
    <w:p>
      <w:pPr/>
      <w:r>
        <w:t>The reward system is a core domain architecture, not a UI gamification layer. Every eligible action is converted into a canonical Trusted Green Event with evidence, an action-specific impact metric, verification level, confidence, fraud signals, policy version and reward state. The Reward Policy Engine issues value only from that server-side event.</w:t>
      </w:r>
    </w:p>
    <w:p>
      <w:pPr>
        <w:jc w:val="center"/>
      </w:pPr>
      <w:r>
        <w:drawing>
          <wp:inline xmlns:a="http://schemas.openxmlformats.org/drawingml/2006/main" xmlns:pic="http://schemas.openxmlformats.org/drawingml/2006/picture">
            <wp:extent cx="5989320" cy="1809810"/>
            <wp:docPr id="15" name="Picture 15"/>
            <wp:cNvGraphicFramePr>
              <a:graphicFrameLocks noChangeAspect="1"/>
            </wp:cNvGraphicFramePr>
            <a:graphic>
              <a:graphicData uri="http://schemas.openxmlformats.org/drawingml/2006/picture">
                <pic:pic>
                  <pic:nvPicPr>
                    <pic:cNvPr id="0" name="reward_architecture.png"/>
                    <pic:cNvPicPr/>
                  </pic:nvPicPr>
                  <pic:blipFill>
                    <a:blip r:embed="rId19"/>
                    <a:stretch>
                      <a:fillRect/>
                    </a:stretch>
                  </pic:blipFill>
                  <pic:spPr>
                    <a:xfrm>
                      <a:off x="0" y="0"/>
                      <a:ext cx="5989320" cy="1809810"/>
                    </a:xfrm>
                    <a:prstGeom prst="rect"/>
                  </pic:spPr>
                </pic:pic>
              </a:graphicData>
            </a:graphic>
          </wp:inline>
        </w:drawing>
      </w:r>
    </w:p>
    <w:p>
      <w:pPr>
        <w:pStyle w:val="Caption"/>
      </w:pPr>
      <w:r>
        <w:t>Figure 7 - Four foundational reward segments converging on the Trusted Green Event and reward ledger</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512"/>
            <w:vAlign w:val="center"/>
            <w:shd w:fill="1B5E20"/>
          </w:tcPr>
          <w:p>
            <w:pPr>
              <w:spacing w:after="0" w:before="0"/>
            </w:pPr>
            <w:r/>
            <w:r>
              <w:rPr>
                <w:b/>
                <w:color w:val="FFFFFF"/>
                <w:sz w:val="15"/>
              </w:rPr>
              <w:t>Segment</w:t>
            </w:r>
          </w:p>
        </w:tc>
        <w:tc>
          <w:tcPr>
            <w:tcW w:type="dxa" w:w="1900"/>
            <w:vAlign w:val="center"/>
            <w:shd w:fill="1B5E20"/>
          </w:tcPr>
          <w:p>
            <w:pPr>
              <w:spacing w:after="0" w:before="0"/>
            </w:pPr>
            <w:r/>
            <w:r>
              <w:rPr>
                <w:b/>
                <w:color w:val="FFFFFF"/>
                <w:sz w:val="15"/>
              </w:rPr>
              <w:t>Eligible action</w:t>
            </w:r>
          </w:p>
        </w:tc>
        <w:tc>
          <w:tcPr>
            <w:tcW w:type="dxa" w:w="2232"/>
            <w:vAlign w:val="center"/>
            <w:shd w:fill="1B5E20"/>
          </w:tcPr>
          <w:p>
            <w:pPr>
              <w:spacing w:after="0" w:before="0"/>
            </w:pPr>
            <w:r/>
            <w:r>
              <w:rPr>
                <w:b/>
                <w:color w:val="FFFFFF"/>
                <w:sz w:val="15"/>
              </w:rPr>
              <w:t>Minimum evidence</w:t>
            </w:r>
          </w:p>
        </w:tc>
        <w:tc>
          <w:tcPr>
            <w:tcW w:type="dxa" w:w="2304"/>
            <w:vAlign w:val="center"/>
            <w:shd w:fill="1B5E20"/>
          </w:tcPr>
          <w:p>
            <w:pPr>
              <w:spacing w:after="0" w:before="0"/>
            </w:pPr>
            <w:r/>
            <w:r>
              <w:rPr>
                <w:b/>
                <w:color w:val="FFFFFF"/>
                <w:sz w:val="15"/>
              </w:rPr>
              <w:t>Primary verification</w:t>
            </w:r>
          </w:p>
        </w:tc>
        <w:tc>
          <w:tcPr>
            <w:tcW w:type="dxa" w:w="1900"/>
            <w:vAlign w:val="center"/>
            <w:shd w:fill="1B5E20"/>
          </w:tcPr>
          <w:p>
            <w:pPr>
              <w:spacing w:after="0" w:before="0"/>
            </w:pPr>
            <w:r/>
            <w:r>
              <w:rPr>
                <w:b/>
                <w:color w:val="FFFFFF"/>
                <w:sz w:val="15"/>
              </w:rPr>
              <w:t>Impact basis</w:t>
            </w:r>
          </w:p>
        </w:tc>
        <w:tc>
          <w:tcPr>
            <w:tcW w:type="dxa" w:w="1800"/>
            <w:vAlign w:val="center"/>
            <w:shd w:fill="1B5E20"/>
          </w:tcPr>
          <w:p>
            <w:pPr>
              <w:spacing w:after="0" w:before="0"/>
            </w:pPr>
            <w:r/>
            <w:r>
              <w:rPr>
                <w:b/>
                <w:color w:val="FFFFFF"/>
                <w:sz w:val="15"/>
              </w:rPr>
              <w:t>Reward release</w:t>
            </w:r>
          </w:p>
        </w:tc>
      </w:tr>
      <w:tr>
        <w:tc>
          <w:tcPr>
            <w:tcW w:type="dxa" w:w="1512"/>
            <w:vAlign w:val="center"/>
          </w:tcPr>
          <w:p>
            <w:pPr>
              <w:spacing w:after="0" w:before="0"/>
            </w:pPr>
            <w:r/>
            <w:r>
              <w:rPr>
                <w:b w:val="0"/>
                <w:sz w:val="15"/>
              </w:rPr>
              <w:t>Go-Green-Product</w:t>
            </w:r>
          </w:p>
        </w:tc>
        <w:tc>
          <w:tcPr>
            <w:tcW w:type="dxa" w:w="1900"/>
            <w:vAlign w:val="center"/>
          </w:tcPr>
          <w:p>
            <w:pPr>
              <w:spacing w:after="0" w:before="0"/>
            </w:pPr>
            <w:r/>
            <w:r>
              <w:rPr>
                <w:b w:val="0"/>
                <w:sz w:val="15"/>
              </w:rPr>
              <w:t>User replaces a conventional/high-impact product with a materially better alternative in the same category.</w:t>
            </w:r>
          </w:p>
        </w:tc>
        <w:tc>
          <w:tcPr>
            <w:tcW w:type="dxa" w:w="2232"/>
            <w:vAlign w:val="center"/>
          </w:tcPr>
          <w:p>
            <w:pPr>
              <w:spacing w:after="0" w:before="0"/>
            </w:pPr>
            <w:r/>
            <w:r>
              <w:rPr>
                <w:b w:val="0"/>
                <w:sz w:val="15"/>
              </w:rPr>
              <w:t>Product scan + new-product receipt or transaction evidence + product/category metadata.</w:t>
            </w:r>
          </w:p>
        </w:tc>
        <w:tc>
          <w:tcPr>
            <w:tcW w:type="dxa" w:w="2304"/>
            <w:vAlign w:val="center"/>
          </w:tcPr>
          <w:p>
            <w:pPr>
              <w:spacing w:after="0" w:before="0"/>
            </w:pPr>
            <w:r/>
            <w:r>
              <w:rPr>
                <w:b w:val="0"/>
                <w:sz w:val="15"/>
              </w:rPr>
              <w:t>Product/category match, score delta, receipt fingerprint, duplicate checks, V1-V3 evidence.</w:t>
            </w:r>
          </w:p>
        </w:tc>
        <w:tc>
          <w:tcPr>
            <w:tcW w:type="dxa" w:w="1900"/>
            <w:vAlign w:val="center"/>
          </w:tcPr>
          <w:p>
            <w:pPr>
              <w:spacing w:after="0" w:before="0"/>
            </w:pPr>
            <w:r/>
            <w:r>
              <w:rPr>
                <w:b w:val="0"/>
                <w:sz w:val="15"/>
              </w:rPr>
              <w:t>Sustainability improvement (score delta) and, where available, lifecycle/packaging impact difference.</w:t>
            </w:r>
          </w:p>
        </w:tc>
        <w:tc>
          <w:tcPr>
            <w:tcW w:type="dxa" w:w="1800"/>
            <w:vAlign w:val="center"/>
          </w:tcPr>
          <w:p>
            <w:pPr>
              <w:spacing w:after="0" w:before="0"/>
            </w:pPr>
            <w:r/>
            <w:r>
              <w:rPr>
                <w:b w:val="0"/>
                <w:sz w:val="15"/>
              </w:rPr>
              <w:t>Usually immediate after V2/V3 verification; category and daily caps.</w:t>
            </w:r>
          </w:p>
        </w:tc>
      </w:tr>
      <w:tr>
        <w:tc>
          <w:tcPr>
            <w:tcW w:type="dxa" w:w="1512"/>
            <w:vAlign w:val="center"/>
          </w:tcPr>
          <w:p>
            <w:pPr>
              <w:spacing w:after="0" w:before="0"/>
            </w:pPr>
            <w:r/>
            <w:r>
              <w:rPr>
                <w:b w:val="0"/>
                <w:sz w:val="15"/>
              </w:rPr>
              <w:t>Green-Move</w:t>
            </w:r>
          </w:p>
        </w:tc>
        <w:tc>
          <w:tcPr>
            <w:tcW w:type="dxa" w:w="1900"/>
            <w:vAlign w:val="center"/>
          </w:tcPr>
          <w:p>
            <w:pPr>
              <w:spacing w:after="0" w:before="0"/>
            </w:pPr>
            <w:r/>
            <w:r>
              <w:rPr>
                <w:b w:val="0"/>
                <w:sz w:val="15"/>
              </w:rPr>
              <w:t>Walking/cycling/public transport replaces a normally motorized journey such as home-to-office.</w:t>
            </w:r>
          </w:p>
        </w:tc>
        <w:tc>
          <w:tcPr>
            <w:tcW w:type="dxa" w:w="2232"/>
            <w:vAlign w:val="center"/>
          </w:tcPr>
          <w:p>
            <w:pPr>
              <w:spacing w:after="0" w:before="0"/>
            </w:pPr>
            <w:r/>
            <w:r>
              <w:rPr>
                <w:b w:val="0"/>
                <w:sz w:val="15"/>
              </w:rPr>
              <w:t>Declared commute baseline + Health Connect activity + time/distance + optional route/location evidence.</w:t>
            </w:r>
          </w:p>
        </w:tc>
        <w:tc>
          <w:tcPr>
            <w:tcW w:type="dxa" w:w="2304"/>
            <w:vAlign w:val="center"/>
          </w:tcPr>
          <w:p>
            <w:pPr>
              <w:spacing w:after="0" w:before="0"/>
            </w:pPr>
            <w:r/>
            <w:r>
              <w:rPr>
                <w:b w:val="0"/>
                <w:sz w:val="15"/>
              </w:rPr>
              <w:t>Activity plausibility, route/time consistency, overlap/duplicate checks, explicit substitution baseline.</w:t>
            </w:r>
          </w:p>
        </w:tc>
        <w:tc>
          <w:tcPr>
            <w:tcW w:type="dxa" w:w="1900"/>
            <w:vAlign w:val="center"/>
          </w:tcPr>
          <w:p>
            <w:pPr>
              <w:spacing w:after="0" w:before="0"/>
            </w:pPr>
            <w:r/>
            <w:r>
              <w:rPr>
                <w:b w:val="0"/>
                <w:sz w:val="15"/>
              </w:rPr>
              <w:t>Estimated avoided CO2e = baseline transport emissions - actual transport emissions.</w:t>
            </w:r>
          </w:p>
        </w:tc>
        <w:tc>
          <w:tcPr>
            <w:tcW w:type="dxa" w:w="1800"/>
            <w:vAlign w:val="center"/>
          </w:tcPr>
          <w:p>
            <w:pPr>
              <w:spacing w:after="0" w:before="0"/>
            </w:pPr>
            <w:r/>
            <w:r>
              <w:rPr>
                <w:b w:val="0"/>
                <w:sz w:val="15"/>
              </w:rPr>
              <w:t>After V2 verification; per-trip/day distance and reward caps.</w:t>
            </w:r>
          </w:p>
        </w:tc>
      </w:tr>
      <w:tr>
        <w:tc>
          <w:tcPr>
            <w:tcW w:type="dxa" w:w="1512"/>
            <w:vAlign w:val="center"/>
          </w:tcPr>
          <w:p>
            <w:pPr>
              <w:spacing w:after="0" w:before="0"/>
            </w:pPr>
            <w:r/>
            <w:r>
              <w:rPr>
                <w:b w:val="0"/>
                <w:sz w:val="15"/>
              </w:rPr>
              <w:t>Grow-Green</w:t>
            </w:r>
          </w:p>
        </w:tc>
        <w:tc>
          <w:tcPr>
            <w:tcW w:type="dxa" w:w="1900"/>
            <w:vAlign w:val="center"/>
          </w:tcPr>
          <w:p>
            <w:pPr>
              <w:spacing w:after="0" w:before="0"/>
            </w:pPr>
            <w:r/>
            <w:r>
              <w:rPr>
                <w:b w:val="0"/>
                <w:sz w:val="15"/>
              </w:rPr>
              <w:t>User plants and maintains a geo-tagged batch/plot of trees.</w:t>
            </w:r>
          </w:p>
        </w:tc>
        <w:tc>
          <w:tcPr>
            <w:tcW w:type="dxa" w:w="2232"/>
            <w:vAlign w:val="center"/>
          </w:tcPr>
          <w:p>
            <w:pPr>
              <w:spacing w:after="0" w:before="0"/>
            </w:pPr>
            <w:r/>
            <w:r>
              <w:rPr>
                <w:b w:val="0"/>
                <w:sz w:val="15"/>
              </w:rPr>
              <w:t>Plot polygon/point, planting photos, count/species where known, periodic location-enabled check-in photos.</w:t>
            </w:r>
          </w:p>
        </w:tc>
        <w:tc>
          <w:tcPr>
            <w:tcW w:type="dxa" w:w="2304"/>
            <w:vAlign w:val="center"/>
          </w:tcPr>
          <w:p>
            <w:pPr>
              <w:spacing w:after="0" w:before="0"/>
            </w:pPr>
            <w:r/>
            <w:r>
              <w:rPr>
                <w:b w:val="0"/>
                <w:sz w:val="15"/>
              </w:rPr>
              <w:t>Initial photo/location check; periodic re-checks; authenticated visitor confirmations; optional Earth Engine plot-level vegetation trend.</w:t>
            </w:r>
          </w:p>
        </w:tc>
        <w:tc>
          <w:tcPr>
            <w:tcW w:type="dxa" w:w="1900"/>
            <w:vAlign w:val="center"/>
          </w:tcPr>
          <w:p>
            <w:pPr>
              <w:spacing w:after="0" w:before="0"/>
            </w:pPr>
            <w:r/>
            <w:r>
              <w:rPr>
                <w:b w:val="0"/>
                <w:sz w:val="15"/>
              </w:rPr>
              <w:t>Verified planted/surviving trees + persistence checkpoints; carbon sequestration shown only as a separate long-term estimate if supported.</w:t>
            </w:r>
          </w:p>
        </w:tc>
        <w:tc>
          <w:tcPr>
            <w:tcW w:type="dxa" w:w="1800"/>
            <w:vAlign w:val="center"/>
          </w:tcPr>
          <w:p>
            <w:pPr>
              <w:spacing w:after="0" w:before="0"/>
            </w:pPr>
            <w:r/>
            <w:r>
              <w:rPr>
                <w:b w:val="0"/>
                <w:sz w:val="15"/>
              </w:rPr>
              <w:t>Staged: PENDING -&gt; PROVISIONAL -&gt; VESTED across survival checkpoints.</w:t>
            </w:r>
          </w:p>
        </w:tc>
      </w:tr>
      <w:tr>
        <w:tc>
          <w:tcPr>
            <w:tcW w:type="dxa" w:w="1512"/>
            <w:vAlign w:val="center"/>
          </w:tcPr>
          <w:p>
            <w:pPr>
              <w:spacing w:after="0" w:before="0"/>
            </w:pPr>
            <w:r/>
            <w:r>
              <w:rPr>
                <w:b w:val="0"/>
                <w:sz w:val="15"/>
              </w:rPr>
              <w:t>Recycle-Red</w:t>
            </w:r>
          </w:p>
        </w:tc>
        <w:tc>
          <w:tcPr>
            <w:tcW w:type="dxa" w:w="1900"/>
            <w:vAlign w:val="center"/>
          </w:tcPr>
          <w:p>
            <w:pPr>
              <w:spacing w:after="0" w:before="0"/>
            </w:pPr>
            <w:r/>
            <w:r>
              <w:rPr>
                <w:b w:val="0"/>
                <w:sz w:val="15"/>
              </w:rPr>
              <w:t>User safely disposes of e-waste or hazardous electronics through an approved/verified recycler.</w:t>
            </w:r>
          </w:p>
        </w:tc>
        <w:tc>
          <w:tcPr>
            <w:tcW w:type="dxa" w:w="2232"/>
            <w:vAlign w:val="center"/>
          </w:tcPr>
          <w:p>
            <w:pPr>
              <w:spacing w:after="0" w:before="0"/>
            </w:pPr>
            <w:r/>
            <w:r>
              <w:rPr>
                <w:b w:val="0"/>
                <w:sz w:val="15"/>
              </w:rPr>
              <w:t>Item photo + recycler receipt/certificate; recycler/location metadata; weight/category where available.</w:t>
            </w:r>
          </w:p>
        </w:tc>
        <w:tc>
          <w:tcPr>
            <w:tcW w:type="dxa" w:w="2304"/>
            <w:vAlign w:val="center"/>
          </w:tcPr>
          <w:p>
            <w:pPr>
              <w:spacing w:after="0" w:before="0"/>
            </w:pPr>
            <w:r/>
            <w:r>
              <w:rPr>
                <w:b w:val="0"/>
                <w:sz w:val="15"/>
              </w:rPr>
              <w:t>Document AI extraction, recycler registry match, certificate/receipt fingerprint, date/location plausibility, duplicate check.</w:t>
            </w:r>
          </w:p>
        </w:tc>
        <w:tc>
          <w:tcPr>
            <w:tcW w:type="dxa" w:w="1900"/>
            <w:vAlign w:val="center"/>
          </w:tcPr>
          <w:p>
            <w:pPr>
              <w:spacing w:after="0" w:before="0"/>
            </w:pPr>
            <w:r/>
            <w:r>
              <w:rPr>
                <w:b w:val="0"/>
                <w:sz w:val="15"/>
              </w:rPr>
              <w:t>Verified hazardous-waste diversion by item category/weight, plus optional carbon/resource benefit estimate.</w:t>
            </w:r>
          </w:p>
        </w:tc>
        <w:tc>
          <w:tcPr>
            <w:tcW w:type="dxa" w:w="1800"/>
            <w:vAlign w:val="center"/>
          </w:tcPr>
          <w:p>
            <w:pPr>
              <w:spacing w:after="0" w:before="0"/>
            </w:pPr>
            <w:r/>
            <w:r>
              <w:rPr>
                <w:b w:val="0"/>
                <w:sz w:val="15"/>
              </w:rPr>
              <w:t>After V2/V3 evidence; category/weight caps; no reward for unverified disposal.</w:t>
            </w:r>
          </w:p>
        </w:tc>
      </w:tr>
    </w:tbl>
    <w:p>
      <w:pPr>
        <w:pStyle w:val="Heading3"/>
      </w:pPr>
      <w:r>
        <w:t>5.6.1 Go-Green-Product</w:t>
      </w:r>
    </w:p>
    <w:p>
      <w:pPr/>
      <w:r>
        <w:t>Intent: reward a better replacement decision, not higher spending. A wooden/bamboo toothbrush replacing a disposable plastic toothbrush is eligible only if CarbonLens can establish a comparable category and a meaningful sustainability improvement.</w:t>
      </w:r>
    </w:p>
    <w:p>
      <w:pPr>
        <w:pStyle w:val="ListBullet"/>
      </w:pPr>
      <w:r>
        <w:t>The old/conventional product may be identified from prior history, scan, receipt or user-declared baseline. A self-declared baseline lowers verification/confidence.</w:t>
      </w:r>
    </w:p>
    <w:p>
      <w:pPr>
        <w:pStyle w:val="ListBullet"/>
      </w:pPr>
      <w:r>
        <w:t>The new product must be resolved to a product/category record with Sustainability Score dimensions and confidence. Reward is based on improvement relative to the category/baseline, never purchase price.</w:t>
      </w:r>
    </w:p>
    <w:p>
      <w:pPr>
        <w:pStyle w:val="ListBullet"/>
      </w:pPr>
      <w:r>
        <w:t>Prevent repeat-crediting by product/receipt fingerprint, replacement cooldown, per-category caps and event idempotency. Consumables may use a policy-defined cadence; durable products should not be rewarded repeatedly for the same replacement.</w:t>
      </w:r>
    </w:p>
    <w:p>
      <w:pPr>
        <w:pStyle w:val="Heading3"/>
      </w:pPr>
      <w:r>
        <w:t>5.6.2 Green-Move</w:t>
      </w:r>
    </w:p>
    <w:p>
      <w:pPr/>
      <w:r>
        <w:t>Intent: reward a verified transport substitution. Exercise alone is not sufficient; the user must establish that walking, cycling or another low-carbon mode replaced a plausible motorized trip.</w:t>
      </w:r>
    </w:p>
    <w:p>
      <w:pPr>
        <w:pStyle w:val="ListBullet"/>
      </w:pPr>
      <w:r>
        <w:t>Baseline examples: home-to-office normally by petrol car, motorcycle or taxi. Baseline mode and approximate distance are captured during onboarding/commute setup and can be periodically reconfirmed.</w:t>
      </w:r>
    </w:p>
    <w:p>
      <w:pPr>
        <w:pStyle w:val="ListBullet"/>
      </w:pPr>
      <w:r>
        <w:t>Health Connect provides activity/session evidence; Google Maps Platform may support distance/route checks. Exact route storage should be minimized and consent-controlled.</w:t>
      </w:r>
    </w:p>
    <w:p>
      <w:pPr>
        <w:pStyle w:val="ListBullet"/>
      </w:pPr>
      <w:r>
        <w:t>Fraud checks include impossible speed, overlapping activities, duplicate timestamps, repeated replayed tracks and implausible start/end relationship. Rewards are capped per trip/day.</w:t>
      </w:r>
    </w:p>
    <w:p>
      <w:pPr>
        <w:pStyle w:val="Heading3"/>
      </w:pPr>
      <w:r>
        <w:t>5.6.3 Grow-Green</w:t>
      </w:r>
    </w:p>
    <w:p>
      <w:pPr/>
      <w:r>
        <w:t>Intent: reward planting plus survival, not merely uploading a planting photo. CarbonLens creates a Green Plot that is rendered inside the CarbonLens experience on Google Maps; the authoritative project record remains in CarbonLens.</w:t>
      </w:r>
    </w:p>
    <w:p>
      <w:pPr>
        <w:pStyle w:val="ListBullet"/>
      </w:pPr>
      <w:r>
        <w:t>Initial registration: geo-tagged plot/point, planting date, claimed tree count, species when known, planting photos and consent. Store precise location only as needed and restrict access for private land.</w:t>
      </w:r>
    </w:p>
    <w:p>
      <w:pPr>
        <w:pStyle w:val="ListBullet"/>
      </w:pPr>
      <w:r>
        <w:t>First check: location/time/photo evidence and duplicate-image checks. Gemini/Vision may assist with visual consistency or approximate vegetation/tree presence, but must not be treated as an exact tree counter without validation.</w:t>
      </w:r>
    </w:p>
    <w:p>
      <w:pPr>
        <w:pStyle w:val="ListBullet"/>
      </w:pPr>
      <w:r>
        <w:t>Second check: periodic owner check-ins, for example day 30, day 90, day 180 and day 365. Each check-in must occur near the registered plot and include fresh evidence.</w:t>
      </w:r>
    </w:p>
    <w:p>
      <w:pPr>
        <w:pStyle w:val="ListBullet"/>
      </w:pPr>
      <w:r>
        <w:t>Third check: authenticated CarbonLens visitors/community members can confirm the plot. Visitor confirmations are weighted by account trust, uniqueness, proximity and timing; collusion/repeated mutual confirmations are fraud signals.</w:t>
      </w:r>
    </w:p>
    <w:p>
      <w:pPr>
        <w:pStyle w:val="ListBullet"/>
      </w:pPr>
      <w:r>
        <w:t>Earth Engine can add an independent area-level signal using vegetation/land-cover time series. Sentinel-2 imagery includes 10 m bands and is suitable for vegetation state/change at plot scale, but it cannot reliably prove survival of an individual young sapling. Therefore Earth Engine is supporting evidence, not the only verifier.</w:t>
      </w:r>
    </w:p>
    <w:p>
      <w:pPr>
        <w:pStyle w:val="ListBullet"/>
      </w:pPr>
      <w:r>
        <w:t>Reward value: default to Green Points. A partner-funded campaign may define a monetary-equivalent sponsorship such as "up to $20 per verified surviving tree," but that amount is a CarbonLens/partner policy, not a Google Maps payment and must not be hard-coded as a universal entitlement.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vAlign w:val="center"/>
            <w:shd w:fill="1B5E20"/>
          </w:tcPr>
          <w:p>
            <w:pPr>
              <w:spacing w:after="0" w:before="0"/>
            </w:pPr>
            <w:r/>
            <w:r>
              <w:rPr>
                <w:b/>
                <w:color w:val="FFFFFF"/>
                <w:sz w:val="16"/>
              </w:rPr>
              <w:t>Checkpoint</w:t>
            </w:r>
          </w:p>
        </w:tc>
        <w:tc>
          <w:tcPr>
            <w:tcW w:type="dxa" w:w="3456"/>
            <w:vAlign w:val="center"/>
            <w:shd w:fill="1B5E20"/>
          </w:tcPr>
          <w:p>
            <w:pPr>
              <w:spacing w:after="0" w:before="0"/>
            </w:pPr>
            <w:r/>
            <w:r>
              <w:rPr>
                <w:b/>
                <w:color w:val="FFFFFF"/>
                <w:sz w:val="16"/>
              </w:rPr>
              <w:t>Required evidence</w:t>
            </w:r>
          </w:p>
        </w:tc>
        <w:tc>
          <w:tcPr>
            <w:tcW w:type="dxa" w:w="2232"/>
            <w:vAlign w:val="center"/>
            <w:shd w:fill="1B5E20"/>
          </w:tcPr>
          <w:p>
            <w:pPr>
              <w:spacing w:after="0" w:before="0"/>
            </w:pPr>
            <w:r/>
            <w:r>
              <w:rPr>
                <w:b/>
                <w:color w:val="FFFFFF"/>
                <w:sz w:val="16"/>
              </w:rPr>
              <w:t>State transition</w:t>
            </w:r>
          </w:p>
        </w:tc>
        <w:tc>
          <w:tcPr>
            <w:tcW w:type="dxa" w:w="2808"/>
            <w:vAlign w:val="center"/>
            <w:shd w:fill="1B5E20"/>
          </w:tcPr>
          <w:p>
            <w:pPr>
              <w:spacing w:after="0" w:before="0"/>
            </w:pPr>
            <w:r/>
            <w:r>
              <w:rPr>
                <w:b/>
                <w:color w:val="FFFFFF"/>
                <w:sz w:val="16"/>
              </w:rPr>
              <w:t>Example reward treatment</w:t>
            </w:r>
          </w:p>
        </w:tc>
      </w:tr>
      <w:tr>
        <w:tc>
          <w:tcPr>
            <w:tcW w:type="dxa" w:w="1440"/>
            <w:vAlign w:val="center"/>
          </w:tcPr>
          <w:p>
            <w:pPr>
              <w:spacing w:after="0" w:before="0"/>
            </w:pPr>
            <w:r/>
            <w:r>
              <w:rPr>
                <w:b w:val="0"/>
                <w:sz w:val="16"/>
              </w:rPr>
              <w:t>Planting / Day 0</w:t>
            </w:r>
          </w:p>
        </w:tc>
        <w:tc>
          <w:tcPr>
            <w:tcW w:type="dxa" w:w="3456"/>
            <w:vAlign w:val="center"/>
          </w:tcPr>
          <w:p>
            <w:pPr>
              <w:spacing w:after="0" w:before="0"/>
            </w:pPr>
            <w:r/>
            <w:r>
              <w:rPr>
                <w:b w:val="0"/>
                <w:sz w:val="16"/>
              </w:rPr>
              <w:t>Registered plot + fresh geo/time-bound photos + claimed count</w:t>
            </w:r>
          </w:p>
        </w:tc>
        <w:tc>
          <w:tcPr>
            <w:tcW w:type="dxa" w:w="2232"/>
            <w:vAlign w:val="center"/>
          </w:tcPr>
          <w:p>
            <w:pPr>
              <w:spacing w:after="0" w:before="0"/>
            </w:pPr>
            <w:r/>
            <w:r>
              <w:rPr>
                <w:b w:val="0"/>
                <w:sz w:val="16"/>
              </w:rPr>
              <w:t>PENDING -&gt; PROVISIONAL if basic checks pass</w:t>
            </w:r>
          </w:p>
        </w:tc>
        <w:tc>
          <w:tcPr>
            <w:tcW w:type="dxa" w:w="2808"/>
            <w:vAlign w:val="center"/>
          </w:tcPr>
          <w:p>
            <w:pPr>
              <w:spacing w:after="0" w:before="0"/>
            </w:pPr>
            <w:r/>
            <w:r>
              <w:rPr>
                <w:b w:val="0"/>
                <w:sz w:val="16"/>
              </w:rPr>
              <w:t>Small initial portion only; no claim of one-year survival.</w:t>
            </w:r>
          </w:p>
        </w:tc>
      </w:tr>
      <w:tr>
        <w:tc>
          <w:tcPr>
            <w:tcW w:type="dxa" w:w="1440"/>
            <w:vAlign w:val="center"/>
          </w:tcPr>
          <w:p>
            <w:pPr>
              <w:spacing w:after="0" w:before="0"/>
            </w:pPr>
            <w:r/>
            <w:r>
              <w:rPr>
                <w:b w:val="0"/>
                <w:sz w:val="16"/>
              </w:rPr>
              <w:t>Day 30</w:t>
            </w:r>
          </w:p>
        </w:tc>
        <w:tc>
          <w:tcPr>
            <w:tcW w:type="dxa" w:w="3456"/>
            <w:vAlign w:val="center"/>
          </w:tcPr>
          <w:p>
            <w:pPr>
              <w:spacing w:after="0" w:before="0"/>
            </w:pPr>
            <w:r/>
            <w:r>
              <w:rPr>
                <w:b w:val="0"/>
                <w:sz w:val="16"/>
              </w:rPr>
              <w:t>Fresh owner check-in near plot</w:t>
            </w:r>
          </w:p>
        </w:tc>
        <w:tc>
          <w:tcPr>
            <w:tcW w:type="dxa" w:w="2232"/>
            <w:vAlign w:val="center"/>
          </w:tcPr>
          <w:p>
            <w:pPr>
              <w:spacing w:after="0" w:before="0"/>
            </w:pPr>
            <w:r/>
            <w:r>
              <w:rPr>
                <w:b w:val="0"/>
                <w:sz w:val="16"/>
              </w:rPr>
              <w:t>Remain PROVISIONAL</w:t>
            </w:r>
          </w:p>
        </w:tc>
        <w:tc>
          <w:tcPr>
            <w:tcW w:type="dxa" w:w="2808"/>
            <w:vAlign w:val="center"/>
          </w:tcPr>
          <w:p>
            <w:pPr>
              <w:spacing w:after="0" w:before="0"/>
            </w:pPr>
            <w:r/>
            <w:r>
              <w:rPr>
                <w:b w:val="0"/>
                <w:sz w:val="16"/>
              </w:rPr>
              <w:t>Release next policy-defined tranche if consistent.</w:t>
            </w:r>
          </w:p>
        </w:tc>
      </w:tr>
      <w:tr>
        <w:tc>
          <w:tcPr>
            <w:tcW w:type="dxa" w:w="1440"/>
            <w:vAlign w:val="center"/>
          </w:tcPr>
          <w:p>
            <w:pPr>
              <w:spacing w:after="0" w:before="0"/>
            </w:pPr>
            <w:r/>
            <w:r>
              <w:rPr>
                <w:b w:val="0"/>
                <w:sz w:val="16"/>
              </w:rPr>
              <w:t>Day 90</w:t>
            </w:r>
          </w:p>
        </w:tc>
        <w:tc>
          <w:tcPr>
            <w:tcW w:type="dxa" w:w="3456"/>
            <w:vAlign w:val="center"/>
          </w:tcPr>
          <w:p>
            <w:pPr>
              <w:spacing w:after="0" w:before="0"/>
            </w:pPr>
            <w:r/>
            <w:r>
              <w:rPr>
                <w:b w:val="0"/>
                <w:sz w:val="16"/>
              </w:rPr>
              <w:t>Fresh check-in + optional visitor confirmation</w:t>
            </w:r>
          </w:p>
        </w:tc>
        <w:tc>
          <w:tcPr>
            <w:tcW w:type="dxa" w:w="2232"/>
            <w:vAlign w:val="center"/>
          </w:tcPr>
          <w:p>
            <w:pPr>
              <w:spacing w:after="0" w:before="0"/>
            </w:pPr>
            <w:r/>
            <w:r>
              <w:rPr>
                <w:b w:val="0"/>
                <w:sz w:val="16"/>
              </w:rPr>
              <w:t>PROVISIONAL</w:t>
            </w:r>
          </w:p>
        </w:tc>
        <w:tc>
          <w:tcPr>
            <w:tcW w:type="dxa" w:w="2808"/>
            <w:vAlign w:val="center"/>
          </w:tcPr>
          <w:p>
            <w:pPr>
              <w:spacing w:after="0" w:before="0"/>
            </w:pPr>
            <w:r/>
            <w:r>
              <w:rPr>
                <w:b w:val="0"/>
                <w:sz w:val="16"/>
              </w:rPr>
              <w:t>Additional tranche; investigate conflicting evidence.</w:t>
            </w:r>
          </w:p>
        </w:tc>
      </w:tr>
      <w:tr>
        <w:tc>
          <w:tcPr>
            <w:tcW w:type="dxa" w:w="1440"/>
            <w:vAlign w:val="center"/>
          </w:tcPr>
          <w:p>
            <w:pPr>
              <w:spacing w:after="0" w:before="0"/>
            </w:pPr>
            <w:r/>
            <w:r>
              <w:rPr>
                <w:b w:val="0"/>
                <w:sz w:val="16"/>
              </w:rPr>
              <w:t>Day 180</w:t>
            </w:r>
          </w:p>
        </w:tc>
        <w:tc>
          <w:tcPr>
            <w:tcW w:type="dxa" w:w="3456"/>
            <w:vAlign w:val="center"/>
          </w:tcPr>
          <w:p>
            <w:pPr>
              <w:spacing w:after="0" w:before="0"/>
            </w:pPr>
            <w:r/>
            <w:r>
              <w:rPr>
                <w:b w:val="0"/>
                <w:sz w:val="16"/>
              </w:rPr>
              <w:t>Fresh check-in; plot-level vegetation signal when useful</w:t>
            </w:r>
          </w:p>
        </w:tc>
        <w:tc>
          <w:tcPr>
            <w:tcW w:type="dxa" w:w="2232"/>
            <w:vAlign w:val="center"/>
          </w:tcPr>
          <w:p>
            <w:pPr>
              <w:spacing w:after="0" w:before="0"/>
            </w:pPr>
            <w:r/>
            <w:r>
              <w:rPr>
                <w:b w:val="0"/>
                <w:sz w:val="16"/>
              </w:rPr>
              <w:t>PROVISIONAL -&gt; partially vested</w:t>
            </w:r>
          </w:p>
        </w:tc>
        <w:tc>
          <w:tcPr>
            <w:tcW w:type="dxa" w:w="2808"/>
            <w:vAlign w:val="center"/>
          </w:tcPr>
          <w:p>
            <w:pPr>
              <w:spacing w:after="0" w:before="0"/>
            </w:pPr>
            <w:r/>
            <w:r>
              <w:rPr>
                <w:b w:val="0"/>
                <w:sz w:val="16"/>
              </w:rPr>
              <w:t>Reward persistence, not raw image count.</w:t>
            </w:r>
          </w:p>
        </w:tc>
      </w:tr>
      <w:tr>
        <w:tc>
          <w:tcPr>
            <w:tcW w:type="dxa" w:w="1440"/>
            <w:vAlign w:val="center"/>
          </w:tcPr>
          <w:p>
            <w:pPr>
              <w:spacing w:after="0" w:before="0"/>
            </w:pPr>
            <w:r/>
            <w:r>
              <w:rPr>
                <w:b w:val="0"/>
                <w:sz w:val="16"/>
              </w:rPr>
              <w:t>Day 365</w:t>
            </w:r>
          </w:p>
        </w:tc>
        <w:tc>
          <w:tcPr>
            <w:tcW w:type="dxa" w:w="3456"/>
            <w:vAlign w:val="center"/>
          </w:tcPr>
          <w:p>
            <w:pPr>
              <w:spacing w:after="0" w:before="0"/>
            </w:pPr>
            <w:r/>
            <w:r>
              <w:rPr>
                <w:b w:val="0"/>
                <w:sz w:val="16"/>
              </w:rPr>
              <w:t>Fresh check-in + visitor/independent signal where available</w:t>
            </w:r>
          </w:p>
        </w:tc>
        <w:tc>
          <w:tcPr>
            <w:tcW w:type="dxa" w:w="2232"/>
            <w:vAlign w:val="center"/>
          </w:tcPr>
          <w:p>
            <w:pPr>
              <w:spacing w:after="0" w:before="0"/>
            </w:pPr>
            <w:r/>
            <w:r>
              <w:rPr>
                <w:b w:val="0"/>
                <w:sz w:val="16"/>
              </w:rPr>
              <w:t>VESTED</w:t>
            </w:r>
          </w:p>
        </w:tc>
        <w:tc>
          <w:tcPr>
            <w:tcW w:type="dxa" w:w="2808"/>
            <w:vAlign w:val="center"/>
          </w:tcPr>
          <w:p>
            <w:pPr>
              <w:spacing w:after="0" w:before="0"/>
            </w:pPr>
            <w:r/>
            <w:r>
              <w:rPr>
                <w:b w:val="0"/>
                <w:sz w:val="16"/>
              </w:rPr>
              <w:t>Final tranche; project earns one-year survival badge/status.</w:t>
            </w:r>
          </w:p>
        </w:tc>
      </w:tr>
    </w:tbl>
    <w:p>
      <w:pPr>
        <w:pStyle w:val="Heading3"/>
      </w:pPr>
      <w:r>
        <w:t>5.6.4 Recycle-Red</w:t>
      </w:r>
    </w:p>
    <w:p>
      <w:pPr/>
      <w:r>
        <w:t>Intent: reward safe diversion of environmentally hazardous electronics/e-waste to a verified disposal or recycling channel. The app should verify the hand-off, not reward a photograph of waste alone.</w:t>
      </w:r>
    </w:p>
    <w:p>
      <w:pPr>
        <w:pStyle w:val="ListBullet"/>
      </w:pPr>
      <w:r>
        <w:t>Before disposal: capture item category/photo and optional device identifiers only if privacy and policy allow. Do not store unnecessary serial numbers.</w:t>
      </w:r>
    </w:p>
    <w:p>
      <w:pPr>
        <w:pStyle w:val="ListBullet"/>
      </w:pPr>
      <w:r>
        <w:t>At disposal: user submits recycler receipt/certificate. Document AI extracts recycler name, date, document number, amount/weight and line items when present.</w:t>
      </w:r>
    </w:p>
    <w:p>
      <w:pPr>
        <w:pStyle w:val="ListBullet"/>
      </w:pPr>
      <w:r>
        <w:t>CarbonLens checks the recycler against a curated verified-recycler registry, evaluates location/date plausibility, creates a normalized certificate fingerprint and blocks duplicate claims across accounts.</w:t>
      </w:r>
    </w:p>
    <w:p>
      <w:pPr>
        <w:pStyle w:val="ListBullet"/>
      </w:pPr>
      <w:r>
        <w:t>Reward is driven by verified waste category/weight and policy-defined hazard/resource-recovery value. Any carbon benefit is shown separately and only when a sourced factor exists.</w:t>
      </w:r>
    </w:p>
    <w:p>
      <w:pPr>
        <w:pStyle w:val="Heading3"/>
      </w:pPr>
      <w:r>
        <w:t>5.6.5 Common Reward Policy, State Machine and Anti-Gaming</w:t>
      </w:r>
    </w:p>
    <w:p>
      <w:pPr/>
      <w:r>
        <w:t>Use one policy engine across all four segments so the product can evolve without embedding reward logic in Flutter or Gemini.</w:t>
      </w:r>
    </w:p>
    <w:p>
      <w:pPr/>
      <w:r>
        <w:t>Universal policy formula (conceptual): Reward Points = Base Action Points x Impact Factor x Verification Factor x Confidence Factor x Persistence Factor x Anti-Abuse Adjustment. Each segment defines its own Impact Factor and caps. For carbon-linked actions, avoided CO2e may be one input; it is not mandatory for every segment.</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1B5E20"/>
          </w:tcPr>
          <w:p>
            <w:pPr>
              <w:spacing w:after="0" w:before="0"/>
            </w:pPr>
            <w:r/>
            <w:r>
              <w:rPr>
                <w:b/>
                <w:color w:val="FFFFFF"/>
                <w:sz w:val="16"/>
              </w:rPr>
              <w:t>State</w:t>
            </w:r>
          </w:p>
        </w:tc>
        <w:tc>
          <w:tcPr>
            <w:tcW w:type="dxa" w:w="4031"/>
            <w:vAlign w:val="center"/>
            <w:shd w:fill="1B5E20"/>
          </w:tcPr>
          <w:p>
            <w:pPr>
              <w:spacing w:after="0" w:before="0"/>
            </w:pPr>
            <w:r/>
            <w:r>
              <w:rPr>
                <w:b/>
                <w:color w:val="FFFFFF"/>
                <w:sz w:val="16"/>
              </w:rPr>
              <w:t>Meaning</w:t>
            </w:r>
          </w:p>
        </w:tc>
        <w:tc>
          <w:tcPr>
            <w:tcW w:type="dxa" w:w="4031"/>
            <w:vAlign w:val="center"/>
            <w:shd w:fill="1B5E20"/>
          </w:tcPr>
          <w:p>
            <w:pPr>
              <w:spacing w:after="0" w:before="0"/>
            </w:pPr>
            <w:r/>
            <w:r>
              <w:rPr>
                <w:b/>
                <w:color w:val="FFFFFF"/>
                <w:sz w:val="16"/>
              </w:rPr>
              <w:t>Allowed transition</w:t>
            </w:r>
          </w:p>
        </w:tc>
      </w:tr>
      <w:tr>
        <w:tc>
          <w:tcPr>
            <w:tcW w:type="dxa" w:w="1584"/>
            <w:vAlign w:val="center"/>
          </w:tcPr>
          <w:p>
            <w:pPr>
              <w:spacing w:after="0" w:before="0"/>
            </w:pPr>
            <w:r/>
            <w:r>
              <w:rPr>
                <w:b w:val="0"/>
                <w:sz w:val="16"/>
              </w:rPr>
              <w:t>PENDING</w:t>
            </w:r>
          </w:p>
        </w:tc>
        <w:tc>
          <w:tcPr>
            <w:tcW w:type="dxa" w:w="4031"/>
            <w:vAlign w:val="center"/>
          </w:tcPr>
          <w:p>
            <w:pPr>
              <w:spacing w:after="0" w:before="0"/>
            </w:pPr>
            <w:r/>
            <w:r>
              <w:rPr>
                <w:b w:val="0"/>
                <w:sz w:val="16"/>
              </w:rPr>
              <w:t>Evidence received; checks not complete.</w:t>
            </w:r>
          </w:p>
        </w:tc>
        <w:tc>
          <w:tcPr>
            <w:tcW w:type="dxa" w:w="4031"/>
            <w:vAlign w:val="center"/>
          </w:tcPr>
          <w:p>
            <w:pPr>
              <w:spacing w:after="0" w:before="0"/>
            </w:pPr>
            <w:r/>
            <w:r>
              <w:rPr>
                <w:b w:val="0"/>
                <w:sz w:val="16"/>
              </w:rPr>
              <w:t>-&gt; PROVISIONAL, VESTED or REJECTED</w:t>
            </w:r>
          </w:p>
        </w:tc>
      </w:tr>
      <w:tr>
        <w:tc>
          <w:tcPr>
            <w:tcW w:type="dxa" w:w="1584"/>
            <w:vAlign w:val="center"/>
          </w:tcPr>
          <w:p>
            <w:pPr>
              <w:spacing w:after="0" w:before="0"/>
            </w:pPr>
            <w:r/>
            <w:r>
              <w:rPr>
                <w:b w:val="0"/>
                <w:sz w:val="16"/>
              </w:rPr>
              <w:t>PROVISIONAL</w:t>
            </w:r>
          </w:p>
        </w:tc>
        <w:tc>
          <w:tcPr>
            <w:tcW w:type="dxa" w:w="4031"/>
            <w:vAlign w:val="center"/>
          </w:tcPr>
          <w:p>
            <w:pPr>
              <w:spacing w:after="0" w:before="0"/>
            </w:pPr>
            <w:r/>
            <w:r>
              <w:rPr>
                <w:b w:val="0"/>
                <w:sz w:val="16"/>
              </w:rPr>
              <w:t>Initial verification passed but persistence/additional evidence is required.</w:t>
            </w:r>
          </w:p>
        </w:tc>
        <w:tc>
          <w:tcPr>
            <w:tcW w:type="dxa" w:w="4031"/>
            <w:vAlign w:val="center"/>
          </w:tcPr>
          <w:p>
            <w:pPr>
              <w:spacing w:after="0" w:before="0"/>
            </w:pPr>
            <w:r/>
            <w:r>
              <w:rPr>
                <w:b w:val="0"/>
                <w:sz w:val="16"/>
              </w:rPr>
              <w:t>-&gt; VESTED, REJECTED or REVOKED</w:t>
            </w:r>
          </w:p>
        </w:tc>
      </w:tr>
      <w:tr>
        <w:tc>
          <w:tcPr>
            <w:tcW w:type="dxa" w:w="1584"/>
            <w:vAlign w:val="center"/>
          </w:tcPr>
          <w:p>
            <w:pPr>
              <w:spacing w:after="0" w:before="0"/>
            </w:pPr>
            <w:r/>
            <w:r>
              <w:rPr>
                <w:b w:val="0"/>
                <w:sz w:val="16"/>
              </w:rPr>
              <w:t>VESTED</w:t>
            </w:r>
          </w:p>
        </w:tc>
        <w:tc>
          <w:tcPr>
            <w:tcW w:type="dxa" w:w="4031"/>
            <w:vAlign w:val="center"/>
          </w:tcPr>
          <w:p>
            <w:pPr>
              <w:spacing w:after="0" w:before="0"/>
            </w:pPr>
            <w:r/>
            <w:r>
              <w:rPr>
                <w:b w:val="0"/>
                <w:sz w:val="16"/>
              </w:rPr>
              <w:t>Reward permanently earned under the current policy.</w:t>
            </w:r>
          </w:p>
        </w:tc>
        <w:tc>
          <w:tcPr>
            <w:tcW w:type="dxa" w:w="4031"/>
            <w:vAlign w:val="center"/>
          </w:tcPr>
          <w:p>
            <w:pPr>
              <w:spacing w:after="0" w:before="0"/>
            </w:pPr>
            <w:r/>
            <w:r>
              <w:rPr>
                <w:b w:val="0"/>
                <w:sz w:val="16"/>
              </w:rPr>
              <w:t>Normally terminal; admin reversal only through audited compensating ledger entry.</w:t>
            </w:r>
          </w:p>
        </w:tc>
      </w:tr>
      <w:tr>
        <w:tc>
          <w:tcPr>
            <w:tcW w:type="dxa" w:w="1584"/>
            <w:vAlign w:val="center"/>
          </w:tcPr>
          <w:p>
            <w:pPr>
              <w:spacing w:after="0" w:before="0"/>
            </w:pPr>
            <w:r/>
            <w:r>
              <w:rPr>
                <w:b w:val="0"/>
                <w:sz w:val="16"/>
              </w:rPr>
              <w:t>REJECTED</w:t>
            </w:r>
          </w:p>
        </w:tc>
        <w:tc>
          <w:tcPr>
            <w:tcW w:type="dxa" w:w="4031"/>
            <w:vAlign w:val="center"/>
          </w:tcPr>
          <w:p>
            <w:pPr>
              <w:spacing w:after="0" w:before="0"/>
            </w:pPr>
            <w:r/>
            <w:r>
              <w:rPr>
                <w:b w:val="0"/>
                <w:sz w:val="16"/>
              </w:rPr>
              <w:t>Evidence insufficient, inconsistent or policy-ineligible.</w:t>
            </w:r>
          </w:p>
        </w:tc>
        <w:tc>
          <w:tcPr>
            <w:tcW w:type="dxa" w:w="4031"/>
            <w:vAlign w:val="center"/>
          </w:tcPr>
          <w:p>
            <w:pPr>
              <w:spacing w:after="0" w:before="0"/>
            </w:pPr>
            <w:r/>
            <w:r>
              <w:rPr>
                <w:b w:val="0"/>
                <w:sz w:val="16"/>
              </w:rPr>
              <w:t>May be resubmitted as a new event if policy allows.</w:t>
            </w:r>
          </w:p>
        </w:tc>
      </w:tr>
      <w:tr>
        <w:tc>
          <w:tcPr>
            <w:tcW w:type="dxa" w:w="1584"/>
            <w:vAlign w:val="center"/>
          </w:tcPr>
          <w:p>
            <w:pPr>
              <w:spacing w:after="0" w:before="0"/>
            </w:pPr>
            <w:r/>
            <w:r>
              <w:rPr>
                <w:b w:val="0"/>
                <w:sz w:val="16"/>
              </w:rPr>
              <w:t>REVOKED</w:t>
            </w:r>
          </w:p>
        </w:tc>
        <w:tc>
          <w:tcPr>
            <w:tcW w:type="dxa" w:w="4031"/>
            <w:vAlign w:val="center"/>
          </w:tcPr>
          <w:p>
            <w:pPr>
              <w:spacing w:after="0" w:before="0"/>
            </w:pPr>
            <w:r/>
            <w:r>
              <w:rPr>
                <w:b w:val="0"/>
                <w:sz w:val="16"/>
              </w:rPr>
              <w:t>Previously provisional value removed because fraud/conflicting evidence was confirmed.</w:t>
            </w:r>
          </w:p>
        </w:tc>
        <w:tc>
          <w:tcPr>
            <w:tcW w:type="dxa" w:w="4031"/>
            <w:vAlign w:val="center"/>
          </w:tcPr>
          <w:p>
            <w:pPr>
              <w:spacing w:after="0" w:before="0"/>
            </w:pPr>
            <w:r/>
            <w:r>
              <w:rPr>
                <w:b w:val="0"/>
                <w:sz w:val="16"/>
              </w:rPr>
              <w:t>Terminal; preserve audit reason.</w:t>
            </w:r>
          </w:p>
        </w:tc>
      </w:tr>
    </w:tbl>
    <w:p>
      <w:pPr>
        <w:pStyle w:val="ListBullet"/>
      </w:pPr>
      <w:r>
        <w:t>Every reward calculation records policy_version, evidence_refs, verification_level, confidence, factors, caps applied and reason codes.</w:t>
      </w:r>
    </w:p>
    <w:p>
      <w:pPr>
        <w:pStyle w:val="ListBullet"/>
      </w:pPr>
      <w:r>
        <w:t>Ledger is append-only. Never edit a historical issued entry; use a compensating/reversal entry with audit reason.</w:t>
      </w:r>
    </w:p>
    <w:p>
      <w:pPr>
        <w:pStyle w:val="ListBullet"/>
      </w:pPr>
      <w:r>
        <w:t>Only backend service identities may create ledger entries. Flutter clients, Gemini and analytics jobs cannot directly change balances.</w:t>
      </w:r>
    </w:p>
    <w:p>
      <w:pPr>
        <w:pStyle w:val="ListBullet"/>
      </w:pPr>
      <w:r>
        <w:t>Cross-account duplicate evidence, suspicious image reuse, implausible location/time, excessive frequency, collusive confirmations and repeated certificates feed the fraud/risk score.</w:t>
      </w:r>
    </w:p>
    <w:p>
      <w:pPr>
        <w:pStyle w:val="Heading2"/>
        <w:keepNext/>
      </w:pPr>
      <w:r>
        <w:t>5.7 Deployment architecture</w:t>
      </w:r>
    </w:p>
    <w:p>
      <w:pPr>
        <w:jc w:val="center"/>
      </w:pPr>
      <w:r>
        <w:drawing>
          <wp:inline xmlns:a="http://schemas.openxmlformats.org/drawingml/2006/main" xmlns:pic="http://schemas.openxmlformats.org/drawingml/2006/picture">
            <wp:extent cx="6309360" cy="4374408"/>
            <wp:docPr id="7" name="Picture 7"/>
            <wp:cNvGraphicFramePr>
              <a:graphicFrameLocks noChangeAspect="1"/>
            </wp:cNvGraphicFramePr>
            <a:graphic>
              <a:graphicData uri="http://schemas.openxmlformats.org/drawingml/2006/picture">
                <pic:pic>
                  <pic:nvPicPr>
                    <pic:cNvPr id="0" name="deployment_google_only.png"/>
                    <pic:cNvPicPr/>
                  </pic:nvPicPr>
                  <pic:blipFill>
                    <a:blip r:embed="rId17"/>
                    <a:stretch>
                      <a:fillRect/>
                    </a:stretch>
                  </pic:blipFill>
                  <pic:spPr>
                    <a:xfrm>
                      <a:off x="0" y="0"/>
                      <a:ext cx="6309360" cy="4374408"/>
                    </a:xfrm>
                    <a:prstGeom prst="rect"/>
                  </pic:spPr>
                </pic:pic>
              </a:graphicData>
            </a:graphic>
          </wp:inline>
        </w:drawing>
      </w:r>
    </w:p>
    <w:p>
      <w:pPr>
        <w:pStyle w:val="Caption"/>
        <w:jc w:val="center"/>
      </w:pPr>
      <w:r>
        <w:t>Figure 8 - Google-first delivery and deployment model (supersedes the Terraform-based v1.0 deployment view)</w:t>
      </w:r>
    </w:p>
    <w:p>
      <w:pPr>
        <w:pStyle w:val="Heading1"/>
        <w:keepNext/>
      </w:pPr>
      <w:r>
        <w:t>6. MVP Scope and Cut Lines</w:t>
      </w:r>
    </w:p>
    <w:tbl>
      <w:tblPr>
        <w:tblStyle w:val="TableGrid"/>
        <w:tblW w:type="auto" w:w="0"/>
        <w:jc w:val="center"/>
        <w:tblLook w:firstColumn="1" w:firstRow="1" w:lastColumn="0" w:lastRow="0" w:noHBand="0" w:noVBand="1" w:val="04A0"/>
      </w:tblPr>
      <w:tblGrid>
        <w:gridCol w:w="3360"/>
        <w:gridCol w:w="3360"/>
        <w:gridCol w:w="3360"/>
      </w:tblGrid>
      <w:tr>
        <w:tc>
          <w:tcPr>
            <w:tcW w:type="dxa" w:w="1008"/>
            <w:vAlign w:val="center"/>
            <w:shd w:fill="1B5E20"/>
          </w:tcPr>
          <w:p>
            <w:pPr>
              <w:jc w:val="center"/>
            </w:pPr>
            <w:r/>
            <w:r>
              <w:rPr>
                <w:rFonts w:ascii="Aptos" w:hAnsi="Aptos"/>
                <w:b/>
                <w:color w:val="FFFFFF"/>
                <w:sz w:val="16"/>
              </w:rPr>
              <w:t>Priority</w:t>
            </w:r>
          </w:p>
        </w:tc>
        <w:tc>
          <w:tcPr>
            <w:tcW w:type="dxa" w:w="5400"/>
            <w:vAlign w:val="center"/>
            <w:shd w:fill="1B5E20"/>
          </w:tcPr>
          <w:p>
            <w:pPr>
              <w:jc w:val="center"/>
            </w:pPr>
            <w:r/>
            <w:r>
              <w:rPr>
                <w:rFonts w:ascii="Aptos" w:hAnsi="Aptos"/>
                <w:b/>
                <w:color w:val="FFFFFF"/>
                <w:sz w:val="16"/>
              </w:rPr>
              <w:t>Must be demonstrably real by Oct 18</w:t>
            </w:r>
          </w:p>
        </w:tc>
        <w:tc>
          <w:tcPr>
            <w:tcW w:type="dxa" w:w="3816"/>
            <w:vAlign w:val="center"/>
            <w:shd w:fill="1B5E20"/>
          </w:tcPr>
          <w:p>
            <w:pPr>
              <w:jc w:val="center"/>
            </w:pPr>
            <w:r/>
            <w:r>
              <w:rPr>
                <w:rFonts w:ascii="Aptos" w:hAnsi="Aptos"/>
                <w:b/>
                <w:color w:val="FFFFFF"/>
                <w:sz w:val="16"/>
              </w:rPr>
              <w:t>Can be simplified/deferred</w:t>
            </w:r>
          </w:p>
        </w:tc>
      </w:tr>
      <w:tr>
        <w:tc>
          <w:tcPr>
            <w:tcW w:type="dxa" w:w="1008"/>
            <w:vAlign w:val="center"/>
          </w:tcPr>
          <w:p>
            <w:r/>
            <w:r>
              <w:rPr>
                <w:rFonts w:ascii="Aptos" w:hAnsi="Aptos"/>
                <w:b w:val="0"/>
                <w:sz w:val="16"/>
              </w:rPr>
              <w:t>P0</w:t>
            </w:r>
          </w:p>
        </w:tc>
        <w:tc>
          <w:tcPr>
            <w:tcW w:type="dxa" w:w="5400"/>
            <w:vAlign w:val="center"/>
          </w:tcPr>
          <w:p>
            <w:r>
              <w:t>Firebase login/consent; Flutter dashboard; Go-Green-Product product scan; Vision/OCR evidence; deterministic carbon estimate; Sustainability Score; confidence; Gemini explanation/recommendation; Trusted Green Event + policy-driven Green Points ledger; public Firebase Hosting + Cloud Run; BigQuery factor data; Logging/Monitoring.</w:t>
            </w:r>
          </w:p>
        </w:tc>
        <w:tc>
          <w:tcPr>
            <w:tcW w:type="dxa" w:w="3816"/>
            <w:vAlign w:val="center"/>
          </w:tcPr>
          <w:p>
            <w:r/>
            <w:r>
              <w:rPr>
                <w:rFonts w:ascii="Aptos" w:hAnsi="Aptos"/>
                <w:b w:val="0"/>
                <w:sz w:val="16"/>
              </w:rPr>
              <w:t>None - these are the judging core.</w:t>
            </w:r>
          </w:p>
        </w:tc>
      </w:tr>
      <w:tr>
        <w:tc>
          <w:tcPr>
            <w:tcW w:type="dxa" w:w="1008"/>
            <w:vAlign w:val="center"/>
            <w:shd w:fill="F7F9F9"/>
          </w:tcPr>
          <w:p>
            <w:r/>
            <w:r>
              <w:rPr>
                <w:rFonts w:ascii="Aptos" w:hAnsi="Aptos"/>
                <w:b w:val="0"/>
                <w:sz w:val="16"/>
              </w:rPr>
              <w:t>P1</w:t>
            </w:r>
          </w:p>
        </w:tc>
        <w:tc>
          <w:tcPr>
            <w:tcW w:type="dxa" w:w="5400"/>
            <w:vAlign w:val="center"/>
            <w:shd w:fill="F7F9F9"/>
          </w:tcPr>
          <w:p>
            <w:r>
              <w:t>Receipt scan; duplicate fingerprint; Green-Move basic Android path; Grow-Green plot registration + periodic photo/check-in workflow; Recycle-Red claim + recycler receipt/certificate verification; reports; sample Green Store cards.</w:t>
            </w:r>
          </w:p>
        </w:tc>
        <w:tc>
          <w:tcPr>
            <w:tcW w:type="dxa" w:w="3816"/>
            <w:vAlign w:val="center"/>
            <w:shd w:fill="F7F9F9"/>
          </w:tcPr>
          <w:p>
            <w:r>
              <w:t>Use curated products/recyclers and a demo planting plot. Earth Engine is supporting evidence only and may be demonstrated with a prepared plot/time-series if live imagery timing is unsuitable.</w:t>
            </w:r>
          </w:p>
        </w:tc>
      </w:tr>
      <w:tr>
        <w:tc>
          <w:tcPr>
            <w:tcW w:type="dxa" w:w="1008"/>
            <w:vAlign w:val="center"/>
          </w:tcPr>
          <w:p>
            <w:r/>
            <w:r>
              <w:rPr>
                <w:rFonts w:ascii="Aptos" w:hAnsi="Aptos"/>
                <w:b w:val="0"/>
                <w:sz w:val="16"/>
              </w:rPr>
              <w:t>P2</w:t>
            </w:r>
          </w:p>
        </w:tc>
        <w:tc>
          <w:tcPr>
            <w:tcW w:type="dxa" w:w="5400"/>
            <w:vAlign w:val="center"/>
          </w:tcPr>
          <w:p>
            <w:r/>
            <w:r>
              <w:rPr>
                <w:rFonts w:ascii="Aptos" w:hAnsi="Aptos"/>
                <w:b w:val="0"/>
                <w:sz w:val="16"/>
              </w:rPr>
              <w:t>Pub/Sub fan-out, eco-route, community leaderboard, Earth Pulse.</w:t>
            </w:r>
          </w:p>
        </w:tc>
        <w:tc>
          <w:tcPr>
            <w:tcW w:type="dxa" w:w="3816"/>
            <w:vAlign w:val="center"/>
          </w:tcPr>
          <w:p>
            <w:r/>
            <w:r>
              <w:rPr>
                <w:rFonts w:ascii="Aptos" w:hAnsi="Aptos"/>
                <w:b w:val="0"/>
                <w:sz w:val="16"/>
              </w:rPr>
              <w:t>Use only if P0 stable by Oct 15.</w:t>
            </w:r>
          </w:p>
        </w:tc>
      </w:tr>
      <w:tr>
        <w:tc>
          <w:tcPr>
            <w:tcW w:type="dxa" w:w="1008"/>
            <w:vAlign w:val="center"/>
            <w:shd w:fill="F7F9F9"/>
          </w:tcPr>
          <w:p>
            <w:r/>
            <w:r>
              <w:rPr>
                <w:rFonts w:ascii="Aptos" w:hAnsi="Aptos"/>
                <w:b w:val="0"/>
                <w:sz w:val="16"/>
              </w:rPr>
              <w:t>Phase 2</w:t>
            </w:r>
          </w:p>
        </w:tc>
        <w:tc>
          <w:tcPr>
            <w:tcW w:type="dxa" w:w="5400"/>
            <w:vAlign w:val="center"/>
            <w:shd w:fill="F7F9F9"/>
          </w:tcPr>
          <w:p>
            <w:r>
              <w:t>Gemini Live voice, Google Wallet loyalty, real partner commerce/sponsor payouts, advanced tree-species/count CV, advanced fraud ML, global marketplace.</w:t>
            </w:r>
          </w:p>
        </w:tc>
        <w:tc>
          <w:tcPr>
            <w:tcW w:type="dxa" w:w="3816"/>
            <w:vAlign w:val="center"/>
            <w:shd w:fill="F7F9F9"/>
          </w:tcPr>
          <w:p>
            <w:r>
              <w:t>Architecture supports them; do not risk submission breadth.</w:t>
            </w:r>
          </w:p>
        </w:tc>
      </w:tr>
    </w:tbl>
    <w:p>
      <w:pPr>
        <w:spacing w:after="40"/>
      </w:pPr>
    </w:p>
    <w:p>
      <w:pPr>
        <w:pStyle w:val="Heading1"/>
        <w:keepNext/>
      </w:pPr>
      <w:r>
        <w:t>7. Repository and Project Structure</w:t>
      </w:r>
    </w:p>
    <w:p>
      <w:r>
        <w:t>Use one public GitHub repository because it is a required submission artifact. Keep Google Cloud build/deploy configuration in the same repository so the code and architecture are reproducible.</w:t>
      </w:r>
    </w:p>
    <w:tbl>
      <w:tblPr>
        <w:tblStyle w:val="TableGrid"/>
        <w:tblW w:type="auto" w:w="0"/>
        <w:tblLook w:firstColumn="1" w:firstRow="1" w:lastColumn="0" w:lastRow="0" w:noHBand="0" w:noVBand="1" w:val="04A0"/>
      </w:tblPr>
      <w:tblGrid>
        <w:gridCol w:w="10080"/>
      </w:tblGrid>
      <w:tr>
        <w:tc>
          <w:tcPr>
            <w:tcW w:type="dxa" w:w="10080"/>
            <w:shd w:fill="F5F5F5"/>
          </w:tcPr>
          <w:p>
            <w:r>
              <w:t>carbonlens/</w:t>
              <w:br/>
              <w:t>├── apps/</w:t>
              <w:br/>
              <w:t>│   └── carbonlens_flutter/</w:t>
              <w:br/>
              <w:t>├── services/</w:t>
              <w:br/>
              <w:t>│   └── carbonlens_api/</w:t>
              <w:br/>
              <w:t>│       ├── domains/go_green_product/</w:t>
              <w:br/>
              <w:t>│       ├── domains/green_move/</w:t>
              <w:br/>
              <w:t>│       ├── domains/grow_green/</w:t>
              <w:br/>
              <w:t>│       ├── domains/recycle_red/</w:t>
              <w:br/>
              <w:t>│       ├── trust/</w:t>
              <w:br/>
              <w:t>│       └── rewards/</w:t>
              <w:br/>
              <w:t>├── data/</w:t>
              <w:br/>
              <w:t>│   ├── emission_factors/</w:t>
              <w:br/>
              <w:t>│   ├── product_catalog/</w:t>
              <w:br/>
              <w:t>│   ├── reward_policies/</w:t>
              <w:br/>
              <w:t>│   └── verified_recyclers/</w:t>
              <w:br/>
              <w:t>├── bigquery/</w:t>
              <w:br/>
              <w:t>├── firebase/</w:t>
              <w:br/>
              <w:t>├── cloudbuild/</w:t>
              <w:br/>
              <w:t>├── docs/</w:t>
              <w:br/>
              <w:t>├── testdata/</w:t>
              <w:br/>
              <w:t>└── README.md</w:t>
            </w:r>
          </w:p>
        </w:tc>
      </w:tr>
    </w:tbl>
    <w:p>
      <w:pPr>
        <w:pStyle w:val="ListBullet"/>
        <w:spacing w:after="40"/>
      </w:pPr>
      <w:r>
        <w:t>Protect main with pull-request review when working as a team.</w:t>
      </w:r>
    </w:p>
    <w:p>
      <w:pPr>
        <w:pStyle w:val="ListBullet"/>
        <w:spacing w:after="40"/>
      </w:pPr>
      <w:r>
        <w:t>Do not store Firebase service account keys or API keys in GitHub. Prefer workload identity/service accounts and Secret Manager.</w:t>
      </w:r>
    </w:p>
    <w:p>
      <w:pPr>
        <w:pStyle w:val="ListBullet"/>
        <w:spacing w:after="40"/>
      </w:pPr>
      <w:r>
        <w:t>Commit test fixtures only when they contain no personal information.</w:t>
      </w:r>
    </w:p>
    <w:p>
      <w:pPr>
        <w:pStyle w:val="ListBullet"/>
        <w:spacing w:after="40"/>
      </w:pPr>
      <w:r>
        <w:t>Document every dataset source and factor version in /data and README.</w:t>
      </w:r>
    </w:p>
    <w:p>
      <w:pPr>
        <w:pStyle w:val="Heading1"/>
        <w:keepNext/>
      </w:pPr>
      <w:r>
        <w:t>8. Google Cloud/Firebase Foundation Setup</w:t>
      </w:r>
    </w:p>
    <w:p>
      <w:pPr>
        <w:spacing w:after="40"/>
        <w:ind w:left="259" w:hanging="259"/>
      </w:pPr>
      <w:r>
        <w:rPr>
          <w:b/>
        </w:rPr>
        <w:t xml:space="preserve">1. </w:t>
      </w:r>
      <w:r>
        <w:rPr>
          <w:b/>
        </w:rPr>
        <w:t xml:space="preserve">Create one Google Cloud project for the hackathon. </w:t>
      </w:r>
      <w:r>
        <w:t>Use a clear project ID such as carbonlens-japac-2026. If quota/billing permits and the team is comfortable, create a second production project later; do not block Oct 7 on multi-project separation.</w:t>
      </w:r>
    </w:p>
    <w:p>
      <w:pPr>
        <w:spacing w:after="40"/>
        <w:ind w:left="259" w:hanging="259"/>
      </w:pPr>
      <w:r>
        <w:rPr>
          <w:b/>
        </w:rPr>
        <w:t xml:space="preserve">2. </w:t>
      </w:r>
      <w:r>
        <w:rPr>
          <w:b/>
        </w:rPr>
        <w:t xml:space="preserve">Attach Firebase to the same project. </w:t>
      </w:r>
      <w:r>
        <w:t>Register Web and Android apps; configure Firebase Authentication, Firestore, Storage, Hosting and App Check.</w:t>
      </w:r>
    </w:p>
    <w:p>
      <w:pPr>
        <w:spacing w:after="40"/>
        <w:ind w:left="259" w:hanging="259"/>
      </w:pPr>
      <w:r>
        <w:rPr>
          <w:b/>
        </w:rPr>
        <w:t xml:space="preserve">3. </w:t>
      </w:r>
      <w:r>
        <w:rPr>
          <w:b/>
        </w:rPr>
        <w:t xml:space="preserve">Enable APIs. </w:t>
      </w:r>
      <w:r>
        <w:t>Cloud Run, Artifact Registry, Cloud Build, Vertex AI, Vision, Document AI, BigQuery, Pub/Sub, Secret Manager, Logging, Monitoring, Maps Routes only if used.</w:t>
      </w:r>
    </w:p>
    <w:p>
      <w:pPr>
        <w:spacing w:after="40"/>
        <w:ind w:left="259" w:hanging="259"/>
      </w:pPr>
      <w:r>
        <w:rPr>
          <w:b/>
        </w:rPr>
        <w:t xml:space="preserve">4. </w:t>
      </w:r>
      <w:r>
        <w:rPr>
          <w:b/>
        </w:rPr>
        <w:t xml:space="preserve">Create service identities. </w:t>
      </w:r>
      <w:r>
        <w:t>At minimum: carbonlens-api-runtime and carbonlens-build. Grant least privilege; avoid Project Owner/Editor for runtime services.</w:t>
      </w:r>
    </w:p>
    <w:p>
      <w:pPr>
        <w:spacing w:after="40"/>
        <w:ind w:left="259" w:hanging="259"/>
      </w:pPr>
      <w:r>
        <w:rPr>
          <w:b/>
        </w:rPr>
        <w:t xml:space="preserve">5. </w:t>
      </w:r>
      <w:r>
        <w:rPr>
          <w:b/>
        </w:rPr>
        <w:t xml:space="preserve">Create Artifact Registry. </w:t>
      </w:r>
      <w:r>
        <w:t>Repository for the Cloud Run backend image.</w:t>
      </w:r>
    </w:p>
    <w:p>
      <w:pPr>
        <w:spacing w:after="40"/>
        <w:ind w:left="259" w:hanging="259"/>
      </w:pPr>
      <w:r>
        <w:rPr>
          <w:b/>
        </w:rPr>
        <w:t xml:space="preserve">6. </w:t>
      </w:r>
      <w:r>
        <w:rPr>
          <w:b/>
        </w:rPr>
        <w:t xml:space="preserve">Create BigQuery datasets. </w:t>
      </w:r>
      <w:r>
        <w:t>carbonlens_reference for factors/catalog data and carbonlens_analytics for events/summaries.</w:t>
      </w:r>
    </w:p>
    <w:p>
      <w:pPr>
        <w:spacing w:after="40"/>
        <w:ind w:left="259" w:hanging="259"/>
      </w:pPr>
      <w:r>
        <w:rPr>
          <w:b/>
        </w:rPr>
        <w:t xml:space="preserve">7. </w:t>
      </w:r>
      <w:r>
        <w:rPr>
          <w:b/>
        </w:rPr>
        <w:t xml:space="preserve">Create Storage buckets. </w:t>
      </w:r>
      <w:r>
        <w:t>Private scan-evidence bucket with lifecycle deletion and a separate public/demo-assets location if needed.</w:t>
      </w:r>
    </w:p>
    <w:p>
      <w:pPr>
        <w:spacing w:after="40"/>
        <w:ind w:left="259" w:hanging="259"/>
      </w:pPr>
      <w:r>
        <w:rPr>
          <w:b/>
        </w:rPr>
        <w:t xml:space="preserve">8. </w:t>
      </w:r>
      <w:r>
        <w:rPr>
          <w:b/>
        </w:rPr>
        <w:t xml:space="preserve">Bootstrap Cloud Run. </w:t>
      </w:r>
      <w:r>
        <w:t>Deploy /health and /version endpoints before feature development.</w:t>
      </w:r>
    </w:p>
    <w:p>
      <w:pPr>
        <w:spacing w:after="40"/>
        <w:ind w:left="259" w:hanging="259"/>
      </w:pPr>
      <w:r>
        <w:rPr>
          <w:b/>
        </w:rPr>
        <w:t xml:space="preserve">9. </w:t>
      </w:r>
      <w:r>
        <w:rPr>
          <w:b/>
        </w:rPr>
        <w:t xml:space="preserve">Bootstrap Firebase Hosting. </w:t>
      </w:r>
      <w:r>
        <w:t>Deploy Flutter shell with a visible build/version label.</w:t>
      </w:r>
    </w:p>
    <w:p>
      <w:pPr>
        <w:spacing w:after="40"/>
        <w:ind w:left="259" w:hanging="259"/>
      </w:pPr>
      <w:r>
        <w:rPr>
          <w:b/>
        </w:rPr>
        <w:t xml:space="preserve">10. </w:t>
      </w:r>
      <w:r>
        <w:rPr>
          <w:b/>
        </w:rPr>
        <w:t xml:space="preserve">Configure Cloud Build. </w:t>
      </w:r>
      <w:r>
        <w:t>Connect the mandatory GitHub repository; build backend and frontend from main branch. Do not use GitHub Actions.</w:t>
      </w:r>
    </w:p>
    <w:p>
      <w:pPr>
        <w:pStyle w:val="Heading1"/>
        <w:keepNext/>
      </w:pPr>
      <w:r>
        <w:t>9. Day-by-Day Execution Plan: Oct 7-18</w:t>
      </w:r>
    </w:p>
    <w:p>
      <w:pPr>
        <w:jc w:val="center"/>
      </w:pPr>
      <w:r>
        <w:drawing>
          <wp:inline xmlns:a="http://schemas.openxmlformats.org/drawingml/2006/main" xmlns:pic="http://schemas.openxmlformats.org/drawingml/2006/picture">
            <wp:extent cx="6400800" cy="2948309"/>
            <wp:docPr id="8" name="Picture 8"/>
            <wp:cNvGraphicFramePr>
              <a:graphicFrameLocks noChangeAspect="1"/>
            </wp:cNvGraphicFramePr>
            <a:graphic>
              <a:graphicData uri="http://schemas.openxmlformats.org/drawingml/2006/picture">
                <pic:pic>
                  <pic:nvPicPr>
                    <pic:cNvPr id="0" name="roadmap.png"/>
                    <pic:cNvPicPr/>
                  </pic:nvPicPr>
                  <pic:blipFill>
                    <a:blip r:embed="rId18"/>
                    <a:stretch>
                      <a:fillRect/>
                    </a:stretch>
                  </pic:blipFill>
                  <pic:spPr>
                    <a:xfrm>
                      <a:off x="0" y="0"/>
                      <a:ext cx="6400800" cy="2948309"/>
                    </a:xfrm>
                    <a:prstGeom prst="rect"/>
                  </pic:spPr>
                </pic:pic>
              </a:graphicData>
            </a:graphic>
          </wp:inline>
        </w:drawing>
      </w:r>
    </w:p>
    <w:p>
      <w:pPr>
        <w:pStyle w:val="Caption"/>
        <w:jc w:val="center"/>
      </w:pPr>
      <w:r>
        <w:t>Figure 8 - Delivery roadmap and two critical gates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893"/>
            <w:vAlign w:val="center"/>
            <w:shd w:fill="1B5E20"/>
          </w:tcPr>
          <w:p>
            <w:pPr>
              <w:jc w:val="center"/>
            </w:pPr>
            <w:r/>
            <w:r>
              <w:rPr>
                <w:rFonts w:ascii="Aptos" w:hAnsi="Aptos"/>
                <w:b/>
                <w:color w:val="FFFFFF"/>
                <w:sz w:val="13"/>
              </w:rPr>
              <w:t>Date</w:t>
            </w:r>
          </w:p>
        </w:tc>
        <w:tc>
          <w:tcPr>
            <w:tcW w:type="dxa" w:w="1728"/>
            <w:vAlign w:val="center"/>
            <w:shd w:fill="1B5E20"/>
          </w:tcPr>
          <w:p>
            <w:pPr>
              <w:jc w:val="center"/>
            </w:pPr>
            <w:r/>
            <w:r>
              <w:rPr>
                <w:rFonts w:ascii="Aptos" w:hAnsi="Aptos"/>
                <w:b/>
                <w:color w:val="FFFFFF"/>
                <w:sz w:val="13"/>
              </w:rPr>
              <w:t>Target</w:t>
            </w:r>
          </w:p>
        </w:tc>
        <w:tc>
          <w:tcPr>
            <w:tcW w:type="dxa" w:w="4032"/>
            <w:vAlign w:val="center"/>
            <w:shd w:fill="1B5E20"/>
          </w:tcPr>
          <w:p>
            <w:pPr>
              <w:jc w:val="center"/>
            </w:pPr>
            <w:r/>
            <w:r>
              <w:rPr>
                <w:rFonts w:ascii="Aptos" w:hAnsi="Aptos"/>
                <w:b/>
                <w:color w:val="FFFFFF"/>
                <w:sz w:val="13"/>
              </w:rPr>
              <w:t>Detailed engineering work</w:t>
            </w:r>
          </w:p>
        </w:tc>
        <w:tc>
          <w:tcPr>
            <w:tcW w:type="dxa" w:w="2880"/>
            <w:vAlign w:val="center"/>
            <w:shd w:fill="1B5E20"/>
          </w:tcPr>
          <w:p>
            <w:pPr>
              <w:jc w:val="center"/>
            </w:pPr>
            <w:r/>
            <w:r>
              <w:rPr>
                <w:rFonts w:ascii="Aptos" w:hAnsi="Aptos"/>
                <w:b/>
                <w:color w:val="FFFFFF"/>
                <w:sz w:val="13"/>
              </w:rPr>
              <w:t>Exit / acceptance criteria</w:t>
            </w:r>
          </w:p>
        </w:tc>
        <w:tc>
          <w:tcPr>
            <w:tcW w:type="dxa" w:w="1728"/>
            <w:vAlign w:val="center"/>
            <w:shd w:fill="1B5E20"/>
          </w:tcPr>
          <w:p>
            <w:pPr>
              <w:jc w:val="center"/>
            </w:pPr>
            <w:r/>
            <w:r>
              <w:rPr>
                <w:rFonts w:ascii="Aptos" w:hAnsi="Aptos"/>
                <w:b/>
                <w:color w:val="FFFFFF"/>
                <w:sz w:val="13"/>
              </w:rPr>
              <w:t>Guardrail</w:t>
            </w:r>
          </w:p>
        </w:tc>
      </w:tr>
      <w:tr>
        <w:tc>
          <w:tcPr>
            <w:tcW w:type="dxa" w:w="893"/>
            <w:vAlign w:val="center"/>
          </w:tcPr>
          <w:p>
            <w:r/>
            <w:r>
              <w:rPr>
                <w:rFonts w:ascii="Aptos" w:hAnsi="Aptos"/>
                <w:b w:val="0"/>
                <w:sz w:val="13"/>
              </w:rPr>
              <w:t>Oct 7</w:t>
            </w:r>
          </w:p>
        </w:tc>
        <w:tc>
          <w:tcPr>
            <w:tcW w:type="dxa" w:w="1728"/>
            <w:vAlign w:val="center"/>
          </w:tcPr>
          <w:p>
            <w:r/>
            <w:r>
              <w:rPr>
                <w:rFonts w:ascii="Aptos" w:hAnsi="Aptos"/>
                <w:b w:val="0"/>
                <w:sz w:val="13"/>
              </w:rPr>
              <w:t>Foundation + skeleton</w:t>
            </w:r>
          </w:p>
        </w:tc>
        <w:tc>
          <w:tcPr>
            <w:tcW w:type="dxa" w:w="4032"/>
            <w:vAlign w:val="center"/>
          </w:tcPr>
          <w:p>
            <w:r/>
            <w:r>
              <w:rPr>
                <w:rFonts w:ascii="Aptos" w:hAnsi="Aptos"/>
                <w:b w:val="0"/>
                <w:sz w:val="13"/>
              </w:rPr>
              <w:t>Create GitHub repo; GCP/Firebase project; enable APIs; Flutter shell; routing/navigation; Cloud Run /health; Firestore skeleton; Cloud Build/Artifact Registry; Firebase Hosting first deploy.</w:t>
            </w:r>
          </w:p>
        </w:tc>
        <w:tc>
          <w:tcPr>
            <w:tcW w:type="dxa" w:w="2880"/>
            <w:vAlign w:val="center"/>
          </w:tcPr>
          <w:p>
            <w:r/>
            <w:r>
              <w:rPr>
                <w:rFonts w:ascii="Aptos" w:hAnsi="Aptos"/>
                <w:b w:val="0"/>
                <w:sz w:val="13"/>
              </w:rPr>
              <w:t>Public placeholder URL works; /health returns 200; commits build; project IDs/API list documented.</w:t>
            </w:r>
          </w:p>
        </w:tc>
        <w:tc>
          <w:tcPr>
            <w:tcW w:type="dxa" w:w="1728"/>
            <w:vAlign w:val="center"/>
          </w:tcPr>
          <w:p>
            <w:r/>
            <w:r>
              <w:rPr>
                <w:rFonts w:ascii="Aptos" w:hAnsi="Aptos"/>
                <w:b w:val="0"/>
                <w:sz w:val="13"/>
              </w:rPr>
              <w:t>Do not build all UI pages yet.</w:t>
            </w:r>
          </w:p>
        </w:tc>
      </w:tr>
      <w:tr>
        <w:tc>
          <w:tcPr>
            <w:tcW w:type="dxa" w:w="893"/>
            <w:vAlign w:val="center"/>
            <w:shd w:fill="F7F9F9"/>
          </w:tcPr>
          <w:p>
            <w:r/>
            <w:r>
              <w:rPr>
                <w:rFonts w:ascii="Aptos" w:hAnsi="Aptos"/>
                <w:b w:val="0"/>
                <w:sz w:val="13"/>
              </w:rPr>
              <w:t>Oct 8</w:t>
            </w:r>
          </w:p>
        </w:tc>
        <w:tc>
          <w:tcPr>
            <w:tcW w:type="dxa" w:w="1728"/>
            <w:vAlign w:val="center"/>
            <w:shd w:fill="F7F9F9"/>
          </w:tcPr>
          <w:p>
            <w:r/>
            <w:r>
              <w:rPr>
                <w:rFonts w:ascii="Aptos" w:hAnsi="Aptos"/>
                <w:b w:val="0"/>
                <w:sz w:val="13"/>
              </w:rPr>
              <w:t>Firebase + frontend</w:t>
            </w:r>
          </w:p>
        </w:tc>
        <w:tc>
          <w:tcPr>
            <w:tcW w:type="dxa" w:w="4032"/>
            <w:vAlign w:val="center"/>
            <w:shd w:fill="F7F9F9"/>
          </w:tcPr>
          <w:p>
            <w:r/>
            <w:r>
              <w:rPr>
                <w:rFonts w:ascii="Aptos" w:hAnsi="Aptos"/>
                <w:b w:val="0"/>
                <w:sz w:val="13"/>
              </w:rPr>
              <w:t>Firebase Auth Google/email; consent model; protected routes; dashboard cards with seeded data; camera/file picker shell; error/loading states; App Check integration in debug mode.</w:t>
            </w:r>
          </w:p>
        </w:tc>
        <w:tc>
          <w:tcPr>
            <w:tcW w:type="dxa" w:w="2880"/>
            <w:vAlign w:val="center"/>
            <w:shd w:fill="F7F9F9"/>
          </w:tcPr>
          <w:p>
            <w:r/>
            <w:r>
              <w:rPr>
                <w:rFonts w:ascii="Aptos" w:hAnsi="Aptos"/>
                <w:b w:val="0"/>
                <w:sz w:val="13"/>
              </w:rPr>
              <w:t>User can sign in, record consent and see dashboard in web + Android emulator/device.</w:t>
            </w:r>
          </w:p>
        </w:tc>
        <w:tc>
          <w:tcPr>
            <w:tcW w:type="dxa" w:w="1728"/>
            <w:vAlign w:val="center"/>
            <w:shd w:fill="F7F9F9"/>
          </w:tcPr>
          <w:p>
            <w:r/>
            <w:r>
              <w:rPr>
                <w:rFonts w:ascii="Aptos" w:hAnsi="Aptos"/>
                <w:b w:val="0"/>
                <w:sz w:val="13"/>
              </w:rPr>
              <w:t>Use seeded results; no science claims yet.</w:t>
            </w:r>
          </w:p>
        </w:tc>
      </w:tr>
      <w:tr>
        <w:tc>
          <w:tcPr>
            <w:tcW w:type="dxa" w:w="893"/>
            <w:vAlign w:val="center"/>
          </w:tcPr>
          <w:p>
            <w:r/>
            <w:r>
              <w:rPr>
                <w:rFonts w:ascii="Aptos" w:hAnsi="Aptos"/>
                <w:b w:val="0"/>
                <w:sz w:val="13"/>
              </w:rPr>
              <w:t>Oct 9</w:t>
            </w:r>
          </w:p>
        </w:tc>
        <w:tc>
          <w:tcPr>
            <w:tcW w:type="dxa" w:w="1728"/>
            <w:vAlign w:val="center"/>
          </w:tcPr>
          <w:p>
            <w:r/>
            <w:r>
              <w:rPr>
                <w:rFonts w:ascii="Aptos" w:hAnsi="Aptos"/>
                <w:b w:val="0"/>
                <w:sz w:val="13"/>
              </w:rPr>
              <w:t>Cloud Run backend</w:t>
            </w:r>
          </w:p>
        </w:tc>
        <w:tc>
          <w:tcPr>
            <w:tcW w:type="dxa" w:w="4032"/>
            <w:vAlign w:val="center"/>
          </w:tcPr>
          <w:p>
            <w:r/>
            <w:r>
              <w:rPr>
                <w:rFonts w:ascii="Aptos" w:hAnsi="Aptos"/>
                <w:b w:val="0"/>
                <w:sz w:val="13"/>
              </w:rPr>
              <w:t>Implement /v1/me, /consents, /scans, /products, /wallet; verify Firebase ID token/App Check; Firestore persistence; trace/request IDs; Secret Manager; Logging.</w:t>
            </w:r>
          </w:p>
        </w:tc>
        <w:tc>
          <w:tcPr>
            <w:tcW w:type="dxa" w:w="2880"/>
            <w:vAlign w:val="center"/>
          </w:tcPr>
          <w:p>
            <w:r/>
            <w:r>
              <w:rPr>
                <w:rFonts w:ascii="Aptos" w:hAnsi="Aptos"/>
                <w:b w:val="0"/>
                <w:sz w:val="13"/>
              </w:rPr>
              <w:t>Authenticated Flutter client calls deployed Cloud Run; data persists per user.</w:t>
            </w:r>
          </w:p>
        </w:tc>
        <w:tc>
          <w:tcPr>
            <w:tcW w:type="dxa" w:w="1728"/>
            <w:vAlign w:val="center"/>
          </w:tcPr>
          <w:p>
            <w:r/>
            <w:r>
              <w:rPr>
                <w:rFonts w:ascii="Aptos" w:hAnsi="Aptos"/>
                <w:b w:val="0"/>
                <w:sz w:val="13"/>
              </w:rPr>
              <w:t>One API service is enough.</w:t>
            </w:r>
          </w:p>
        </w:tc>
      </w:tr>
      <w:tr>
        <w:tc>
          <w:tcPr>
            <w:tcW w:type="dxa" w:w="893"/>
            <w:vAlign w:val="center"/>
            <w:shd w:fill="F7F9F9"/>
          </w:tcPr>
          <w:p>
            <w:r/>
            <w:r>
              <w:rPr>
                <w:rFonts w:ascii="Aptos" w:hAnsi="Aptos"/>
                <w:b w:val="0"/>
                <w:sz w:val="13"/>
              </w:rPr>
              <w:t>Oct 10</w:t>
            </w:r>
          </w:p>
        </w:tc>
        <w:tc>
          <w:tcPr>
            <w:tcW w:type="dxa" w:w="1728"/>
            <w:vAlign w:val="center"/>
            <w:shd w:fill="F7F9F9"/>
          </w:tcPr>
          <w:p>
            <w:r/>
            <w:r>
              <w:rPr>
                <w:rFonts w:ascii="Aptos" w:hAnsi="Aptos"/>
                <w:b w:val="0"/>
                <w:sz w:val="13"/>
              </w:rPr>
              <w:t>Gemini / Vertex AI</w:t>
            </w:r>
          </w:p>
        </w:tc>
        <w:tc>
          <w:tcPr>
            <w:tcW w:type="dxa" w:w="4032"/>
            <w:vAlign w:val="center"/>
            <w:shd w:fill="F7F9F9"/>
          </w:tcPr>
          <w:p>
            <w:r/>
            <w:r>
              <w:rPr>
                <w:rFonts w:ascii="Aptos" w:hAnsi="Aptos"/>
                <w:b w:val="0"/>
                <w:sz w:val="13"/>
              </w:rPr>
              <w:t>Create AI Orchestrator; Gemini 2.5 Flash; structured response schema; prompts with system rules; deterministic fallback; test product explanation and greener alternative from seeded structured facts.</w:t>
            </w:r>
          </w:p>
        </w:tc>
        <w:tc>
          <w:tcPr>
            <w:tcW w:type="dxa" w:w="2880"/>
            <w:vAlign w:val="center"/>
            <w:shd w:fill="F7F9F9"/>
          </w:tcPr>
          <w:p>
            <w:r/>
            <w:r>
              <w:rPr>
                <w:rFonts w:ascii="Aptos" w:hAnsi="Aptos"/>
                <w:b w:val="0"/>
                <w:sz w:val="13"/>
              </w:rPr>
              <w:t>Gemini returns validated JSON grounded in CarbonLens-provided data; no AI-generated carbon number.</w:t>
            </w:r>
          </w:p>
        </w:tc>
        <w:tc>
          <w:tcPr>
            <w:tcW w:type="dxa" w:w="1728"/>
            <w:vAlign w:val="center"/>
            <w:shd w:fill="F7F9F9"/>
          </w:tcPr>
          <w:p>
            <w:r/>
            <w:r>
              <w:rPr>
                <w:rFonts w:ascii="Aptos" w:hAnsi="Aptos"/>
                <w:b w:val="0"/>
                <w:sz w:val="13"/>
              </w:rPr>
              <w:t>If model fails, user still sees deterministic result.</w:t>
            </w:r>
          </w:p>
        </w:tc>
      </w:tr>
      <w:tr>
        <w:tc>
          <w:tcPr>
            <w:tcW w:type="dxa" w:w="893"/>
            <w:vAlign w:val="center"/>
          </w:tcPr>
          <w:p>
            <w:r/>
            <w:r>
              <w:rPr>
                <w:rFonts w:ascii="Aptos" w:hAnsi="Aptos"/>
                <w:b w:val="0"/>
                <w:sz w:val="13"/>
              </w:rPr>
              <w:t>Oct 11</w:t>
            </w:r>
          </w:p>
        </w:tc>
        <w:tc>
          <w:tcPr>
            <w:tcW w:type="dxa" w:w="1728"/>
            <w:vAlign w:val="center"/>
          </w:tcPr>
          <w:p>
            <w:r/>
            <w:r>
              <w:rPr>
                <w:rFonts w:ascii="Aptos" w:hAnsi="Aptos"/>
                <w:b w:val="0"/>
                <w:sz w:val="13"/>
              </w:rPr>
              <w:t>E2E gate + team freeze</w:t>
            </w:r>
          </w:p>
        </w:tc>
        <w:tc>
          <w:tcPr>
            <w:tcW w:type="dxa" w:w="4032"/>
            <w:vAlign w:val="center"/>
          </w:tcPr>
          <w:p>
            <w:r/>
            <w:r>
              <w:rPr>
                <w:rFonts w:ascii="Aptos" w:hAnsi="Aptos"/>
                <w:b w:val="0"/>
                <w:sz w:val="13"/>
              </w:rPr>
              <w:t>Join login → sample product evidence → seeded factor lookup → carbon/score → Gemini → GP → dashboard. Finalize owners/workstreams and demo contract.</w:t>
            </w:r>
          </w:p>
        </w:tc>
        <w:tc>
          <w:tcPr>
            <w:tcW w:type="dxa" w:w="2880"/>
            <w:vAlign w:val="center"/>
          </w:tcPr>
          <w:p>
            <w:r/>
            <w:r>
              <w:rPr>
                <w:rFonts w:ascii="Aptos" w:hAnsi="Aptos"/>
                <w:b w:val="0"/>
                <w:sz w:val="13"/>
              </w:rPr>
              <w:t>A 2-minute E2E flow works against deployed Google services even if product identification is still seeded.</w:t>
            </w:r>
          </w:p>
        </w:tc>
        <w:tc>
          <w:tcPr>
            <w:tcW w:type="dxa" w:w="1728"/>
            <w:vAlign w:val="center"/>
          </w:tcPr>
          <w:p>
            <w:r/>
            <w:r>
              <w:rPr>
                <w:rFonts w:ascii="Aptos" w:hAnsi="Aptos"/>
                <w:b w:val="0"/>
                <w:sz w:val="13"/>
              </w:rPr>
              <w:t>This is the schedule-protection gate.</w:t>
            </w:r>
          </w:p>
        </w:tc>
      </w:tr>
      <w:tr>
        <w:tc>
          <w:tcPr>
            <w:tcW w:type="dxa" w:w="893"/>
            <w:vAlign w:val="center"/>
            <w:shd w:fill="F7F9F9"/>
          </w:tcPr>
          <w:p>
            <w:r/>
            <w:r>
              <w:rPr>
                <w:rFonts w:ascii="Aptos" w:hAnsi="Aptos"/>
                <w:b w:val="0"/>
                <w:sz w:val="13"/>
              </w:rPr>
              <w:t>Oct 12</w:t>
            </w:r>
          </w:p>
        </w:tc>
        <w:tc>
          <w:tcPr>
            <w:tcW w:type="dxa" w:w="1728"/>
            <w:vAlign w:val="center"/>
            <w:shd w:fill="F7F9F9"/>
          </w:tcPr>
          <w:p>
            <w:r/>
            <w:r>
              <w:rPr>
                <w:rFonts w:ascii="Aptos" w:hAnsi="Aptos"/>
                <w:b w:val="0"/>
                <w:sz w:val="13"/>
              </w:rPr>
              <w:t>Image/product identification</w:t>
            </w:r>
          </w:p>
        </w:tc>
        <w:tc>
          <w:tcPr>
            <w:tcW w:type="dxa" w:w="4032"/>
            <w:vAlign w:val="center"/>
            <w:shd w:fill="F7F9F9"/>
          </w:tcPr>
          <w:p>
            <w:r>
              <w:t>Cloud Storage upload; Vision labels/OCR/barcode evidence; optional Document AI path for receipt; product/category resolver; confidence; image lifecycle; duplicate image hash. Define normalized evidence schemas reusable by Go-Green-Product, Grow-Green and Recycle-Red.</w:t>
            </w:r>
          </w:p>
        </w:tc>
        <w:tc>
          <w:tcPr>
            <w:tcW w:type="dxa" w:w="2880"/>
            <w:vAlign w:val="center"/>
            <w:shd w:fill="F7F9F9"/>
          </w:tcPr>
          <w:p>
            <w:r/>
            <w:r>
              <w:rPr>
                <w:rFonts w:ascii="Aptos" w:hAnsi="Aptos"/>
                <w:b w:val="0"/>
                <w:sz w:val="13"/>
              </w:rPr>
              <w:t>Two or more sample product images resolve to expected category/product; receipt sample extracts core fields.</w:t>
            </w:r>
          </w:p>
        </w:tc>
        <w:tc>
          <w:tcPr>
            <w:tcW w:type="dxa" w:w="1728"/>
            <w:vAlign w:val="center"/>
            <w:shd w:fill="F7F9F9"/>
          </w:tcPr>
          <w:p>
            <w:r/>
            <w:r>
              <w:rPr>
                <w:rFonts w:ascii="Aptos" w:hAnsi="Aptos"/>
                <w:b w:val="0"/>
                <w:sz w:val="13"/>
              </w:rPr>
              <w:t>Prefer reliable curated demo categories over broad recognition.</w:t>
            </w:r>
          </w:p>
        </w:tc>
      </w:tr>
      <w:tr>
        <w:tc>
          <w:tcPr>
            <w:tcW w:type="dxa" w:w="893"/>
            <w:vAlign w:val="center"/>
          </w:tcPr>
          <w:p>
            <w:r/>
            <w:r>
              <w:rPr>
                <w:rFonts w:ascii="Aptos" w:hAnsi="Aptos"/>
                <w:b w:val="0"/>
                <w:sz w:val="13"/>
              </w:rPr>
              <w:t>Oct 13</w:t>
            </w:r>
          </w:p>
        </w:tc>
        <w:tc>
          <w:tcPr>
            <w:tcW w:type="dxa" w:w="1728"/>
            <w:vAlign w:val="center"/>
          </w:tcPr>
          <w:p>
            <w:r/>
            <w:r>
              <w:rPr>
                <w:rFonts w:ascii="Aptos" w:hAnsi="Aptos"/>
                <w:b w:val="0"/>
                <w:sz w:val="13"/>
              </w:rPr>
              <w:t>BigQuery sustainability dataset</w:t>
            </w:r>
          </w:p>
        </w:tc>
        <w:tc>
          <w:tcPr>
            <w:tcW w:type="dxa" w:w="4032"/>
            <w:vAlign w:val="center"/>
          </w:tcPr>
          <w:p>
            <w:r>
              <w:t>Create emission_factors, product_sustainability, factor_versions tables; load curated seed data; provenance fields; partition event tables; BigQuery queries from backend. Add reward_policy/reference tables and a curated verified_recyclers seed dataset.</w:t>
            </w:r>
          </w:p>
        </w:tc>
        <w:tc>
          <w:tcPr>
            <w:tcW w:type="dxa" w:w="2880"/>
            <w:vAlign w:val="center"/>
          </w:tcPr>
          <w:p>
            <w:r/>
            <w:r>
              <w:rPr>
                <w:rFonts w:ascii="Aptos" w:hAnsi="Aptos"/>
                <w:b w:val="0"/>
                <w:sz w:val="13"/>
              </w:rPr>
              <w:t>Carbon Engine reads versioned factors from BigQuery and records factor version/source.</w:t>
            </w:r>
          </w:p>
        </w:tc>
        <w:tc>
          <w:tcPr>
            <w:tcW w:type="dxa" w:w="1728"/>
            <w:vAlign w:val="center"/>
          </w:tcPr>
          <w:p>
            <w:r/>
            <w:r>
              <w:rPr>
                <w:rFonts w:ascii="Aptos" w:hAnsi="Aptos"/>
                <w:b w:val="0"/>
                <w:sz w:val="13"/>
              </w:rPr>
              <w:t>Quality &gt; dataset size.</w:t>
            </w:r>
          </w:p>
        </w:tc>
      </w:tr>
      <w:tr>
        <w:tc>
          <w:tcPr>
            <w:tcW w:type="dxa" w:w="893"/>
            <w:vAlign w:val="center"/>
            <w:shd w:fill="F7F9F9"/>
          </w:tcPr>
          <w:p>
            <w:r/>
            <w:r>
              <w:rPr>
                <w:rFonts w:ascii="Aptos" w:hAnsi="Aptos"/>
                <w:b w:val="0"/>
                <w:sz w:val="13"/>
              </w:rPr>
              <w:t>Oct 14</w:t>
            </w:r>
          </w:p>
        </w:tc>
        <w:tc>
          <w:tcPr>
            <w:tcW w:type="dxa" w:w="1728"/>
            <w:vAlign w:val="center"/>
            <w:shd w:fill="F7F9F9"/>
          </w:tcPr>
          <w:p>
            <w:r/>
            <w:r>
              <w:rPr>
                <w:rFonts w:ascii="Aptos" w:hAnsi="Aptos"/>
                <w:b w:val="0"/>
                <w:sz w:val="13"/>
              </w:rPr>
              <w:t>Green Score + Carbon Engine</w:t>
            </w:r>
          </w:p>
        </w:tc>
        <w:tc>
          <w:tcPr>
            <w:tcW w:type="dxa" w:w="4032"/>
            <w:vAlign w:val="center"/>
            <w:shd w:fill="F7F9F9"/>
          </w:tcPr>
          <w:p>
            <w:r/>
            <w:r>
              <w:rPr>
                <w:rFonts w:ascii="Aptos" w:hAnsi="Aptos"/>
                <w:b w:val="0"/>
                <w:sz w:val="13"/>
              </w:rPr>
              <w:t>Implement deterministic calculator; unit normalization; lifecycle/category rules; Sustainability Score dimensions; confidence A-D; test vectors; separate avoided CO2e.</w:t>
            </w:r>
          </w:p>
        </w:tc>
        <w:tc>
          <w:tcPr>
            <w:tcW w:type="dxa" w:w="2880"/>
            <w:vAlign w:val="center"/>
            <w:shd w:fill="F7F9F9"/>
          </w:tcPr>
          <w:p>
            <w:r/>
            <w:r>
              <w:rPr>
                <w:rFonts w:ascii="Aptos" w:hAnsi="Aptos"/>
                <w:b w:val="0"/>
                <w:sz w:val="13"/>
              </w:rPr>
              <w:t>Same inputs always produce same result; UI shows carbon estimate, score and confidence separately.</w:t>
            </w:r>
          </w:p>
        </w:tc>
        <w:tc>
          <w:tcPr>
            <w:tcW w:type="dxa" w:w="1728"/>
            <w:vAlign w:val="center"/>
            <w:shd w:fill="F7F9F9"/>
          </w:tcPr>
          <w:p>
            <w:r/>
            <w:r>
              <w:rPr>
                <w:rFonts w:ascii="Aptos" w:hAnsi="Aptos"/>
                <w:b w:val="0"/>
                <w:sz w:val="13"/>
              </w:rPr>
              <w:t>Do not ask Gemini to calculate carbon.</w:t>
            </w:r>
          </w:p>
        </w:tc>
      </w:tr>
      <w:tr>
        <w:tc>
          <w:tcPr>
            <w:tcW w:type="dxa" w:w="893"/>
            <w:vAlign w:val="center"/>
          </w:tcPr>
          <w:p>
            <w:r/>
            <w:r>
              <w:rPr>
                <w:rFonts w:ascii="Aptos" w:hAnsi="Aptos"/>
                <w:b w:val="0"/>
                <w:sz w:val="13"/>
              </w:rPr>
              <w:t>Oct 15</w:t>
            </w:r>
          </w:p>
        </w:tc>
        <w:tc>
          <w:tcPr>
            <w:tcW w:type="dxa" w:w="1728"/>
            <w:vAlign w:val="center"/>
          </w:tcPr>
          <w:p>
            <w:r>
              <w:t>Four-pillar reward framework + greener recommendation</w:t>
            </w:r>
          </w:p>
        </w:tc>
        <w:tc>
          <w:tcPr>
            <w:tcW w:type="dxa" w:w="4032"/>
            <w:vAlign w:val="center"/>
          </w:tcPr>
          <w:p>
            <w:r>
              <w:t>Rank curated greener alternatives; implement canonical Trusted Green Event, universal Reward Policy Engine and append-only ledger. Complete Go-Green-Product live reward path. Add thin Green-Move, Grow-Green (plot + check-in + visitor confirmation model) and Recycle-Red (receipt/certificate + recycler registry) paths. Earth Engine may be prepared as optional supporting plot evidence.</w:t>
            </w:r>
          </w:p>
        </w:tc>
        <w:tc>
          <w:tcPr>
            <w:tcW w:type="dxa" w:w="2880"/>
            <w:vAlign w:val="center"/>
          </w:tcPr>
          <w:p>
            <w:r>
              <w:t>All four action types create auditable green_events; Product path is fully live; at least two other segments can be demonstrated with real Google services and curated evidence; duplicate/replay does not double-credit.</w:t>
            </w:r>
          </w:p>
        </w:tc>
        <w:tc>
          <w:tcPr>
            <w:tcW w:type="dxa" w:w="1728"/>
            <w:vAlign w:val="center"/>
          </w:tcPr>
          <w:p>
            <w:r>
              <w:t>Do not hard-code $/tree or let Google Maps/Gemini issue rewards. Reward values are versioned policy decisions.</w:t>
            </w:r>
          </w:p>
        </w:tc>
      </w:tr>
      <w:tr>
        <w:tc>
          <w:tcPr>
            <w:tcW w:type="dxa" w:w="893"/>
            <w:vAlign w:val="center"/>
            <w:shd w:fill="F7F9F9"/>
          </w:tcPr>
          <w:p>
            <w:r/>
            <w:r>
              <w:rPr>
                <w:rFonts w:ascii="Aptos" w:hAnsi="Aptos"/>
                <w:b w:val="0"/>
                <w:sz w:val="13"/>
              </w:rPr>
              <w:t>Oct 16</w:t>
            </w:r>
          </w:p>
        </w:tc>
        <w:tc>
          <w:tcPr>
            <w:tcW w:type="dxa" w:w="1728"/>
            <w:vAlign w:val="center"/>
            <w:shd w:fill="F7F9F9"/>
          </w:tcPr>
          <w:p>
            <w:r/>
            <w:r>
              <w:rPr>
                <w:rFonts w:ascii="Aptos" w:hAnsi="Aptos"/>
                <w:b w:val="0"/>
                <w:sz w:val="13"/>
              </w:rPr>
              <w:t>UI polish + testing + public deploy</w:t>
            </w:r>
          </w:p>
        </w:tc>
        <w:tc>
          <w:tcPr>
            <w:tcW w:type="dxa" w:w="4032"/>
            <w:vAlign w:val="center"/>
            <w:shd w:fill="F7F9F9"/>
          </w:tcPr>
          <w:p>
            <w:r>
              <w:t>Responsive Flutter web; Android build; App Check enforcement; Firestore/Storage rules; error states; Cloud Monitoring dashboard/alerts; performance/cost smoke tests; production Firebase/Cloud Run deploy. Test reward state transitions, Grow-Green location privacy and Recycle-Red duplicate certificate protection.</w:t>
            </w:r>
          </w:p>
        </w:tc>
        <w:tc>
          <w:tcPr>
            <w:tcW w:type="dxa" w:w="2880"/>
            <w:vAlign w:val="center"/>
            <w:shd w:fill="F7F9F9"/>
          </w:tcPr>
          <w:p>
            <w:r/>
            <w:r>
              <w:rPr>
                <w:rFonts w:ascii="Aptos" w:hAnsi="Aptos"/>
                <w:b w:val="0"/>
                <w:sz w:val="13"/>
              </w:rPr>
              <w:t>Public URL stable; clean demo account; no secrets/PII in logs; submission code freeze.</w:t>
            </w:r>
          </w:p>
        </w:tc>
        <w:tc>
          <w:tcPr>
            <w:tcW w:type="dxa" w:w="1728"/>
            <w:vAlign w:val="center"/>
            <w:shd w:fill="F7F9F9"/>
          </w:tcPr>
          <w:p>
            <w:r/>
            <w:r>
              <w:rPr>
                <w:rFonts w:ascii="Aptos" w:hAnsi="Aptos"/>
                <w:b w:val="0"/>
                <w:sz w:val="13"/>
              </w:rPr>
              <w:t>Stop adding features after freeze.</w:t>
            </w:r>
          </w:p>
        </w:tc>
      </w:tr>
      <w:tr>
        <w:tc>
          <w:tcPr>
            <w:tcW w:type="dxa" w:w="893"/>
            <w:vAlign w:val="center"/>
          </w:tcPr>
          <w:p>
            <w:r/>
            <w:r>
              <w:rPr>
                <w:rFonts w:ascii="Aptos" w:hAnsi="Aptos"/>
                <w:b w:val="0"/>
                <w:sz w:val="13"/>
              </w:rPr>
              <w:t>Oct 17</w:t>
            </w:r>
          </w:p>
        </w:tc>
        <w:tc>
          <w:tcPr>
            <w:tcW w:type="dxa" w:w="1728"/>
            <w:vAlign w:val="center"/>
          </w:tcPr>
          <w:p>
            <w:r/>
            <w:r>
              <w:rPr>
                <w:rFonts w:ascii="Aptos" w:hAnsi="Aptos"/>
                <w:b w:val="0"/>
                <w:sz w:val="13"/>
              </w:rPr>
              <w:t>PPT/PDF + architecture + video + README</w:t>
            </w:r>
          </w:p>
        </w:tc>
        <w:tc>
          <w:tcPr>
            <w:tcW w:type="dxa" w:w="4032"/>
            <w:vAlign w:val="center"/>
          </w:tcPr>
          <w:p>
            <w:r/>
            <w:r>
              <w:rPr>
                <w:rFonts w:ascii="Aptos" w:hAnsi="Aptos"/>
                <w:b w:val="0"/>
                <w:sz w:val="13"/>
              </w:rPr>
              <w:t>Finalize architecture images; README setup/usage/limitations; screenshots; 2-3 minute demo video; PPT/PDF; GitHub cleanup; issue list; credits/data sources.</w:t>
            </w:r>
          </w:p>
        </w:tc>
        <w:tc>
          <w:tcPr>
            <w:tcW w:type="dxa" w:w="2880"/>
            <w:vAlign w:val="center"/>
          </w:tcPr>
          <w:p>
            <w:r/>
            <w:r>
              <w:rPr>
                <w:rFonts w:ascii="Aptos" w:hAnsi="Aptos"/>
                <w:b w:val="0"/>
                <w:sz w:val="13"/>
              </w:rPr>
              <w:t>All submission artifacts open without private permissions; demo video matches deployed build.</w:t>
            </w:r>
          </w:p>
        </w:tc>
        <w:tc>
          <w:tcPr>
            <w:tcW w:type="dxa" w:w="1728"/>
            <w:vAlign w:val="center"/>
          </w:tcPr>
          <w:p>
            <w:r/>
            <w:r>
              <w:rPr>
                <w:rFonts w:ascii="Aptos" w:hAnsi="Aptos"/>
                <w:b w:val="0"/>
                <w:sz w:val="13"/>
              </w:rPr>
              <w:t>Rehearse from a fresh browser/device.</w:t>
            </w:r>
          </w:p>
        </w:tc>
      </w:tr>
      <w:tr>
        <w:tc>
          <w:tcPr>
            <w:tcW w:type="dxa" w:w="893"/>
            <w:vAlign w:val="center"/>
            <w:shd w:fill="F7F9F9"/>
          </w:tcPr>
          <w:p>
            <w:r/>
            <w:r>
              <w:rPr>
                <w:rFonts w:ascii="Aptos" w:hAnsi="Aptos"/>
                <w:b w:val="0"/>
                <w:sz w:val="13"/>
              </w:rPr>
              <w:t>Oct 18</w:t>
            </w:r>
          </w:p>
        </w:tc>
        <w:tc>
          <w:tcPr>
            <w:tcW w:type="dxa" w:w="1728"/>
            <w:vAlign w:val="center"/>
            <w:shd w:fill="F7F9F9"/>
          </w:tcPr>
          <w:p>
            <w:r/>
            <w:r>
              <w:rPr>
                <w:rFonts w:ascii="Aptos" w:hAnsi="Aptos"/>
                <w:b w:val="0"/>
                <w:sz w:val="13"/>
              </w:rPr>
              <w:t>Final submission</w:t>
            </w:r>
          </w:p>
        </w:tc>
        <w:tc>
          <w:tcPr>
            <w:tcW w:type="dxa" w:w="4032"/>
            <w:vAlign w:val="center"/>
            <w:shd w:fill="F7F9F9"/>
          </w:tcPr>
          <w:p>
            <w:r/>
            <w:r>
              <w:rPr>
                <w:rFonts w:ascii="Aptos" w:hAnsi="Aptos"/>
                <w:b w:val="0"/>
                <w:sz w:val="13"/>
              </w:rPr>
              <w:t>Smoke test public URL; verify video, GitHub, docs, mobile build; check billing/quota; record fallback demo video copy; submit; tag repository release.</w:t>
            </w:r>
          </w:p>
        </w:tc>
        <w:tc>
          <w:tcPr>
            <w:tcW w:type="dxa" w:w="2880"/>
            <w:vAlign w:val="center"/>
            <w:shd w:fill="F7F9F9"/>
          </w:tcPr>
          <w:p>
            <w:r/>
            <w:r>
              <w:rPr>
                <w:rFonts w:ascii="Aptos" w:hAnsi="Aptos"/>
                <w:b w:val="0"/>
                <w:sz w:val="13"/>
              </w:rPr>
              <w:t>Every required link works and is public; no last-minute code changes unless critical.</w:t>
            </w:r>
          </w:p>
        </w:tc>
        <w:tc>
          <w:tcPr>
            <w:tcW w:type="dxa" w:w="1728"/>
            <w:vAlign w:val="center"/>
            <w:shd w:fill="F7F9F9"/>
          </w:tcPr>
          <w:p>
            <w:r/>
            <w:r>
              <w:rPr>
                <w:rFonts w:ascii="Aptos" w:hAnsi="Aptos"/>
                <w:b w:val="0"/>
                <w:sz w:val="13"/>
              </w:rPr>
              <w:t>Treat as release day, not development day.</w:t>
            </w:r>
          </w:p>
        </w:tc>
      </w:tr>
    </w:tbl>
    <w:p>
      <w:pPr>
        <w:spacing w:after="40"/>
      </w:pPr>
    </w:p>
    <w:p>
      <w:pPr>
        <w:pStyle w:val="Heading1"/>
        <w:keepNext/>
      </w:pPr>
      <w:r>
        <w:t>10. Detailed Implementation Sequence</w:t>
      </w:r>
    </w:p>
    <w:p>
      <w:pPr>
        <w:pStyle w:val="Heading2"/>
        <w:keepNext/>
      </w:pPr>
      <w:r>
        <w:t>10.1 Step 1 - Establish contracts before screens</w:t>
      </w:r>
    </w:p>
    <w:p>
      <w:r>
        <w:t>Define the canonical ScanResult, CarbonResult, SustainabilityScore, VerificationDecision, RewardLedgerEntry and Recommendation structures. This prevents Flutter, Gemini and BigQuery from using incompatible meanings.</w:t>
      </w:r>
    </w:p>
    <w:p>
      <w:pPr>
        <w:pStyle w:val="Heading2"/>
        <w:keepNext/>
      </w:pPr>
      <w:r>
        <w:t>10.2 Step 2 - Build the shell and identity boundary</w:t>
      </w:r>
    </w:p>
    <w:p>
      <w:r>
        <w:t>Flutter creates login, consent and dashboard routes. Firebase Authentication owns credentials. App Check token accompanies sensitive calls. The backend derives uid from verified token, never from a client-supplied uid.</w:t>
      </w:r>
    </w:p>
    <w:p>
      <w:pPr>
        <w:pStyle w:val="Heading2"/>
        <w:keepNext/>
      </w:pPr>
      <w:r>
        <w:t>10.3 Step 3 - Deploy the API immediately</w:t>
      </w:r>
    </w:p>
    <w:p>
      <w:r>
        <w:t>A minimal Cloud Run service exposes /health, /version and authenticated /v1/me. Enable structured logging and request IDs from day one so later errors are diagnosable.</w:t>
      </w:r>
    </w:p>
    <w:p>
      <w:pPr>
        <w:pStyle w:val="Heading2"/>
        <w:keepNext/>
      </w:pPr>
      <w:r>
        <w:t>10.4 Step 4 - Make the Carbon Engine deterministic</w:t>
      </w:r>
    </w:p>
    <w:p>
      <w:r>
        <w:t>Start with 8-10 product/category examples and a small, transparent factor dataset. Implement calculations and confidence before broad product recognition. Every result includes factor_set_version and method.</w:t>
      </w:r>
    </w:p>
    <w:p>
      <w:pPr>
        <w:pStyle w:val="Heading2"/>
        <w:keepNext/>
      </w:pPr>
      <w:r>
        <w:t>10.5 Step 5 - Add Gemini as an explanation layer</w:t>
      </w:r>
    </w:p>
    <w:p>
      <w:r>
        <w:t>Gemini receives the result, evidence and candidate alternatives. Force structured JSON output. Validate before returning. The AI may explain and recommend; it may not write reward ledger entries or invent factors.</w:t>
      </w:r>
    </w:p>
    <w:p>
      <w:pPr>
        <w:pStyle w:val="Heading2"/>
        <w:keepNext/>
      </w:pPr>
      <w:r>
        <w:t>10.6 Step 6 - Replace seeded evidence with real image input</w:t>
      </w:r>
    </w:p>
    <w:p>
      <w:r>
        <w:t>Upload image to Cloud Storage, run Vision/OCR or Document AI, normalize to product/category, then feed exactly the same Carbon Engine contract used by the Oct 11 seeded flow. This makes Oct 12 an input-adapter change rather than a redesign.</w:t>
      </w:r>
    </w:p>
    <w:p>
      <w:pPr>
        <w:pStyle w:val="Heading2"/>
        <w:keepNext/>
      </w:pPr>
      <w:r>
        <w:t>10.7 Step 7 - Add trust and reward gating</w:t>
      </w:r>
    </w:p>
    <w:p>
      <w:r>
        <w:t>Normalize every eligible action into a canonical green_event with action_type = GO_GREEN_PRODUCT | GREEN_MOVE | GROW_GREEN | RECYCLE_RED. Assign V0-V3 verification, confidence, fraud flags and action-specific impact. Reward Policy Engine applies versioned base/impact/verification/confidence/persistence rules and writes an append-only ledger using unique event_id. Grow-Green supports provisional rewards until persistence checkpoints are met.</w:t>
      </w:r>
    </w:p>
    <w:p>
      <w:pPr>
        <w:pStyle w:val="Heading2"/>
        <w:keepNext/>
      </w:pPr>
      <w:r>
        <w:t>10.8 Step 8 - Complete the behavior loop</w:t>
      </w:r>
    </w:p>
    <w:p>
      <w:r>
        <w:t>Dashboard and reports read daily summaries/operational state, show what changed and suggest one next action. This closes Observe → Understand → Change → Verify → Reward → Repeat.</w:t>
      </w:r>
    </w:p>
    <w:p>
      <w:pPr>
        <w:pStyle w:val="Heading2"/>
        <w:keepNext/>
      </w:pPr>
      <w:r>
        <w:t>10.9 Step 9 - Expand the same reward foundation to the remaining three segments</w:t>
      </w:r>
    </w:p>
    <w:p>
      <w:r>
        <w:t>After Go-Green-Product is stable, reuse the same Trusted Green Event and Reward Policy contracts for Green-Move, Grow-Green and Recycle-Red. Green-Move requires a commute substitution baseline; Grow-Green requires plot/check-in persistence; Recycle-Red requires verified recycler evidence. Keep these as thin vertical slices rather than separate mini-apps.</w:t>
      </w:r>
    </w:p>
    <w:p>
      <w:pPr>
        <w:pStyle w:val="Heading2"/>
        <w:keepNext/>
      </w:pPr>
      <w:r>
        <w:t>10.10 Step 10 - Freeze, harden and tell the story</w:t>
      </w:r>
    </w:p>
    <w:p>
      <w:r>
        <w:t>After Oct 16, prioritize reliability, permissions, logs, screenshots, README, architecture and demo. Do not trade a stable public link for one more feature.</w:t>
      </w:r>
    </w:p>
    <w:p>
      <w:pPr>
        <w:pStyle w:val="Heading2"/>
        <w:keepNext/>
      </w:pPr>
      <w:r>
        <w:t>10.11 Recommended API-first implementation order</w:t>
      </w:r>
    </w:p>
    <w:tbl>
      <w:tblPr>
        <w:tblStyle w:val="TableGrid"/>
        <w:tblW w:type="auto" w:w="0"/>
        <w:jc w:val="center"/>
        <w:tblLook w:firstColumn="1" w:firstRow="1" w:lastColumn="0" w:lastRow="0" w:noHBand="0" w:noVBand="1" w:val="04A0"/>
      </w:tblPr>
      <w:tblGrid>
        <w:gridCol w:w="3360"/>
        <w:gridCol w:w="3360"/>
        <w:gridCol w:w="3360"/>
      </w:tblGrid>
      <w:tr>
        <w:tc>
          <w:tcPr>
            <w:tcW w:type="dxa" w:w="864"/>
            <w:vAlign w:val="center"/>
            <w:shd w:fill="1B5E20"/>
          </w:tcPr>
          <w:p>
            <w:pPr>
              <w:jc w:val="center"/>
            </w:pPr>
            <w:r/>
            <w:r>
              <w:rPr>
                <w:rFonts w:ascii="Aptos" w:hAnsi="Aptos"/>
                <w:b/>
                <w:color w:val="FFFFFF"/>
                <w:sz w:val="17"/>
              </w:rPr>
              <w:t>Order</w:t>
            </w:r>
          </w:p>
        </w:tc>
        <w:tc>
          <w:tcPr>
            <w:tcW w:type="dxa" w:w="3456"/>
            <w:vAlign w:val="center"/>
            <w:shd w:fill="1B5E20"/>
          </w:tcPr>
          <w:p>
            <w:pPr>
              <w:jc w:val="center"/>
            </w:pPr>
            <w:r/>
            <w:r>
              <w:rPr>
                <w:rFonts w:ascii="Aptos" w:hAnsi="Aptos"/>
                <w:b/>
                <w:color w:val="FFFFFF"/>
                <w:sz w:val="17"/>
              </w:rPr>
              <w:t>Endpoint / capability</w:t>
            </w:r>
          </w:p>
        </w:tc>
        <w:tc>
          <w:tcPr>
            <w:tcW w:type="dxa" w:w="5760"/>
            <w:vAlign w:val="center"/>
            <w:shd w:fill="1B5E20"/>
          </w:tcPr>
          <w:p>
            <w:pPr>
              <w:jc w:val="center"/>
            </w:pPr>
            <w:r/>
            <w:r>
              <w:rPr>
                <w:rFonts w:ascii="Aptos" w:hAnsi="Aptos"/>
                <w:b/>
                <w:color w:val="FFFFFF"/>
                <w:sz w:val="17"/>
              </w:rPr>
              <w:t>Purpose</w:t>
            </w:r>
          </w:p>
        </w:tc>
      </w:tr>
      <w:tr>
        <w:tc>
          <w:tcPr>
            <w:tcW w:type="dxa" w:w="864"/>
            <w:vAlign w:val="center"/>
          </w:tcPr>
          <w:p>
            <w:r/>
            <w:r>
              <w:rPr>
                <w:rFonts w:ascii="Aptos" w:hAnsi="Aptos"/>
                <w:b w:val="0"/>
                <w:sz w:val="17"/>
              </w:rPr>
              <w:t>1</w:t>
            </w:r>
          </w:p>
        </w:tc>
        <w:tc>
          <w:tcPr>
            <w:tcW w:type="dxa" w:w="3456"/>
            <w:vAlign w:val="center"/>
          </w:tcPr>
          <w:p>
            <w:r/>
            <w:r>
              <w:rPr>
                <w:rFonts w:ascii="Aptos" w:hAnsi="Aptos"/>
                <w:b w:val="0"/>
                <w:sz w:val="17"/>
              </w:rPr>
              <w:t>GET /health, GET /version</w:t>
            </w:r>
          </w:p>
        </w:tc>
        <w:tc>
          <w:tcPr>
            <w:tcW w:type="dxa" w:w="5760"/>
            <w:vAlign w:val="center"/>
          </w:tcPr>
          <w:p>
            <w:r/>
            <w:r>
              <w:rPr>
                <w:rFonts w:ascii="Aptos" w:hAnsi="Aptos"/>
                <w:b w:val="0"/>
                <w:sz w:val="17"/>
              </w:rPr>
              <w:t>Deployment verification.</w:t>
            </w:r>
          </w:p>
        </w:tc>
      </w:tr>
      <w:tr>
        <w:tc>
          <w:tcPr>
            <w:tcW w:type="dxa" w:w="864"/>
            <w:vAlign w:val="center"/>
            <w:shd w:fill="F7F9F9"/>
          </w:tcPr>
          <w:p>
            <w:r/>
            <w:r>
              <w:rPr>
                <w:rFonts w:ascii="Aptos" w:hAnsi="Aptos"/>
                <w:b w:val="0"/>
                <w:sz w:val="17"/>
              </w:rPr>
              <w:t>2</w:t>
            </w:r>
          </w:p>
        </w:tc>
        <w:tc>
          <w:tcPr>
            <w:tcW w:type="dxa" w:w="3456"/>
            <w:vAlign w:val="center"/>
            <w:shd w:fill="F7F9F9"/>
          </w:tcPr>
          <w:p>
            <w:r/>
            <w:r>
              <w:rPr>
                <w:rFonts w:ascii="Aptos" w:hAnsi="Aptos"/>
                <w:b w:val="0"/>
                <w:sz w:val="17"/>
              </w:rPr>
              <w:t>GET /v1/me, PUT /v1/consents</w:t>
            </w:r>
          </w:p>
        </w:tc>
        <w:tc>
          <w:tcPr>
            <w:tcW w:type="dxa" w:w="5760"/>
            <w:vAlign w:val="center"/>
            <w:shd w:fill="F7F9F9"/>
          </w:tcPr>
          <w:p>
            <w:r/>
            <w:r>
              <w:rPr>
                <w:rFonts w:ascii="Aptos" w:hAnsi="Aptos"/>
                <w:b w:val="0"/>
                <w:sz w:val="17"/>
              </w:rPr>
              <w:t>Identity + consent baseline.</w:t>
            </w:r>
          </w:p>
        </w:tc>
      </w:tr>
      <w:tr>
        <w:tc>
          <w:tcPr>
            <w:tcW w:type="dxa" w:w="864"/>
            <w:vAlign w:val="center"/>
          </w:tcPr>
          <w:p>
            <w:r/>
            <w:r>
              <w:rPr>
                <w:rFonts w:ascii="Aptos" w:hAnsi="Aptos"/>
                <w:b w:val="0"/>
                <w:sz w:val="17"/>
              </w:rPr>
              <w:t>3</w:t>
            </w:r>
          </w:p>
        </w:tc>
        <w:tc>
          <w:tcPr>
            <w:tcW w:type="dxa" w:w="3456"/>
            <w:vAlign w:val="center"/>
          </w:tcPr>
          <w:p>
            <w:r/>
            <w:r>
              <w:rPr>
                <w:rFonts w:ascii="Aptos" w:hAnsi="Aptos"/>
                <w:b w:val="0"/>
                <w:sz w:val="17"/>
              </w:rPr>
              <w:t>POST /v1/scans, GET /v1/scans/{id}</w:t>
            </w:r>
          </w:p>
        </w:tc>
        <w:tc>
          <w:tcPr>
            <w:tcW w:type="dxa" w:w="5760"/>
            <w:vAlign w:val="center"/>
          </w:tcPr>
          <w:p>
            <w:r/>
            <w:r>
              <w:rPr>
                <w:rFonts w:ascii="Aptos" w:hAnsi="Aptos"/>
                <w:b w:val="0"/>
                <w:sz w:val="17"/>
              </w:rPr>
              <w:t>One scan job/result contract.</w:t>
            </w:r>
          </w:p>
        </w:tc>
      </w:tr>
      <w:tr>
        <w:tc>
          <w:tcPr>
            <w:tcW w:type="dxa" w:w="864"/>
            <w:vAlign w:val="center"/>
            <w:shd w:fill="F7F9F9"/>
          </w:tcPr>
          <w:p>
            <w:r/>
            <w:r>
              <w:rPr>
                <w:rFonts w:ascii="Aptos" w:hAnsi="Aptos"/>
                <w:b w:val="0"/>
                <w:sz w:val="17"/>
              </w:rPr>
              <w:t>4</w:t>
            </w:r>
          </w:p>
        </w:tc>
        <w:tc>
          <w:tcPr>
            <w:tcW w:type="dxa" w:w="3456"/>
            <w:vAlign w:val="center"/>
            <w:shd w:fill="F7F9F9"/>
          </w:tcPr>
          <w:p>
            <w:r/>
            <w:r>
              <w:rPr>
                <w:rFonts w:ascii="Aptos" w:hAnsi="Aptos"/>
                <w:b w:val="0"/>
                <w:sz w:val="17"/>
              </w:rPr>
              <w:t>POST /v1/carbon/estimate</w:t>
            </w:r>
          </w:p>
        </w:tc>
        <w:tc>
          <w:tcPr>
            <w:tcW w:type="dxa" w:w="5760"/>
            <w:vAlign w:val="center"/>
            <w:shd w:fill="F7F9F9"/>
          </w:tcPr>
          <w:p>
            <w:r/>
            <w:r>
              <w:rPr>
                <w:rFonts w:ascii="Aptos" w:hAnsi="Aptos"/>
                <w:b w:val="0"/>
                <w:sz w:val="17"/>
              </w:rPr>
              <w:t>Deterministic product/category calculation.</w:t>
            </w:r>
          </w:p>
        </w:tc>
      </w:tr>
      <w:tr>
        <w:tc>
          <w:tcPr>
            <w:tcW w:type="dxa" w:w="864"/>
            <w:vAlign w:val="center"/>
          </w:tcPr>
          <w:p>
            <w:r/>
            <w:r>
              <w:rPr>
                <w:rFonts w:ascii="Aptos" w:hAnsi="Aptos"/>
                <w:b w:val="0"/>
                <w:sz w:val="17"/>
              </w:rPr>
              <w:t>5</w:t>
            </w:r>
          </w:p>
        </w:tc>
        <w:tc>
          <w:tcPr>
            <w:tcW w:type="dxa" w:w="3456"/>
            <w:vAlign w:val="center"/>
          </w:tcPr>
          <w:p>
            <w:r/>
            <w:r>
              <w:rPr>
                <w:rFonts w:ascii="Aptos" w:hAnsi="Aptos"/>
                <w:b w:val="0"/>
                <w:sz w:val="17"/>
              </w:rPr>
              <w:t>POST /v1/ai/explain</w:t>
            </w:r>
          </w:p>
        </w:tc>
        <w:tc>
          <w:tcPr>
            <w:tcW w:type="dxa" w:w="5760"/>
            <w:vAlign w:val="center"/>
          </w:tcPr>
          <w:p>
            <w:r/>
            <w:r>
              <w:rPr>
                <w:rFonts w:ascii="Aptos" w:hAnsi="Aptos"/>
                <w:b w:val="0"/>
                <w:sz w:val="17"/>
              </w:rPr>
              <w:t>Gemini explanation from trusted context.</w:t>
            </w:r>
          </w:p>
        </w:tc>
      </w:tr>
      <w:tr>
        <w:tc>
          <w:tcPr>
            <w:tcW w:type="dxa" w:w="864"/>
            <w:vAlign w:val="center"/>
            <w:shd w:fill="F7F9F9"/>
          </w:tcPr>
          <w:p>
            <w:r/>
            <w:r>
              <w:rPr>
                <w:rFonts w:ascii="Aptos" w:hAnsi="Aptos"/>
                <w:b w:val="0"/>
                <w:sz w:val="17"/>
              </w:rPr>
              <w:t>6</w:t>
            </w:r>
          </w:p>
        </w:tc>
        <w:tc>
          <w:tcPr>
            <w:tcW w:type="dxa" w:w="3456"/>
            <w:vAlign w:val="center"/>
            <w:shd w:fill="F7F9F9"/>
          </w:tcPr>
          <w:p>
            <w:r>
              <w:t>POST /v1/green-events</w:t>
            </w:r>
          </w:p>
        </w:tc>
        <w:tc>
          <w:tcPr>
            <w:tcW w:type="dxa" w:w="5760"/>
            <w:vAlign w:val="center"/>
            <w:shd w:fill="F7F9F9"/>
          </w:tcPr>
          <w:p>
            <w:r>
              <w:t>Canonical action event: GO_GREEN_PRODUCT | GREEN_MOVE | GROW_GREEN | RECYCLE_RED.</w:t>
            </w:r>
          </w:p>
        </w:tc>
      </w:tr>
      <w:tr>
        <w:tc>
          <w:tcPr>
            <w:tcW w:type="dxa" w:w="864"/>
            <w:vAlign w:val="center"/>
          </w:tcPr>
          <w:p>
            <w:r/>
            <w:r>
              <w:rPr>
                <w:rFonts w:ascii="Aptos" w:hAnsi="Aptos"/>
                <w:b w:val="0"/>
                <w:sz w:val="17"/>
              </w:rPr>
              <w:t>7</w:t>
            </w:r>
          </w:p>
        </w:tc>
        <w:tc>
          <w:tcPr>
            <w:tcW w:type="dxa" w:w="3456"/>
            <w:vAlign w:val="center"/>
          </w:tcPr>
          <w:p>
            <w:r>
              <w:t>POST /v1/rewards/evaluate, GET /v1/wallet</w:t>
            </w:r>
          </w:p>
        </w:tc>
        <w:tc>
          <w:tcPr>
            <w:tcW w:type="dxa" w:w="5760"/>
            <w:vAlign w:val="center"/>
          </w:tcPr>
          <w:p>
            <w:r>
              <w:t>Policy evaluation, exact-once ledger, reward state.</w:t>
            </w:r>
          </w:p>
        </w:tc>
      </w:tr>
      <w:tr>
        <w:tc>
          <w:tcPr>
            <w:tcW w:type="dxa" w:w="864"/>
            <w:vAlign w:val="center"/>
            <w:shd w:fill="F7F9F9"/>
          </w:tcPr>
          <w:p>
            <w:r/>
            <w:r>
              <w:rPr>
                <w:rFonts w:ascii="Aptos" w:hAnsi="Aptos"/>
                <w:b w:val="0"/>
                <w:sz w:val="17"/>
              </w:rPr>
              <w:t>8</w:t>
            </w:r>
          </w:p>
        </w:tc>
        <w:tc>
          <w:tcPr>
            <w:tcW w:type="dxa" w:w="3456"/>
            <w:vAlign w:val="center"/>
            <w:shd w:fill="F7F9F9"/>
          </w:tcPr>
          <w:p>
            <w:r>
              <w:t>GET /v1/dashboard, GET /v1/reports/monthly</w:t>
            </w:r>
          </w:p>
        </w:tc>
        <w:tc>
          <w:tcPr>
            <w:tcW w:type="dxa" w:w="5760"/>
            <w:vAlign w:val="center"/>
            <w:shd w:fill="F7F9F9"/>
          </w:tcPr>
          <w:p>
            <w:r>
              <w:t>Feedback loop across all reward segments.</w:t>
            </w:r>
          </w:p>
        </w:tc>
      </w:tr>
      <w:tr>
        <w:tc>
          <w:tcPr>
            <w:tcW w:type="dxa" w:w="864"/>
            <w:vAlign w:val="center"/>
          </w:tcPr>
          <w:p>
            <w:r/>
            <w:r>
              <w:rPr>
                <w:rFonts w:ascii="Aptos" w:hAnsi="Aptos"/>
                <w:b w:val="0"/>
                <w:sz w:val="17"/>
              </w:rPr>
              <w:t>9</w:t>
            </w:r>
          </w:p>
        </w:tc>
        <w:tc>
          <w:tcPr>
            <w:tcW w:type="dxa" w:w="3456"/>
            <w:vAlign w:val="center"/>
          </w:tcPr>
          <w:p>
            <w:r>
              <w:t>POST /v1/receipts</w:t>
            </w:r>
          </w:p>
        </w:tc>
        <w:tc>
          <w:tcPr>
            <w:tcW w:type="dxa" w:w="5760"/>
            <w:vAlign w:val="center"/>
          </w:tcPr>
          <w:p>
            <w:r>
              <w:t>Receipt/document adapter for product and Recycle-Red evidence.</w:t>
            </w:r>
          </w:p>
        </w:tc>
      </w:tr>
      <w:tr>
        <w:tc>
          <w:tcPr>
            <w:tcW w:type="dxa" w:w="864"/>
            <w:vAlign w:val="center"/>
            <w:shd w:fill="F7F9F9"/>
          </w:tcPr>
          <w:p>
            <w:r/>
            <w:r>
              <w:rPr>
                <w:rFonts w:ascii="Aptos" w:hAnsi="Aptos"/>
                <w:b w:val="0"/>
                <w:sz w:val="17"/>
              </w:rPr>
              <w:t>10</w:t>
            </w:r>
          </w:p>
        </w:tc>
        <w:tc>
          <w:tcPr>
            <w:tcW w:type="dxa" w:w="3456"/>
            <w:vAlign w:val="center"/>
            <w:shd w:fill="F7F9F9"/>
          </w:tcPr>
          <w:p>
            <w:r>
              <w:t>POST /v1/green-move</w:t>
            </w:r>
          </w:p>
        </w:tc>
        <w:tc>
          <w:tcPr>
            <w:tcW w:type="dxa" w:w="5760"/>
            <w:vAlign w:val="center"/>
            <w:shd w:fill="F7F9F9"/>
          </w:tcPr>
          <w:p>
            <w:r>
              <w:t>Commute baseline + low-carbon transport evidence.</w:t>
            </w:r>
          </w:p>
        </w:tc>
      </w:tr>
      <w:tr>
        <w:tc>
          <w:tcPr>
            <w:tcW w:type="dxa" w:w="3360"/>
            <w:vAlign w:val="center"/>
          </w:tcPr>
          <w:p>
            <w:pPr>
              <w:spacing w:after="0" w:before="0"/>
            </w:pPr>
            <w:r/>
            <w:r>
              <w:rPr>
                <w:b w:val="0"/>
                <w:sz w:val="16"/>
              </w:rPr>
              <w:t>11</w:t>
            </w:r>
          </w:p>
        </w:tc>
        <w:tc>
          <w:tcPr>
            <w:tcW w:type="dxa" w:w="3360"/>
            <w:vAlign w:val="center"/>
          </w:tcPr>
          <w:p>
            <w:pPr>
              <w:spacing w:after="0" w:before="0"/>
            </w:pPr>
            <w:r/>
            <w:r>
              <w:rPr>
                <w:b w:val="0"/>
                <w:sz w:val="16"/>
              </w:rPr>
              <w:t>POST /v1/grow-green/projects</w:t>
            </w:r>
          </w:p>
        </w:tc>
        <w:tc>
          <w:tcPr>
            <w:tcW w:type="dxa" w:w="3360"/>
            <w:vAlign w:val="center"/>
          </w:tcPr>
          <w:p>
            <w:pPr>
              <w:spacing w:after="0" w:before="0"/>
            </w:pPr>
            <w:r/>
            <w:r>
              <w:rPr>
                <w:b w:val="0"/>
                <w:sz w:val="16"/>
              </w:rPr>
              <w:t>Register geo-tagged Green Plot/batch and privacy/access policy.</w:t>
            </w:r>
          </w:p>
        </w:tc>
      </w:tr>
      <w:tr>
        <w:tc>
          <w:tcPr>
            <w:tcW w:type="dxa" w:w="3360"/>
            <w:vAlign w:val="center"/>
          </w:tcPr>
          <w:p>
            <w:pPr>
              <w:spacing w:after="0" w:before="0"/>
            </w:pPr>
            <w:r/>
            <w:r>
              <w:rPr>
                <w:b w:val="0"/>
                <w:sz w:val="16"/>
              </w:rPr>
              <w:t>12</w:t>
            </w:r>
          </w:p>
        </w:tc>
        <w:tc>
          <w:tcPr>
            <w:tcW w:type="dxa" w:w="3360"/>
            <w:vAlign w:val="center"/>
          </w:tcPr>
          <w:p>
            <w:pPr>
              <w:spacing w:after="0" w:before="0"/>
            </w:pPr>
            <w:r/>
            <w:r>
              <w:rPr>
                <w:b w:val="0"/>
                <w:sz w:val="16"/>
              </w:rPr>
              <w:t>POST /v1/grow-green/{project_id}/checkins</w:t>
            </w:r>
          </w:p>
        </w:tc>
        <w:tc>
          <w:tcPr>
            <w:tcW w:type="dxa" w:w="3360"/>
            <w:vAlign w:val="center"/>
          </w:tcPr>
          <w:p>
            <w:pPr>
              <w:spacing w:after="0" w:before="0"/>
            </w:pPr>
            <w:r/>
            <w:r>
              <w:rPr>
                <w:b w:val="0"/>
                <w:sz w:val="16"/>
              </w:rPr>
              <w:t>Periodic owner check-in with fresh photo/location evidence.</w:t>
            </w:r>
          </w:p>
        </w:tc>
      </w:tr>
      <w:tr>
        <w:tc>
          <w:tcPr>
            <w:tcW w:type="dxa" w:w="3360"/>
            <w:vAlign w:val="center"/>
          </w:tcPr>
          <w:p>
            <w:pPr>
              <w:spacing w:after="0" w:before="0"/>
            </w:pPr>
            <w:r/>
            <w:r>
              <w:rPr>
                <w:b w:val="0"/>
                <w:sz w:val="16"/>
              </w:rPr>
              <w:t>13</w:t>
            </w:r>
          </w:p>
        </w:tc>
        <w:tc>
          <w:tcPr>
            <w:tcW w:type="dxa" w:w="3360"/>
            <w:vAlign w:val="center"/>
          </w:tcPr>
          <w:p>
            <w:pPr>
              <w:spacing w:after="0" w:before="0"/>
            </w:pPr>
            <w:r/>
            <w:r>
              <w:rPr>
                <w:b w:val="0"/>
                <w:sz w:val="16"/>
              </w:rPr>
              <w:t>POST /v1/grow-green/{project_id}/confirmations</w:t>
            </w:r>
          </w:p>
        </w:tc>
        <w:tc>
          <w:tcPr>
            <w:tcW w:type="dxa" w:w="3360"/>
            <w:vAlign w:val="center"/>
          </w:tcPr>
          <w:p>
            <w:pPr>
              <w:spacing w:after="0" w:before="0"/>
            </w:pPr>
            <w:r/>
            <w:r>
              <w:rPr>
                <w:b w:val="0"/>
                <w:sz w:val="16"/>
              </w:rPr>
              <w:t>Authenticated visitor/community confirmation.</w:t>
            </w:r>
          </w:p>
        </w:tc>
      </w:tr>
      <w:tr>
        <w:tc>
          <w:tcPr>
            <w:tcW w:type="dxa" w:w="3360"/>
            <w:vAlign w:val="center"/>
          </w:tcPr>
          <w:p>
            <w:pPr>
              <w:spacing w:after="0" w:before="0"/>
            </w:pPr>
            <w:r/>
            <w:r>
              <w:rPr>
                <w:b w:val="0"/>
                <w:sz w:val="16"/>
              </w:rPr>
              <w:t>14</w:t>
            </w:r>
          </w:p>
        </w:tc>
        <w:tc>
          <w:tcPr>
            <w:tcW w:type="dxa" w:w="3360"/>
            <w:vAlign w:val="center"/>
          </w:tcPr>
          <w:p>
            <w:pPr>
              <w:spacing w:after="0" w:before="0"/>
            </w:pPr>
            <w:r/>
            <w:r>
              <w:rPr>
                <w:b w:val="0"/>
                <w:sz w:val="16"/>
              </w:rPr>
              <w:t>POST /v1/recycle-red/claims</w:t>
            </w:r>
          </w:p>
        </w:tc>
        <w:tc>
          <w:tcPr>
            <w:tcW w:type="dxa" w:w="3360"/>
            <w:vAlign w:val="center"/>
          </w:tcPr>
          <w:p>
            <w:pPr>
              <w:spacing w:after="0" w:before="0"/>
            </w:pPr>
            <w:r/>
            <w:r>
              <w:rPr>
                <w:b w:val="0"/>
                <w:sz w:val="16"/>
              </w:rPr>
              <w:t>E-waste claim with item image + recycler receipt/certificate.</w:t>
            </w:r>
          </w:p>
        </w:tc>
      </w:tr>
      <w:tr>
        <w:tc>
          <w:tcPr>
            <w:tcW w:type="dxa" w:w="3360"/>
            <w:vAlign w:val="center"/>
          </w:tcPr>
          <w:p>
            <w:pPr>
              <w:spacing w:after="0" w:before="0"/>
            </w:pPr>
            <w:r/>
            <w:r>
              <w:rPr>
                <w:b w:val="0"/>
                <w:sz w:val="16"/>
              </w:rPr>
              <w:t>15</w:t>
            </w:r>
          </w:p>
        </w:tc>
        <w:tc>
          <w:tcPr>
            <w:tcW w:type="dxa" w:w="3360"/>
            <w:vAlign w:val="center"/>
          </w:tcPr>
          <w:p>
            <w:pPr>
              <w:spacing w:after="0" w:before="0"/>
            </w:pPr>
            <w:r/>
            <w:r>
              <w:rPr>
                <w:b w:val="0"/>
                <w:sz w:val="16"/>
              </w:rPr>
              <w:t>GET /v1/reward-events/{event_id}</w:t>
            </w:r>
          </w:p>
        </w:tc>
        <w:tc>
          <w:tcPr>
            <w:tcW w:type="dxa" w:w="3360"/>
            <w:vAlign w:val="center"/>
          </w:tcPr>
          <w:p>
            <w:pPr>
              <w:spacing w:after="0" w:before="0"/>
            </w:pPr>
            <w:r/>
            <w:r>
              <w:rPr>
                <w:b w:val="0"/>
                <w:sz w:val="16"/>
              </w:rPr>
              <w:t>Audit trail: evidence status, verification, policy factors and reward state.</w:t>
            </w:r>
          </w:p>
        </w:tc>
      </w:tr>
    </w:tbl>
    <w:p>
      <w:pPr>
        <w:spacing w:after="40"/>
      </w:pPr>
    </w:p>
    <w:p>
      <w:pPr>
        <w:pStyle w:val="Heading1"/>
        <w:keepNext/>
      </w:pPr>
      <w:r>
        <w:t>11. API and Event Contracts</w:t>
      </w:r>
    </w:p>
    <w:tbl>
      <w:tblPr>
        <w:tblW w:type="auto" w:w="0"/>
        <w:jc w:val="center"/>
        <w:tblLook w:firstColumn="1" w:firstRow="1" w:lastColumn="0" w:lastRow="0" w:noHBand="0" w:noVBand="1" w:val="04A0"/>
      </w:tblPr>
      <w:tblGrid>
        <w:gridCol w:w="10080"/>
      </w:tblGrid>
      <w:tr>
        <w:tc>
          <w:tcPr>
            <w:tcW w:type="dxa" w:w="10080"/>
            <w:shd w:fill="E8F5E9"/>
          </w:tcPr>
          <w:p>
            <w:pPr>
              <w:spacing w:before="120" w:after="120"/>
            </w:pPr>
            <w:r>
              <w:rPr>
                <w:b/>
                <w:color w:val="1B5E20"/>
                <w:sz w:val="21"/>
              </w:rPr>
              <w:t>API rule</w:t>
              <w:br/>
            </w:r>
            <w:r>
              <w:rPr>
                <w:color w:val="263238"/>
                <w:sz w:val="19"/>
              </w:rPr>
              <w:t>Client sends evidence and user intent; server returns authoritative calculations/eligibility. No client-supplied carbon, score, confidence or Green Points value is trusted.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5F5F5"/>
          </w:tcPr>
          <w:p>
            <w:pPr>
              <w:spacing w:before="80" w:after="80"/>
            </w:pPr>
            <w:r>
              <w:rPr>
                <w:rFonts w:ascii="Liberation Mono" w:hAnsi="Liberation Mono"/>
                <w:sz w:val="16"/>
              </w:rPr>
              <w:t>POST /v1/scans</w:t>
              <w:br/>
              <w:t>Authorization: Bearer &lt;Firebase ID token&gt;</w:t>
              <w:br/>
              <w:t>X-Firebase-AppCheck: &lt;App Check token&gt;</w:t>
              <w:br/>
              <w:t>Idempotency-Key: &lt;uuid&gt;</w:t>
              <w:br/>
              <w:br/>
              <w:t>{</w:t>
              <w:br/>
              <w:t xml:space="preserve">  "mode": "PRODUCT",</w:t>
              <w:br/>
              <w:t xml:space="preserve">  "storage_object": "gs://.../scan.jpg",</w:t>
              <w:br/>
              <w:t xml:space="preserve">  "client_time": "2026-10-12T10:15:00+05:30"</w:t>
              <w:br/>
              <w:t>}</w:t>
              <w:br/>
              <w:br/>
              <w:t>Response</w:t>
              <w:br/>
              <w:t>{</w:t>
              <w:br/>
              <w:t xml:space="preserve">  "scan_id": "scan_123",</w:t>
              <w:br/>
              <w:t xml:space="preserve">  "status": "COMPLETED",</w:t>
              <w:br/>
              <w:t xml:space="preserve">  "product_candidate": {"category":"bottled_water", "confidence":0.86},</w:t>
              <w:br/>
              <w:t xml:space="preserve">  "carbon": {"kg_co2e":0.18, "method":"category_average", "factor_set_version":"2026-10-demo-v1", "confidence":"C"},</w:t>
              <w:br/>
              <w:t xml:space="preserve">  "sustainability": {"score":42, "dimensions":{"carbon":40,"reuse":15,"packaging":35,"recyclability":55}},</w:t>
              <w:br/>
              <w:t xml:space="preserve">  "recommendation_id":"rec_123"</w:t>
              <w:br/>
              <w:t>}</w:t>
            </w:r>
          </w:p>
        </w:tc>
      </w:tr>
    </w:tbl>
    <w:p>
      <w:pPr>
        <w:pStyle w:val="Heading2"/>
        <w:keepNext/>
      </w:pPr>
      <w:r>
        <w:t>11.1 Event topics for the prototype</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1B5E20"/>
          </w:tcPr>
          <w:p>
            <w:pPr>
              <w:jc w:val="center"/>
            </w:pPr>
            <w:r/>
            <w:r>
              <w:rPr>
                <w:rFonts w:ascii="Aptos" w:hAnsi="Aptos"/>
                <w:b/>
                <w:color w:val="FFFFFF"/>
                <w:sz w:val="17"/>
              </w:rPr>
              <w:t>Topic</w:t>
            </w:r>
          </w:p>
        </w:tc>
        <w:tc>
          <w:tcPr>
            <w:tcW w:type="dxa" w:w="2880"/>
            <w:vAlign w:val="center"/>
            <w:shd w:fill="1B5E20"/>
          </w:tcPr>
          <w:p>
            <w:pPr>
              <w:jc w:val="center"/>
            </w:pPr>
            <w:r/>
            <w:r>
              <w:rPr>
                <w:rFonts w:ascii="Aptos" w:hAnsi="Aptos"/>
                <w:b/>
                <w:color w:val="FFFFFF"/>
                <w:sz w:val="17"/>
              </w:rPr>
              <w:t>Producer</w:t>
            </w:r>
          </w:p>
        </w:tc>
        <w:tc>
          <w:tcPr>
            <w:tcW w:type="dxa" w:w="4320"/>
            <w:vAlign w:val="center"/>
            <w:shd w:fill="1B5E20"/>
          </w:tcPr>
          <w:p>
            <w:pPr>
              <w:jc w:val="center"/>
            </w:pPr>
            <w:r/>
            <w:r>
              <w:rPr>
                <w:rFonts w:ascii="Aptos" w:hAnsi="Aptos"/>
                <w:b/>
                <w:color w:val="FFFFFF"/>
                <w:sz w:val="17"/>
              </w:rPr>
              <w:t>Consumer / purpose</w:t>
            </w:r>
          </w:p>
        </w:tc>
      </w:tr>
      <w:tr>
        <w:tc>
          <w:tcPr>
            <w:tcW w:type="dxa" w:w="2880"/>
            <w:vAlign w:val="center"/>
          </w:tcPr>
          <w:p>
            <w:r/>
            <w:r>
              <w:rPr>
                <w:rFonts w:ascii="Aptos" w:hAnsi="Aptos"/>
                <w:b w:val="0"/>
                <w:sz w:val="17"/>
              </w:rPr>
              <w:t>scan.completed</w:t>
            </w:r>
          </w:p>
        </w:tc>
        <w:tc>
          <w:tcPr>
            <w:tcW w:type="dxa" w:w="2880"/>
            <w:vAlign w:val="center"/>
          </w:tcPr>
          <w:p>
            <w:r/>
            <w:r>
              <w:rPr>
                <w:rFonts w:ascii="Aptos" w:hAnsi="Aptos"/>
                <w:b w:val="0"/>
                <w:sz w:val="17"/>
              </w:rPr>
              <w:t>API/Scan module</w:t>
            </w:r>
          </w:p>
        </w:tc>
        <w:tc>
          <w:tcPr>
            <w:tcW w:type="dxa" w:w="4320"/>
            <w:vAlign w:val="center"/>
          </w:tcPr>
          <w:p>
            <w:r/>
            <w:r>
              <w:rPr>
                <w:rFonts w:ascii="Aptos" w:hAnsi="Aptos"/>
                <w:b w:val="0"/>
                <w:sz w:val="17"/>
              </w:rPr>
              <w:t>Analytics, recommendation trigger.</w:t>
            </w:r>
          </w:p>
        </w:tc>
      </w:tr>
      <w:tr>
        <w:tc>
          <w:tcPr>
            <w:tcW w:type="dxa" w:w="2880"/>
            <w:vAlign w:val="center"/>
            <w:shd w:fill="F7F9F9"/>
          </w:tcPr>
          <w:p>
            <w:r/>
            <w:r>
              <w:rPr>
                <w:rFonts w:ascii="Aptos" w:hAnsi="Aptos"/>
                <w:b w:val="0"/>
                <w:sz w:val="17"/>
              </w:rPr>
              <w:t>carbon.estimated</w:t>
            </w:r>
          </w:p>
        </w:tc>
        <w:tc>
          <w:tcPr>
            <w:tcW w:type="dxa" w:w="2880"/>
            <w:vAlign w:val="center"/>
            <w:shd w:fill="F7F9F9"/>
          </w:tcPr>
          <w:p>
            <w:r/>
            <w:r>
              <w:rPr>
                <w:rFonts w:ascii="Aptos" w:hAnsi="Aptos"/>
                <w:b w:val="0"/>
                <w:sz w:val="17"/>
              </w:rPr>
              <w:t>Carbon Engine</w:t>
            </w:r>
          </w:p>
        </w:tc>
        <w:tc>
          <w:tcPr>
            <w:tcW w:type="dxa" w:w="4320"/>
            <w:vAlign w:val="center"/>
            <w:shd w:fill="F7F9F9"/>
          </w:tcPr>
          <w:p>
            <w:r/>
            <w:r>
              <w:rPr>
                <w:rFonts w:ascii="Aptos" w:hAnsi="Aptos"/>
                <w:b w:val="0"/>
                <w:sz w:val="17"/>
              </w:rPr>
              <w:t>Analytics, report aggregation.</w:t>
            </w:r>
          </w:p>
        </w:tc>
      </w:tr>
      <w:tr>
        <w:tc>
          <w:tcPr>
            <w:tcW w:type="dxa" w:w="2880"/>
            <w:vAlign w:val="center"/>
          </w:tcPr>
          <w:p>
            <w:r/>
            <w:r>
              <w:rPr>
                <w:rFonts w:ascii="Aptos" w:hAnsi="Aptos"/>
                <w:b w:val="0"/>
                <w:sz w:val="17"/>
              </w:rPr>
              <w:t>green_event.verified</w:t>
            </w:r>
          </w:p>
        </w:tc>
        <w:tc>
          <w:tcPr>
            <w:tcW w:type="dxa" w:w="2880"/>
            <w:vAlign w:val="center"/>
          </w:tcPr>
          <w:p>
            <w:r/>
            <w:r>
              <w:rPr>
                <w:rFonts w:ascii="Aptos" w:hAnsi="Aptos"/>
                <w:b w:val="0"/>
                <w:sz w:val="17"/>
              </w:rPr>
              <w:t>Trust Engine</w:t>
            </w:r>
          </w:p>
        </w:tc>
        <w:tc>
          <w:tcPr>
            <w:tcW w:type="dxa" w:w="4320"/>
            <w:vAlign w:val="center"/>
          </w:tcPr>
          <w:p>
            <w:r/>
            <w:r>
              <w:rPr>
                <w:rFonts w:ascii="Aptos" w:hAnsi="Aptos"/>
                <w:b w:val="0"/>
                <w:sz w:val="17"/>
              </w:rPr>
              <w:t>Reward evaluation.</w:t>
            </w:r>
          </w:p>
        </w:tc>
      </w:tr>
      <w:tr>
        <w:tc>
          <w:tcPr>
            <w:tcW w:type="dxa" w:w="2880"/>
            <w:vAlign w:val="center"/>
            <w:shd w:fill="F7F9F9"/>
          </w:tcPr>
          <w:p>
            <w:r/>
            <w:r>
              <w:rPr>
                <w:rFonts w:ascii="Aptos" w:hAnsi="Aptos"/>
                <w:b w:val="0"/>
                <w:sz w:val="17"/>
              </w:rPr>
              <w:t>reward.issued</w:t>
            </w:r>
          </w:p>
        </w:tc>
        <w:tc>
          <w:tcPr>
            <w:tcW w:type="dxa" w:w="2880"/>
            <w:vAlign w:val="center"/>
            <w:shd w:fill="F7F9F9"/>
          </w:tcPr>
          <w:p>
            <w:r/>
            <w:r>
              <w:rPr>
                <w:rFonts w:ascii="Aptos" w:hAnsi="Aptos"/>
                <w:b w:val="0"/>
                <w:sz w:val="17"/>
              </w:rPr>
              <w:t>Reward Engine</w:t>
            </w:r>
          </w:p>
        </w:tc>
        <w:tc>
          <w:tcPr>
            <w:tcW w:type="dxa" w:w="4320"/>
            <w:vAlign w:val="center"/>
            <w:shd w:fill="F7F9F9"/>
          </w:tcPr>
          <w:p>
            <w:r/>
            <w:r>
              <w:rPr>
                <w:rFonts w:ascii="Aptos" w:hAnsi="Aptos"/>
                <w:b w:val="0"/>
                <w:sz w:val="17"/>
              </w:rPr>
              <w:t>Dashboard/analytics.</w:t>
            </w:r>
          </w:p>
        </w:tc>
      </w:tr>
      <w:tr>
        <w:tc>
          <w:tcPr>
            <w:tcW w:type="dxa" w:w="2880"/>
            <w:vAlign w:val="center"/>
          </w:tcPr>
          <w:p>
            <w:r/>
            <w:r>
              <w:rPr>
                <w:rFonts w:ascii="Aptos" w:hAnsi="Aptos"/>
                <w:b w:val="0"/>
                <w:sz w:val="17"/>
              </w:rPr>
              <w:t>recommendation.generated</w:t>
            </w:r>
          </w:p>
        </w:tc>
        <w:tc>
          <w:tcPr>
            <w:tcW w:type="dxa" w:w="2880"/>
            <w:vAlign w:val="center"/>
          </w:tcPr>
          <w:p>
            <w:r/>
            <w:r>
              <w:rPr>
                <w:rFonts w:ascii="Aptos" w:hAnsi="Aptos"/>
                <w:b w:val="0"/>
                <w:sz w:val="17"/>
              </w:rPr>
              <w:t>AI Orchestrator</w:t>
            </w:r>
          </w:p>
        </w:tc>
        <w:tc>
          <w:tcPr>
            <w:tcW w:type="dxa" w:w="4320"/>
            <w:vAlign w:val="center"/>
          </w:tcPr>
          <w:p>
            <w:r/>
            <w:r>
              <w:rPr>
                <w:rFonts w:ascii="Aptos" w:hAnsi="Aptos"/>
                <w:b w:val="0"/>
                <w:sz w:val="17"/>
              </w:rPr>
              <w:t>History/analytics.</w:t>
            </w:r>
          </w:p>
        </w:tc>
      </w:tr>
      <w:tr>
        <w:tc>
          <w:tcPr>
            <w:tcW w:type="dxa" w:w="3360"/>
            <w:vAlign w:val="center"/>
          </w:tcPr>
          <w:p>
            <w:pPr>
              <w:spacing w:after="0" w:before="0"/>
            </w:pPr>
            <w:r/>
            <w:r>
              <w:rPr>
                <w:b w:val="0"/>
                <w:sz w:val="16"/>
              </w:rPr>
              <w:t>grow_green.checkin_received</w:t>
            </w:r>
          </w:p>
        </w:tc>
        <w:tc>
          <w:tcPr>
            <w:tcW w:type="dxa" w:w="3360"/>
            <w:vAlign w:val="center"/>
          </w:tcPr>
          <w:p>
            <w:pPr>
              <w:spacing w:after="0" w:before="0"/>
            </w:pPr>
            <w:r/>
            <w:r>
              <w:rPr>
                <w:b w:val="0"/>
                <w:sz w:val="16"/>
              </w:rPr>
              <w:t>Grow-Green module</w:t>
            </w:r>
          </w:p>
        </w:tc>
        <w:tc>
          <w:tcPr>
            <w:tcW w:type="dxa" w:w="3360"/>
            <w:vAlign w:val="center"/>
          </w:tcPr>
          <w:p>
            <w:pPr>
              <w:spacing w:after="0" w:before="0"/>
            </w:pPr>
            <w:r/>
            <w:r>
              <w:rPr>
                <w:b w:val="0"/>
                <w:sz w:val="16"/>
              </w:rPr>
              <w:t>Verification/persistence evaluation.</w:t>
            </w:r>
          </w:p>
        </w:tc>
      </w:tr>
      <w:tr>
        <w:tc>
          <w:tcPr>
            <w:tcW w:type="dxa" w:w="3360"/>
            <w:vAlign w:val="center"/>
          </w:tcPr>
          <w:p>
            <w:pPr>
              <w:spacing w:after="0" w:before="0"/>
            </w:pPr>
            <w:r/>
            <w:r>
              <w:rPr>
                <w:b w:val="0"/>
                <w:sz w:val="16"/>
              </w:rPr>
              <w:t>grow_green.persistence_verified</w:t>
            </w:r>
          </w:p>
        </w:tc>
        <w:tc>
          <w:tcPr>
            <w:tcW w:type="dxa" w:w="3360"/>
            <w:vAlign w:val="center"/>
          </w:tcPr>
          <w:p>
            <w:pPr>
              <w:spacing w:after="0" w:before="0"/>
            </w:pPr>
            <w:r/>
            <w:r>
              <w:rPr>
                <w:b w:val="0"/>
                <w:sz w:val="16"/>
              </w:rPr>
              <w:t>Trust Engine</w:t>
            </w:r>
          </w:p>
        </w:tc>
        <w:tc>
          <w:tcPr>
            <w:tcW w:type="dxa" w:w="3360"/>
            <w:vAlign w:val="center"/>
          </w:tcPr>
          <w:p>
            <w:pPr>
              <w:spacing w:after="0" w:before="0"/>
            </w:pPr>
            <w:r/>
            <w:r>
              <w:rPr>
                <w:b w:val="0"/>
                <w:sz w:val="16"/>
              </w:rPr>
              <w:t>Release staged reward tranche if policy allows.</w:t>
            </w:r>
          </w:p>
        </w:tc>
      </w:tr>
      <w:tr>
        <w:tc>
          <w:tcPr>
            <w:tcW w:type="dxa" w:w="3360"/>
            <w:vAlign w:val="center"/>
          </w:tcPr>
          <w:p>
            <w:pPr>
              <w:spacing w:after="0" w:before="0"/>
            </w:pPr>
            <w:r/>
            <w:r>
              <w:rPr>
                <w:b w:val="0"/>
                <w:sz w:val="16"/>
              </w:rPr>
              <w:t>recycle_red.document_verified</w:t>
            </w:r>
          </w:p>
        </w:tc>
        <w:tc>
          <w:tcPr>
            <w:tcW w:type="dxa" w:w="3360"/>
            <w:vAlign w:val="center"/>
          </w:tcPr>
          <w:p>
            <w:pPr>
              <w:spacing w:after="0" w:before="0"/>
            </w:pPr>
            <w:r/>
            <w:r>
              <w:rPr>
                <w:b w:val="0"/>
                <w:sz w:val="16"/>
              </w:rPr>
              <w:t>Recycle-Red module</w:t>
            </w:r>
          </w:p>
        </w:tc>
        <w:tc>
          <w:tcPr>
            <w:tcW w:type="dxa" w:w="3360"/>
            <w:vAlign w:val="center"/>
          </w:tcPr>
          <w:p>
            <w:pPr>
              <w:spacing w:after="0" w:before="0"/>
            </w:pPr>
            <w:r/>
            <w:r>
              <w:rPr>
                <w:b w:val="0"/>
                <w:sz w:val="16"/>
              </w:rPr>
              <w:t>Create/upgrade trusted event.</w:t>
            </w:r>
          </w:p>
        </w:tc>
      </w:tr>
      <w:tr>
        <w:tc>
          <w:tcPr>
            <w:tcW w:type="dxa" w:w="3360"/>
            <w:vAlign w:val="center"/>
          </w:tcPr>
          <w:p>
            <w:pPr>
              <w:spacing w:after="0" w:before="0"/>
            </w:pPr>
            <w:r/>
            <w:r>
              <w:rPr>
                <w:b w:val="0"/>
                <w:sz w:val="16"/>
              </w:rPr>
              <w:t>reward.provisional</w:t>
            </w:r>
          </w:p>
        </w:tc>
        <w:tc>
          <w:tcPr>
            <w:tcW w:type="dxa" w:w="3360"/>
            <w:vAlign w:val="center"/>
          </w:tcPr>
          <w:p>
            <w:pPr>
              <w:spacing w:after="0" w:before="0"/>
            </w:pPr>
            <w:r/>
            <w:r>
              <w:rPr>
                <w:b w:val="0"/>
                <w:sz w:val="16"/>
              </w:rPr>
              <w:t>Reward Engine</w:t>
            </w:r>
          </w:p>
        </w:tc>
        <w:tc>
          <w:tcPr>
            <w:tcW w:type="dxa" w:w="3360"/>
            <w:vAlign w:val="center"/>
          </w:tcPr>
          <w:p>
            <w:pPr>
              <w:spacing w:after="0" w:before="0"/>
            </w:pPr>
            <w:r/>
            <w:r>
              <w:rPr>
                <w:b w:val="0"/>
                <w:sz w:val="16"/>
              </w:rPr>
              <w:t>Dashboard/notifications; not yet fully vested.</w:t>
            </w:r>
          </w:p>
        </w:tc>
      </w:tr>
      <w:tr>
        <w:tc>
          <w:tcPr>
            <w:tcW w:type="dxa" w:w="3360"/>
            <w:vAlign w:val="center"/>
          </w:tcPr>
          <w:p>
            <w:pPr>
              <w:spacing w:after="0" w:before="0"/>
            </w:pPr>
            <w:r/>
            <w:r>
              <w:rPr>
                <w:b w:val="0"/>
                <w:sz w:val="16"/>
              </w:rPr>
              <w:t>reward.vested</w:t>
            </w:r>
          </w:p>
        </w:tc>
        <w:tc>
          <w:tcPr>
            <w:tcW w:type="dxa" w:w="3360"/>
            <w:vAlign w:val="center"/>
          </w:tcPr>
          <w:p>
            <w:pPr>
              <w:spacing w:after="0" w:before="0"/>
            </w:pPr>
            <w:r/>
            <w:r>
              <w:rPr>
                <w:b w:val="0"/>
                <w:sz w:val="16"/>
              </w:rPr>
              <w:t>Reward Engine</w:t>
            </w:r>
          </w:p>
        </w:tc>
        <w:tc>
          <w:tcPr>
            <w:tcW w:type="dxa" w:w="3360"/>
            <w:vAlign w:val="center"/>
          </w:tcPr>
          <w:p>
            <w:pPr>
              <w:spacing w:after="0" w:before="0"/>
            </w:pPr>
            <w:r/>
            <w:r>
              <w:rPr>
                <w:b w:val="0"/>
                <w:sz w:val="16"/>
              </w:rPr>
              <w:t>Wallet projection + analytics.</w:t>
            </w:r>
          </w:p>
        </w:tc>
      </w:tr>
      <w:tr>
        <w:tc>
          <w:tcPr>
            <w:tcW w:type="dxa" w:w="3360"/>
            <w:vAlign w:val="center"/>
          </w:tcPr>
          <w:p>
            <w:pPr>
              <w:spacing w:after="0" w:before="0"/>
            </w:pPr>
            <w:r/>
            <w:r>
              <w:rPr>
                <w:b w:val="0"/>
                <w:sz w:val="16"/>
              </w:rPr>
              <w:t>reward.revoked</w:t>
            </w:r>
          </w:p>
        </w:tc>
        <w:tc>
          <w:tcPr>
            <w:tcW w:type="dxa" w:w="3360"/>
            <w:vAlign w:val="center"/>
          </w:tcPr>
          <w:p>
            <w:pPr>
              <w:spacing w:after="0" w:before="0"/>
            </w:pPr>
            <w:r/>
            <w:r>
              <w:rPr>
                <w:b w:val="0"/>
                <w:sz w:val="16"/>
              </w:rPr>
              <w:t>Reward Engine</w:t>
            </w:r>
          </w:p>
        </w:tc>
        <w:tc>
          <w:tcPr>
            <w:tcW w:type="dxa" w:w="3360"/>
            <w:vAlign w:val="center"/>
          </w:tcPr>
          <w:p>
            <w:pPr>
              <w:spacing w:after="0" w:before="0"/>
            </w:pPr>
            <w:r/>
            <w:r>
              <w:rPr>
                <w:b w:val="0"/>
                <w:sz w:val="16"/>
              </w:rPr>
              <w:t>Compensating ledger + risk analytics.</w:t>
            </w:r>
          </w:p>
        </w:tc>
      </w:tr>
    </w:tbl>
    <w:p>
      <w:pPr>
        <w:spacing w:after="40"/>
      </w:pPr>
    </w:p>
    <w:p>
      <w:r>
        <w:t>If Pub/Sub is not ready by Oct 11, call modules synchronously inside one Cloud Run service. Introduce Pub/Sub only when the E2E path is stable. The HLD boundary remains valid even when modules are temporarily co-deployed.</w:t>
      </w:r>
    </w:p>
    <w:p>
      <w:pPr>
        <w:pStyle w:val="Heading1"/>
        <w:keepNext/>
      </w:pPr>
      <w:r>
        <w:t>12. Data Architecture and Schemas</w:t>
      </w:r>
    </w:p>
    <w:p>
      <w:pPr>
        <w:pStyle w:val="Heading2"/>
        <w:keepNext/>
      </w:pPr>
      <w:r>
        <w:t>12.1 Firestore collections</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1B5E20"/>
          </w:tcPr>
          <w:p>
            <w:pPr>
              <w:jc w:val="center"/>
            </w:pPr>
            <w:r/>
            <w:r>
              <w:rPr>
                <w:rFonts w:ascii="Aptos" w:hAnsi="Aptos"/>
                <w:b/>
                <w:color w:val="FFFFFF"/>
                <w:sz w:val="16"/>
              </w:rPr>
              <w:t>Collection</w:t>
            </w:r>
          </w:p>
        </w:tc>
        <w:tc>
          <w:tcPr>
            <w:tcW w:type="dxa" w:w="5256"/>
            <w:vAlign w:val="center"/>
            <w:shd w:fill="1B5E20"/>
          </w:tcPr>
          <w:p>
            <w:pPr>
              <w:jc w:val="center"/>
            </w:pPr>
            <w:r/>
            <w:r>
              <w:rPr>
                <w:rFonts w:ascii="Aptos" w:hAnsi="Aptos"/>
                <w:b/>
                <w:color w:val="FFFFFF"/>
                <w:sz w:val="16"/>
              </w:rPr>
              <w:t>Key fields</w:t>
            </w:r>
          </w:p>
        </w:tc>
        <w:tc>
          <w:tcPr>
            <w:tcW w:type="dxa" w:w="3096"/>
            <w:vAlign w:val="center"/>
            <w:shd w:fill="1B5E20"/>
          </w:tcPr>
          <w:p>
            <w:pPr>
              <w:jc w:val="center"/>
            </w:pPr>
            <w:r/>
            <w:r>
              <w:rPr>
                <w:rFonts w:ascii="Aptos" w:hAnsi="Aptos"/>
                <w:b/>
                <w:color w:val="FFFFFF"/>
                <w:sz w:val="16"/>
              </w:rPr>
              <w:t>Notes</w:t>
            </w:r>
          </w:p>
        </w:tc>
      </w:tr>
      <w:tr>
        <w:tc>
          <w:tcPr>
            <w:tcW w:type="dxa" w:w="1872"/>
            <w:vAlign w:val="center"/>
          </w:tcPr>
          <w:p>
            <w:r/>
            <w:r>
              <w:rPr>
                <w:rFonts w:ascii="Aptos" w:hAnsi="Aptos"/>
                <w:b w:val="0"/>
                <w:sz w:val="16"/>
              </w:rPr>
              <w:t>users</w:t>
            </w:r>
          </w:p>
        </w:tc>
        <w:tc>
          <w:tcPr>
            <w:tcW w:type="dxa" w:w="5256"/>
            <w:vAlign w:val="center"/>
          </w:tcPr>
          <w:p>
            <w:r/>
            <w:r>
              <w:rPr>
                <w:rFonts w:ascii="Aptos" w:hAnsi="Aptos"/>
                <w:b w:val="0"/>
                <w:sz w:val="16"/>
              </w:rPr>
              <w:t>uid, pseudonymous_subject_id, mode, created_at</w:t>
            </w:r>
          </w:p>
        </w:tc>
        <w:tc>
          <w:tcPr>
            <w:tcW w:type="dxa" w:w="3096"/>
            <w:vAlign w:val="center"/>
          </w:tcPr>
          <w:p>
            <w:r/>
            <w:r>
              <w:rPr>
                <w:rFonts w:ascii="Aptos" w:hAnsi="Aptos"/>
                <w:b w:val="0"/>
                <w:sz w:val="16"/>
              </w:rPr>
              <w:t>Do not duplicate passwords or unnecessary auth PII.</w:t>
            </w:r>
          </w:p>
        </w:tc>
      </w:tr>
      <w:tr>
        <w:tc>
          <w:tcPr>
            <w:tcW w:type="dxa" w:w="1872"/>
            <w:vAlign w:val="center"/>
            <w:shd w:fill="F7F9F9"/>
          </w:tcPr>
          <w:p>
            <w:r/>
            <w:r>
              <w:rPr>
                <w:rFonts w:ascii="Aptos" w:hAnsi="Aptos"/>
                <w:b w:val="0"/>
                <w:sz w:val="16"/>
              </w:rPr>
              <w:t>consents</w:t>
            </w:r>
          </w:p>
        </w:tc>
        <w:tc>
          <w:tcPr>
            <w:tcW w:type="dxa" w:w="5256"/>
            <w:vAlign w:val="center"/>
            <w:shd w:fill="F7F9F9"/>
          </w:tcPr>
          <w:p>
            <w:r/>
            <w:r>
              <w:rPr>
                <w:rFonts w:ascii="Aptos" w:hAnsi="Aptos"/>
                <w:b w:val="0"/>
                <w:sz w:val="16"/>
              </w:rPr>
              <w:t>uid, scope, granted, version, timestamp</w:t>
            </w:r>
          </w:p>
        </w:tc>
        <w:tc>
          <w:tcPr>
            <w:tcW w:type="dxa" w:w="3096"/>
            <w:vAlign w:val="center"/>
            <w:shd w:fill="F7F9F9"/>
          </w:tcPr>
          <w:p>
            <w:r/>
            <w:r>
              <w:rPr>
                <w:rFonts w:ascii="Aptos" w:hAnsi="Aptos"/>
                <w:b w:val="0"/>
                <w:sz w:val="16"/>
              </w:rPr>
              <w:t>Scopes: camera, activity, location, microphone, personalization.</w:t>
            </w:r>
          </w:p>
        </w:tc>
      </w:tr>
      <w:tr>
        <w:tc>
          <w:tcPr>
            <w:tcW w:type="dxa" w:w="1872"/>
            <w:vAlign w:val="center"/>
          </w:tcPr>
          <w:p>
            <w:r/>
            <w:r>
              <w:rPr>
                <w:rFonts w:ascii="Aptos" w:hAnsi="Aptos"/>
                <w:b w:val="0"/>
                <w:sz w:val="16"/>
              </w:rPr>
              <w:t>scans</w:t>
            </w:r>
          </w:p>
        </w:tc>
        <w:tc>
          <w:tcPr>
            <w:tcW w:type="dxa" w:w="5256"/>
            <w:vAlign w:val="center"/>
          </w:tcPr>
          <w:p>
            <w:r/>
            <w:r>
              <w:rPr>
                <w:rFonts w:ascii="Aptos" w:hAnsi="Aptos"/>
                <w:b w:val="0"/>
                <w:sz w:val="16"/>
              </w:rPr>
              <w:t>scan_id, uid, mode, status, evidence_ref, result_ref</w:t>
            </w:r>
          </w:p>
        </w:tc>
        <w:tc>
          <w:tcPr>
            <w:tcW w:type="dxa" w:w="3096"/>
            <w:vAlign w:val="center"/>
          </w:tcPr>
          <w:p>
            <w:r/>
            <w:r>
              <w:rPr>
                <w:rFonts w:ascii="Aptos" w:hAnsi="Aptos"/>
                <w:b w:val="0"/>
                <w:sz w:val="16"/>
              </w:rPr>
              <w:t>Temporary image pointer + structured result.</w:t>
            </w:r>
          </w:p>
        </w:tc>
      </w:tr>
      <w:tr>
        <w:tc>
          <w:tcPr>
            <w:tcW w:type="dxa" w:w="1872"/>
            <w:vAlign w:val="center"/>
            <w:shd w:fill="F7F9F9"/>
          </w:tcPr>
          <w:p>
            <w:r/>
            <w:r>
              <w:rPr>
                <w:rFonts w:ascii="Aptos" w:hAnsi="Aptos"/>
                <w:b w:val="0"/>
                <w:sz w:val="16"/>
              </w:rPr>
              <w:t>products</w:t>
            </w:r>
          </w:p>
        </w:tc>
        <w:tc>
          <w:tcPr>
            <w:tcW w:type="dxa" w:w="5256"/>
            <w:vAlign w:val="center"/>
            <w:shd w:fill="F7F9F9"/>
          </w:tcPr>
          <w:p>
            <w:r/>
            <w:r>
              <w:rPr>
                <w:rFonts w:ascii="Aptos" w:hAnsi="Aptos"/>
                <w:b w:val="0"/>
                <w:sz w:val="16"/>
              </w:rPr>
              <w:t>product_id, category, attributes, demo_catalog</w:t>
            </w:r>
          </w:p>
        </w:tc>
        <w:tc>
          <w:tcPr>
            <w:tcW w:type="dxa" w:w="3096"/>
            <w:vAlign w:val="center"/>
            <w:shd w:fill="F7F9F9"/>
          </w:tcPr>
          <w:p>
            <w:r/>
            <w:r>
              <w:rPr>
                <w:rFonts w:ascii="Aptos" w:hAnsi="Aptos"/>
                <w:b w:val="0"/>
                <w:sz w:val="16"/>
              </w:rPr>
              <w:t>Small curated demo catalog.</w:t>
            </w:r>
          </w:p>
        </w:tc>
      </w:tr>
      <w:tr>
        <w:tc>
          <w:tcPr>
            <w:tcW w:type="dxa" w:w="1872"/>
            <w:vAlign w:val="center"/>
          </w:tcPr>
          <w:p>
            <w:r/>
            <w:r>
              <w:rPr>
                <w:rFonts w:ascii="Aptos" w:hAnsi="Aptos"/>
                <w:b w:val="0"/>
                <w:sz w:val="16"/>
              </w:rPr>
              <w:t>recommendations</w:t>
            </w:r>
          </w:p>
        </w:tc>
        <w:tc>
          <w:tcPr>
            <w:tcW w:type="dxa" w:w="5256"/>
            <w:vAlign w:val="center"/>
          </w:tcPr>
          <w:p>
            <w:r/>
            <w:r>
              <w:rPr>
                <w:rFonts w:ascii="Aptos" w:hAnsi="Aptos"/>
                <w:b w:val="0"/>
                <w:sz w:val="16"/>
              </w:rPr>
              <w:t>recommendation_id, uid, evidence_ids, candidate_ids, ai_output</w:t>
            </w:r>
          </w:p>
        </w:tc>
        <w:tc>
          <w:tcPr>
            <w:tcW w:type="dxa" w:w="3096"/>
            <w:vAlign w:val="center"/>
          </w:tcPr>
          <w:p>
            <w:r/>
            <w:r>
              <w:rPr>
                <w:rFonts w:ascii="Aptos" w:hAnsi="Aptos"/>
                <w:b w:val="0"/>
                <w:sz w:val="16"/>
              </w:rPr>
              <w:t>Store structured output and model metadata.</w:t>
            </w:r>
          </w:p>
        </w:tc>
      </w:tr>
      <w:tr>
        <w:tc>
          <w:tcPr>
            <w:tcW w:type="dxa" w:w="1872"/>
            <w:vAlign w:val="center"/>
            <w:shd w:fill="F7F9F9"/>
          </w:tcPr>
          <w:p>
            <w:r/>
            <w:r>
              <w:rPr>
                <w:rFonts w:ascii="Aptos" w:hAnsi="Aptos"/>
                <w:b w:val="0"/>
                <w:sz w:val="16"/>
              </w:rPr>
              <w:t>reward_wallets</w:t>
            </w:r>
          </w:p>
        </w:tc>
        <w:tc>
          <w:tcPr>
            <w:tcW w:type="dxa" w:w="5256"/>
            <w:vAlign w:val="center"/>
            <w:shd w:fill="F7F9F9"/>
          </w:tcPr>
          <w:p>
            <w:r/>
            <w:r>
              <w:rPr>
                <w:rFonts w:ascii="Aptos" w:hAnsi="Aptos"/>
                <w:b w:val="0"/>
                <w:sz w:val="16"/>
              </w:rPr>
              <w:t>uid, projected_balance</w:t>
            </w:r>
          </w:p>
        </w:tc>
        <w:tc>
          <w:tcPr>
            <w:tcW w:type="dxa" w:w="3096"/>
            <w:vAlign w:val="center"/>
            <w:shd w:fill="F7F9F9"/>
          </w:tcPr>
          <w:p>
            <w:r/>
            <w:r>
              <w:rPr>
                <w:rFonts w:ascii="Aptos" w:hAnsi="Aptos"/>
                <w:b w:val="0"/>
                <w:sz w:val="16"/>
              </w:rPr>
              <w:t>Projection only.</w:t>
            </w:r>
          </w:p>
        </w:tc>
      </w:tr>
      <w:tr>
        <w:tc>
          <w:tcPr>
            <w:tcW w:type="dxa" w:w="1872"/>
            <w:vAlign w:val="center"/>
          </w:tcPr>
          <w:p>
            <w:r/>
            <w:r>
              <w:rPr>
                <w:rFonts w:ascii="Aptos" w:hAnsi="Aptos"/>
                <w:b w:val="0"/>
                <w:sz w:val="16"/>
              </w:rPr>
              <w:t>reward_ledger</w:t>
            </w:r>
          </w:p>
        </w:tc>
        <w:tc>
          <w:tcPr>
            <w:tcW w:type="dxa" w:w="5256"/>
            <w:vAlign w:val="center"/>
          </w:tcPr>
          <w:p>
            <w:r/>
            <w:r>
              <w:rPr>
                <w:rFonts w:ascii="Aptos" w:hAnsi="Aptos"/>
                <w:b w:val="0"/>
                <w:sz w:val="16"/>
              </w:rPr>
              <w:t>entry_id, uid, event_id, amount, type, policy_version</w:t>
            </w:r>
          </w:p>
        </w:tc>
        <w:tc>
          <w:tcPr>
            <w:tcW w:type="dxa" w:w="3096"/>
            <w:vAlign w:val="center"/>
          </w:tcPr>
          <w:p>
            <w:r/>
            <w:r>
              <w:rPr>
                <w:rFonts w:ascii="Aptos" w:hAnsi="Aptos"/>
                <w:b w:val="0"/>
                <w:sz w:val="16"/>
              </w:rPr>
              <w:t>Append-only; unique business idempotency.</w:t>
            </w:r>
          </w:p>
        </w:tc>
      </w:tr>
      <w:tr>
        <w:tc>
          <w:tcPr>
            <w:tcW w:type="dxa" w:w="1872"/>
            <w:vAlign w:val="center"/>
            <w:shd w:fill="F7F9F9"/>
          </w:tcPr>
          <w:p>
            <w:r/>
            <w:r>
              <w:rPr>
                <w:rFonts w:ascii="Aptos" w:hAnsi="Aptos"/>
                <w:b w:val="0"/>
                <w:sz w:val="16"/>
              </w:rPr>
              <w:t>green_events</w:t>
            </w:r>
          </w:p>
        </w:tc>
        <w:tc>
          <w:tcPr>
            <w:tcW w:type="dxa" w:w="5256"/>
            <w:vAlign w:val="center"/>
            <w:shd w:fill="F7F9F9"/>
          </w:tcPr>
          <w:p>
            <w:r>
              <w:t>event_id, uid, action_type, evidence_refs, verification_level, confidence, impact_metric, impact_value, fraud_flags, policy_version, reward_state</w:t>
            </w:r>
          </w:p>
        </w:tc>
        <w:tc>
          <w:tcPr>
            <w:tcW w:type="dxa" w:w="3096"/>
            <w:vAlign w:val="center"/>
            <w:shd w:fill="F7F9F9"/>
          </w:tcPr>
          <w:p>
            <w:r>
              <w:t>Canonical event for all four reward segments; auditable and idempotent.</w:t>
            </w:r>
          </w:p>
        </w:tc>
      </w:tr>
      <w:tr>
        <w:tc>
          <w:tcPr>
            <w:tcW w:type="dxa" w:w="1872"/>
            <w:vAlign w:val="center"/>
          </w:tcPr>
          <w:p>
            <w:r/>
            <w:r>
              <w:rPr>
                <w:rFonts w:ascii="Aptos" w:hAnsi="Aptos"/>
                <w:b w:val="0"/>
                <w:sz w:val="16"/>
              </w:rPr>
              <w:t>daily_summaries</w:t>
            </w:r>
          </w:p>
        </w:tc>
        <w:tc>
          <w:tcPr>
            <w:tcW w:type="dxa" w:w="5256"/>
            <w:vAlign w:val="center"/>
          </w:tcPr>
          <w:p>
            <w:r/>
            <w:r>
              <w:rPr>
                <w:rFonts w:ascii="Aptos" w:hAnsi="Aptos"/>
                <w:b w:val="0"/>
                <w:sz w:val="16"/>
              </w:rPr>
              <w:t>uid, date, metrics</w:t>
            </w:r>
          </w:p>
        </w:tc>
        <w:tc>
          <w:tcPr>
            <w:tcW w:type="dxa" w:w="3096"/>
            <w:vAlign w:val="center"/>
          </w:tcPr>
          <w:p>
            <w:r/>
            <w:r>
              <w:rPr>
                <w:rFonts w:ascii="Aptos" w:hAnsi="Aptos"/>
                <w:b w:val="0"/>
                <w:sz w:val="16"/>
              </w:rPr>
              <w:t>Fast dashboard path.</w:t>
            </w:r>
          </w:p>
        </w:tc>
      </w:tr>
      <w:tr>
        <w:tc>
          <w:tcPr>
            <w:tcW w:type="dxa" w:w="3360"/>
            <w:vAlign w:val="center"/>
          </w:tcPr>
          <w:p>
            <w:pPr>
              <w:spacing w:after="0" w:before="0"/>
            </w:pPr>
            <w:r/>
            <w:r>
              <w:rPr>
                <w:b w:val="0"/>
                <w:sz w:val="16"/>
              </w:rPr>
              <w:t>commute_baselines</w:t>
            </w:r>
          </w:p>
        </w:tc>
        <w:tc>
          <w:tcPr>
            <w:tcW w:type="dxa" w:w="3360"/>
            <w:vAlign w:val="center"/>
          </w:tcPr>
          <w:p>
            <w:pPr>
              <w:spacing w:after="0" w:before="0"/>
            </w:pPr>
            <w:r/>
            <w:r>
              <w:rPr>
                <w:b w:val="0"/>
                <w:sz w:val="16"/>
              </w:rPr>
              <w:t>uid, baseline_id, origin_zone, destination_zone, normal_mode, distance_band, consent_version</w:t>
            </w:r>
          </w:p>
        </w:tc>
        <w:tc>
          <w:tcPr>
            <w:tcW w:type="dxa" w:w="3360"/>
            <w:vAlign w:val="center"/>
          </w:tcPr>
          <w:p>
            <w:pPr>
              <w:spacing w:after="0" w:before="0"/>
            </w:pPr>
            <w:r/>
            <w:r>
              <w:rPr>
                <w:b w:val="0"/>
                <w:sz w:val="16"/>
              </w:rPr>
              <w:t>Store coarse zones/bands where possible rather than precise home/work coordinates.</w:t>
            </w:r>
          </w:p>
        </w:tc>
      </w:tr>
      <w:tr>
        <w:tc>
          <w:tcPr>
            <w:tcW w:type="dxa" w:w="3360"/>
            <w:vAlign w:val="center"/>
          </w:tcPr>
          <w:p>
            <w:pPr>
              <w:spacing w:after="0" w:before="0"/>
            </w:pPr>
            <w:r/>
            <w:r>
              <w:rPr>
                <w:b w:val="0"/>
                <w:sz w:val="16"/>
              </w:rPr>
              <w:t>grow_green_projects</w:t>
            </w:r>
          </w:p>
        </w:tc>
        <w:tc>
          <w:tcPr>
            <w:tcW w:type="dxa" w:w="3360"/>
            <w:vAlign w:val="center"/>
          </w:tcPr>
          <w:p>
            <w:pPr>
              <w:spacing w:after="0" w:before="0"/>
            </w:pPr>
            <w:r/>
            <w:r>
              <w:rPr>
                <w:b w:val="0"/>
                <w:sz w:val="16"/>
              </w:rPr>
              <w:t>project_id, uid, map_geometry, privacy_mode, planted_at, claimed_count, species_summary, status</w:t>
            </w:r>
          </w:p>
        </w:tc>
        <w:tc>
          <w:tcPr>
            <w:tcW w:type="dxa" w:w="3360"/>
            <w:vAlign w:val="center"/>
          </w:tcPr>
          <w:p>
            <w:pPr>
              <w:spacing w:after="0" w:before="0"/>
            </w:pPr>
            <w:r/>
            <w:r>
              <w:rPr>
                <w:b w:val="0"/>
                <w:sz w:val="16"/>
              </w:rPr>
              <w:t>Green Plot record; exact coordinates access-controlled.</w:t>
            </w:r>
          </w:p>
        </w:tc>
      </w:tr>
      <w:tr>
        <w:tc>
          <w:tcPr>
            <w:tcW w:type="dxa" w:w="3360"/>
            <w:vAlign w:val="center"/>
          </w:tcPr>
          <w:p>
            <w:pPr>
              <w:spacing w:after="0" w:before="0"/>
            </w:pPr>
            <w:r/>
            <w:r>
              <w:rPr>
                <w:b w:val="0"/>
                <w:sz w:val="16"/>
              </w:rPr>
              <w:t>grow_green_checkins</w:t>
            </w:r>
          </w:p>
        </w:tc>
        <w:tc>
          <w:tcPr>
            <w:tcW w:type="dxa" w:w="3360"/>
            <w:vAlign w:val="center"/>
          </w:tcPr>
          <w:p>
            <w:pPr>
              <w:spacing w:after="0" w:before="0"/>
            </w:pPr>
            <w:r/>
            <w:r>
              <w:rPr>
                <w:b w:val="0"/>
                <w:sz w:val="16"/>
              </w:rPr>
              <w:t>checkin_id, project_id, captured_at, location_evidence, image_refs, verifier_type, result</w:t>
            </w:r>
          </w:p>
        </w:tc>
        <w:tc>
          <w:tcPr>
            <w:tcW w:type="dxa" w:w="3360"/>
            <w:vAlign w:val="center"/>
          </w:tcPr>
          <w:p>
            <w:pPr>
              <w:spacing w:after="0" w:before="0"/>
            </w:pPr>
            <w:r/>
            <w:r>
              <w:rPr>
                <w:b w:val="0"/>
                <w:sz w:val="16"/>
              </w:rPr>
              <w:t>Periodic owner/community evidence.</w:t>
            </w:r>
          </w:p>
        </w:tc>
      </w:tr>
      <w:tr>
        <w:tc>
          <w:tcPr>
            <w:tcW w:type="dxa" w:w="3360"/>
            <w:vAlign w:val="center"/>
          </w:tcPr>
          <w:p>
            <w:pPr>
              <w:spacing w:after="0" w:before="0"/>
            </w:pPr>
            <w:r/>
            <w:r>
              <w:rPr>
                <w:b w:val="0"/>
                <w:sz w:val="16"/>
              </w:rPr>
              <w:t>recycle_red_claims</w:t>
            </w:r>
          </w:p>
        </w:tc>
        <w:tc>
          <w:tcPr>
            <w:tcW w:type="dxa" w:w="3360"/>
            <w:vAlign w:val="center"/>
          </w:tcPr>
          <w:p>
            <w:pPr>
              <w:spacing w:after="0" w:before="0"/>
            </w:pPr>
            <w:r/>
            <w:r>
              <w:rPr>
                <w:b w:val="0"/>
                <w:sz w:val="16"/>
              </w:rPr>
              <w:t>claim_id, uid, item_category, quantity_or_weight, recycler_id, document_fingerprint, event_id, status</w:t>
            </w:r>
          </w:p>
        </w:tc>
        <w:tc>
          <w:tcPr>
            <w:tcW w:type="dxa" w:w="3360"/>
            <w:vAlign w:val="center"/>
          </w:tcPr>
          <w:p>
            <w:pPr>
              <w:spacing w:after="0" w:before="0"/>
            </w:pPr>
            <w:r/>
            <w:r>
              <w:rPr>
                <w:b w:val="0"/>
                <w:sz w:val="16"/>
              </w:rPr>
              <w:t>Safe-disposal claim linked to trusted event.</w:t>
            </w:r>
          </w:p>
        </w:tc>
      </w:tr>
      <w:tr>
        <w:tc>
          <w:tcPr>
            <w:tcW w:type="dxa" w:w="3360"/>
            <w:vAlign w:val="center"/>
          </w:tcPr>
          <w:p>
            <w:pPr>
              <w:spacing w:after="0" w:before="0"/>
            </w:pPr>
            <w:r/>
            <w:r>
              <w:rPr>
                <w:b w:val="0"/>
                <w:sz w:val="16"/>
              </w:rPr>
              <w:t>verified_recyclers</w:t>
            </w:r>
          </w:p>
        </w:tc>
        <w:tc>
          <w:tcPr>
            <w:tcW w:type="dxa" w:w="3360"/>
            <w:vAlign w:val="center"/>
          </w:tcPr>
          <w:p>
            <w:pPr>
              <w:spacing w:after="0" w:before="0"/>
            </w:pPr>
            <w:r/>
            <w:r>
              <w:rPr>
                <w:b w:val="0"/>
                <w:sz w:val="16"/>
              </w:rPr>
              <w:t>recycler_id, name, locations, accepted_categories, verification_source, active</w:t>
            </w:r>
          </w:p>
        </w:tc>
        <w:tc>
          <w:tcPr>
            <w:tcW w:type="dxa" w:w="3360"/>
            <w:vAlign w:val="center"/>
          </w:tcPr>
          <w:p>
            <w:pPr>
              <w:spacing w:after="0" w:before="0"/>
            </w:pPr>
            <w:r/>
            <w:r>
              <w:rPr>
                <w:b w:val="0"/>
                <w:sz w:val="16"/>
              </w:rPr>
              <w:t>Curated demo registry; version/source metadata required.</w:t>
            </w:r>
          </w:p>
        </w:tc>
      </w:tr>
      <w:tr>
        <w:tc>
          <w:tcPr>
            <w:tcW w:type="dxa" w:w="3360"/>
            <w:vAlign w:val="center"/>
          </w:tcPr>
          <w:p>
            <w:pPr>
              <w:spacing w:after="0" w:before="0"/>
            </w:pPr>
            <w:r/>
            <w:r>
              <w:rPr>
                <w:b w:val="0"/>
                <w:sz w:val="16"/>
              </w:rPr>
              <w:t>reward_policies</w:t>
            </w:r>
          </w:p>
        </w:tc>
        <w:tc>
          <w:tcPr>
            <w:tcW w:type="dxa" w:w="3360"/>
            <w:vAlign w:val="center"/>
          </w:tcPr>
          <w:p>
            <w:pPr>
              <w:spacing w:after="0" w:before="0"/>
            </w:pPr>
            <w:r/>
            <w:r>
              <w:rPr>
                <w:b w:val="0"/>
                <w:sz w:val="16"/>
              </w:rPr>
              <w:t>policy_id, action_type, version, base_points, factors, caps, persistence_schedule, effective_dates</w:t>
            </w:r>
          </w:p>
        </w:tc>
        <w:tc>
          <w:tcPr>
            <w:tcW w:type="dxa" w:w="3360"/>
            <w:vAlign w:val="center"/>
          </w:tcPr>
          <w:p>
            <w:pPr>
              <w:spacing w:after="0" w:before="0"/>
            </w:pPr>
            <w:r/>
            <w:r>
              <w:rPr>
                <w:b w:val="0"/>
                <w:sz w:val="16"/>
              </w:rPr>
              <w:t>Server-side policy; never editable by client.</w:t>
            </w:r>
          </w:p>
        </w:tc>
      </w:tr>
    </w:tbl>
    <w:p>
      <w:pPr>
        <w:spacing w:after="40"/>
      </w:pPr>
    </w:p>
    <w:p>
      <w:pPr>
        <w:pStyle w:val="Heading2"/>
        <w:keepNext/>
      </w:pPr>
      <w:r>
        <w:t>12.2 BigQuery tables</w:t>
      </w:r>
    </w:p>
    <w:tbl>
      <w:tblPr>
        <w:tblStyle w:val="TableGrid"/>
        <w:tblW w:type="auto" w:w="0"/>
        <w:jc w:val="center"/>
        <w:tblLook w:firstColumn="1" w:firstRow="1" w:lastColumn="0" w:lastRow="0" w:noHBand="0" w:noVBand="1" w:val="04A0"/>
      </w:tblPr>
      <w:tblGrid>
        <w:gridCol w:w="3360"/>
        <w:gridCol w:w="3360"/>
        <w:gridCol w:w="3360"/>
      </w:tblGrid>
      <w:tr>
        <w:tc>
          <w:tcPr>
            <w:tcW w:type="dxa" w:w="3240"/>
            <w:vAlign w:val="center"/>
            <w:shd w:fill="1B5E20"/>
          </w:tcPr>
          <w:p>
            <w:pPr>
              <w:jc w:val="center"/>
            </w:pPr>
            <w:r/>
            <w:r>
              <w:rPr>
                <w:rFonts w:ascii="Aptos" w:hAnsi="Aptos"/>
                <w:b/>
                <w:color w:val="FFFFFF"/>
                <w:sz w:val="15"/>
              </w:rPr>
              <w:t>Dataset.table</w:t>
            </w:r>
          </w:p>
        </w:tc>
        <w:tc>
          <w:tcPr>
            <w:tcW w:type="dxa" w:w="4680"/>
            <w:vAlign w:val="center"/>
            <w:shd w:fill="1B5E20"/>
          </w:tcPr>
          <w:p>
            <w:pPr>
              <w:jc w:val="center"/>
            </w:pPr>
            <w:r/>
            <w:r>
              <w:rPr>
                <w:rFonts w:ascii="Aptos" w:hAnsi="Aptos"/>
                <w:b/>
                <w:color w:val="FFFFFF"/>
                <w:sz w:val="15"/>
              </w:rPr>
              <w:t>Minimum fields</w:t>
            </w:r>
          </w:p>
        </w:tc>
        <w:tc>
          <w:tcPr>
            <w:tcW w:type="dxa" w:w="2232"/>
            <w:vAlign w:val="center"/>
            <w:shd w:fill="1B5E20"/>
          </w:tcPr>
          <w:p>
            <w:pPr>
              <w:jc w:val="center"/>
            </w:pPr>
            <w:r/>
            <w:r>
              <w:rPr>
                <w:rFonts w:ascii="Aptos" w:hAnsi="Aptos"/>
                <w:b/>
                <w:color w:val="FFFFFF"/>
                <w:sz w:val="15"/>
              </w:rPr>
              <w:t>Design rule</w:t>
            </w:r>
          </w:p>
        </w:tc>
      </w:tr>
      <w:tr>
        <w:tc>
          <w:tcPr>
            <w:tcW w:type="dxa" w:w="3240"/>
            <w:vAlign w:val="center"/>
          </w:tcPr>
          <w:p>
            <w:r/>
            <w:r>
              <w:rPr>
                <w:rFonts w:ascii="Aptos" w:hAnsi="Aptos"/>
                <w:b w:val="0"/>
                <w:sz w:val="15"/>
              </w:rPr>
              <w:t>carbonlens_reference.emission_factors</w:t>
            </w:r>
          </w:p>
        </w:tc>
        <w:tc>
          <w:tcPr>
            <w:tcW w:type="dxa" w:w="4680"/>
            <w:vAlign w:val="center"/>
          </w:tcPr>
          <w:p>
            <w:r/>
            <w:r>
              <w:rPr>
                <w:rFonts w:ascii="Aptos" w:hAnsi="Aptos"/>
                <w:b w:val="0"/>
                <w:sz w:val="15"/>
              </w:rPr>
              <w:t>factor_id, category, activity_unit, kg_co2e_per_unit, geography, source, effective_from, version, confidence</w:t>
            </w:r>
          </w:p>
        </w:tc>
        <w:tc>
          <w:tcPr>
            <w:tcW w:type="dxa" w:w="2232"/>
            <w:vAlign w:val="center"/>
          </w:tcPr>
          <w:p>
            <w:r/>
            <w:r>
              <w:rPr>
                <w:rFonts w:ascii="Aptos" w:hAnsi="Aptos"/>
                <w:b w:val="0"/>
                <w:sz w:val="15"/>
              </w:rPr>
              <w:t>Versioned scientific/reference table.</w:t>
            </w:r>
          </w:p>
        </w:tc>
      </w:tr>
      <w:tr>
        <w:tc>
          <w:tcPr>
            <w:tcW w:type="dxa" w:w="3240"/>
            <w:vAlign w:val="center"/>
            <w:shd w:fill="F7F9F9"/>
          </w:tcPr>
          <w:p>
            <w:r/>
            <w:r>
              <w:rPr>
                <w:rFonts w:ascii="Aptos" w:hAnsi="Aptos"/>
                <w:b w:val="0"/>
                <w:sz w:val="15"/>
              </w:rPr>
              <w:t>carbonlens_reference.product_sustainability</w:t>
            </w:r>
          </w:p>
        </w:tc>
        <w:tc>
          <w:tcPr>
            <w:tcW w:type="dxa" w:w="4680"/>
            <w:vAlign w:val="center"/>
            <w:shd w:fill="F7F9F9"/>
          </w:tcPr>
          <w:p>
            <w:r/>
            <w:r>
              <w:rPr>
                <w:rFonts w:ascii="Aptos" w:hAnsi="Aptos"/>
                <w:b w:val="0"/>
                <w:sz w:val="15"/>
              </w:rPr>
              <w:t>product/category, carbon_intensity, reusability, packaging, recyclability, durability, source, confidence</w:t>
            </w:r>
          </w:p>
        </w:tc>
        <w:tc>
          <w:tcPr>
            <w:tcW w:type="dxa" w:w="2232"/>
            <w:vAlign w:val="center"/>
            <w:shd w:fill="F7F9F9"/>
          </w:tcPr>
          <w:p>
            <w:r/>
            <w:r>
              <w:rPr>
                <w:rFonts w:ascii="Aptos" w:hAnsi="Aptos"/>
                <w:b w:val="0"/>
                <w:sz w:val="15"/>
              </w:rPr>
              <w:t>Input to Sustainability Score.</w:t>
            </w:r>
          </w:p>
        </w:tc>
      </w:tr>
      <w:tr>
        <w:tc>
          <w:tcPr>
            <w:tcW w:type="dxa" w:w="3240"/>
            <w:vAlign w:val="center"/>
          </w:tcPr>
          <w:p>
            <w:r/>
            <w:r>
              <w:rPr>
                <w:rFonts w:ascii="Aptos" w:hAnsi="Aptos"/>
                <w:b w:val="0"/>
                <w:sz w:val="15"/>
              </w:rPr>
              <w:t>carbonlens_analytics.activity_events</w:t>
            </w:r>
          </w:p>
        </w:tc>
        <w:tc>
          <w:tcPr>
            <w:tcW w:type="dxa" w:w="4680"/>
            <w:vAlign w:val="center"/>
          </w:tcPr>
          <w:p>
            <w:r/>
            <w:r>
              <w:rPr>
                <w:rFonts w:ascii="Aptos" w:hAnsi="Aptos"/>
                <w:b w:val="0"/>
                <w:sz w:val="15"/>
              </w:rPr>
              <w:t>event_date, subject_id, event_type, value, unit, source</w:t>
            </w:r>
          </w:p>
        </w:tc>
        <w:tc>
          <w:tcPr>
            <w:tcW w:type="dxa" w:w="2232"/>
            <w:vAlign w:val="center"/>
          </w:tcPr>
          <w:p>
            <w:r/>
            <w:r>
              <w:rPr>
                <w:rFonts w:ascii="Aptos" w:hAnsi="Aptos"/>
                <w:b w:val="0"/>
                <w:sz w:val="15"/>
              </w:rPr>
              <w:t>Partition by event_date.</w:t>
            </w:r>
          </w:p>
        </w:tc>
      </w:tr>
      <w:tr>
        <w:tc>
          <w:tcPr>
            <w:tcW w:type="dxa" w:w="3240"/>
            <w:vAlign w:val="center"/>
            <w:shd w:fill="F7F9F9"/>
          </w:tcPr>
          <w:p>
            <w:r/>
            <w:r>
              <w:rPr>
                <w:rFonts w:ascii="Aptos" w:hAnsi="Aptos"/>
                <w:b w:val="0"/>
                <w:sz w:val="15"/>
              </w:rPr>
              <w:t>carbonlens_analytics.carbon_events</w:t>
            </w:r>
          </w:p>
        </w:tc>
        <w:tc>
          <w:tcPr>
            <w:tcW w:type="dxa" w:w="4680"/>
            <w:vAlign w:val="center"/>
            <w:shd w:fill="F7F9F9"/>
          </w:tcPr>
          <w:p>
            <w:r/>
            <w:r>
              <w:rPr>
                <w:rFonts w:ascii="Aptos" w:hAnsi="Aptos"/>
                <w:b w:val="0"/>
                <w:sz w:val="15"/>
              </w:rPr>
              <w:t>event_date, subject_id, method, kg_co2e, avoided_kg_co2e, factor_version, confidence</w:t>
            </w:r>
          </w:p>
        </w:tc>
        <w:tc>
          <w:tcPr>
            <w:tcW w:type="dxa" w:w="2232"/>
            <w:vAlign w:val="center"/>
            <w:shd w:fill="F7F9F9"/>
          </w:tcPr>
          <w:p>
            <w:r/>
            <w:r>
              <w:rPr>
                <w:rFonts w:ascii="Aptos" w:hAnsi="Aptos"/>
                <w:b w:val="0"/>
                <w:sz w:val="15"/>
              </w:rPr>
              <w:t>Never overwrite historical factor version.</w:t>
            </w:r>
          </w:p>
        </w:tc>
      </w:tr>
      <w:tr>
        <w:tc>
          <w:tcPr>
            <w:tcW w:type="dxa" w:w="3240"/>
            <w:vAlign w:val="center"/>
          </w:tcPr>
          <w:p>
            <w:r/>
            <w:r>
              <w:rPr>
                <w:rFonts w:ascii="Aptos" w:hAnsi="Aptos"/>
                <w:b w:val="0"/>
                <w:sz w:val="15"/>
              </w:rPr>
              <w:t>carbonlens_analytics.reward_events</w:t>
            </w:r>
          </w:p>
        </w:tc>
        <w:tc>
          <w:tcPr>
            <w:tcW w:type="dxa" w:w="4680"/>
            <w:vAlign w:val="center"/>
          </w:tcPr>
          <w:p>
            <w:r/>
            <w:r>
              <w:rPr>
                <w:rFonts w:ascii="Aptos" w:hAnsi="Aptos"/>
                <w:b w:val="0"/>
                <w:sz w:val="15"/>
              </w:rPr>
              <w:t>event_date, subject_id, event_id, points, verification_level, policy_version</w:t>
            </w:r>
          </w:p>
        </w:tc>
        <w:tc>
          <w:tcPr>
            <w:tcW w:type="dxa" w:w="2232"/>
            <w:vAlign w:val="center"/>
          </w:tcPr>
          <w:p>
            <w:r/>
            <w:r>
              <w:rPr>
                <w:rFonts w:ascii="Aptos" w:hAnsi="Aptos"/>
                <w:b w:val="0"/>
                <w:sz w:val="15"/>
              </w:rPr>
              <w:t>Supports audit/reports.</w:t>
            </w:r>
          </w:p>
        </w:tc>
      </w:tr>
      <w:tr>
        <w:tc>
          <w:tcPr>
            <w:tcW w:type="dxa" w:w="3240"/>
            <w:vAlign w:val="center"/>
            <w:shd w:fill="F7F9F9"/>
          </w:tcPr>
          <w:p>
            <w:r/>
            <w:r>
              <w:rPr>
                <w:rFonts w:ascii="Aptos" w:hAnsi="Aptos"/>
                <w:b w:val="0"/>
                <w:sz w:val="15"/>
              </w:rPr>
              <w:t>carbonlens_analytics.daily_summaries</w:t>
            </w:r>
          </w:p>
        </w:tc>
        <w:tc>
          <w:tcPr>
            <w:tcW w:type="dxa" w:w="4680"/>
            <w:vAlign w:val="center"/>
            <w:shd w:fill="F7F9F9"/>
          </w:tcPr>
          <w:p>
            <w:r/>
            <w:r>
              <w:rPr>
                <w:rFonts w:ascii="Aptos" w:hAnsi="Aptos"/>
                <w:b w:val="0"/>
                <w:sz w:val="15"/>
              </w:rPr>
              <w:t>date, subject_id, metrics...</w:t>
            </w:r>
          </w:p>
        </w:tc>
        <w:tc>
          <w:tcPr>
            <w:tcW w:type="dxa" w:w="2232"/>
            <w:vAlign w:val="center"/>
            <w:shd w:fill="F7F9F9"/>
          </w:tcPr>
          <w:p>
            <w:r/>
            <w:r>
              <w:rPr>
                <w:rFonts w:ascii="Aptos" w:hAnsi="Aptos"/>
                <w:b w:val="0"/>
                <w:sz w:val="15"/>
              </w:rPr>
              <w:t>Dashboard/report roll-up.</w:t>
            </w:r>
          </w:p>
        </w:tc>
      </w:tr>
      <w:tr>
        <w:tc>
          <w:tcPr>
            <w:tcW w:type="dxa" w:w="3360"/>
            <w:vAlign w:val="center"/>
          </w:tcPr>
          <w:p>
            <w:pPr>
              <w:spacing w:after="0" w:before="0"/>
            </w:pPr>
            <w:r/>
            <w:r>
              <w:rPr>
                <w:b w:val="0"/>
                <w:sz w:val="16"/>
              </w:rPr>
              <w:t>carbonlens_analytics.green_action_events</w:t>
            </w:r>
          </w:p>
        </w:tc>
        <w:tc>
          <w:tcPr>
            <w:tcW w:type="dxa" w:w="3360"/>
            <w:vAlign w:val="center"/>
          </w:tcPr>
          <w:p>
            <w:pPr>
              <w:spacing w:after="0" w:before="0"/>
            </w:pPr>
            <w:r/>
            <w:r>
              <w:rPr>
                <w:b w:val="0"/>
                <w:sz w:val="16"/>
              </w:rPr>
              <w:t>event_date, subject_id, action_type, verification_level, impact_metric, impact_value, confidence, reward_state, policy_version</w:t>
            </w:r>
          </w:p>
        </w:tc>
        <w:tc>
          <w:tcPr>
            <w:tcW w:type="dxa" w:w="3360"/>
            <w:vAlign w:val="center"/>
          </w:tcPr>
          <w:p>
            <w:pPr>
              <w:spacing w:after="0" w:before="0"/>
            </w:pPr>
            <w:r/>
            <w:r>
              <w:rPr>
                <w:b w:val="0"/>
                <w:sz w:val="16"/>
              </w:rPr>
              <w:t>Unified analytics across four segments.</w:t>
            </w:r>
          </w:p>
        </w:tc>
      </w:tr>
      <w:tr>
        <w:tc>
          <w:tcPr>
            <w:tcW w:type="dxa" w:w="3360"/>
            <w:vAlign w:val="center"/>
          </w:tcPr>
          <w:p>
            <w:pPr>
              <w:spacing w:after="0" w:before="0"/>
            </w:pPr>
            <w:r/>
            <w:r>
              <w:rPr>
                <w:b w:val="0"/>
                <w:sz w:val="16"/>
              </w:rPr>
              <w:t>carbonlens_analytics.grow_green_checks</w:t>
            </w:r>
          </w:p>
        </w:tc>
        <w:tc>
          <w:tcPr>
            <w:tcW w:type="dxa" w:w="3360"/>
            <w:vAlign w:val="center"/>
          </w:tcPr>
          <w:p>
            <w:pPr>
              <w:spacing w:after="0" w:before="0"/>
            </w:pPr>
            <w:r/>
            <w:r>
              <w:rPr>
                <w:b w:val="0"/>
                <w:sz w:val="16"/>
              </w:rPr>
              <w:t>event_date, subject_id, project_id, checkpoint_day, evidence_types, vegetation_signal, verification_result</w:t>
            </w:r>
          </w:p>
        </w:tc>
        <w:tc>
          <w:tcPr>
            <w:tcW w:type="dxa" w:w="3360"/>
            <w:vAlign w:val="center"/>
          </w:tcPr>
          <w:p>
            <w:pPr>
              <w:spacing w:after="0" w:before="0"/>
            </w:pPr>
            <w:r/>
            <w:r>
              <w:rPr>
                <w:b w:val="0"/>
                <w:sz w:val="16"/>
              </w:rPr>
              <w:t>Supports survival/persistence reporting; avoid exposing precise coordinates to broad analytics users.</w:t>
            </w:r>
          </w:p>
        </w:tc>
      </w:tr>
      <w:tr>
        <w:tc>
          <w:tcPr>
            <w:tcW w:type="dxa" w:w="3360"/>
            <w:vAlign w:val="center"/>
          </w:tcPr>
          <w:p>
            <w:pPr>
              <w:spacing w:after="0" w:before="0"/>
            </w:pPr>
            <w:r/>
            <w:r>
              <w:rPr>
                <w:b w:val="0"/>
                <w:sz w:val="16"/>
              </w:rPr>
              <w:t>carbonlens_reference.verified_recyclers</w:t>
            </w:r>
          </w:p>
        </w:tc>
        <w:tc>
          <w:tcPr>
            <w:tcW w:type="dxa" w:w="3360"/>
            <w:vAlign w:val="center"/>
          </w:tcPr>
          <w:p>
            <w:pPr>
              <w:spacing w:after="0" w:before="0"/>
            </w:pPr>
            <w:r/>
            <w:r>
              <w:rPr>
                <w:b w:val="0"/>
                <w:sz w:val="16"/>
              </w:rPr>
              <w:t>recycler_id, geography, accepted_categories, source, valid_from, valid_to, version</w:t>
            </w:r>
          </w:p>
        </w:tc>
        <w:tc>
          <w:tcPr>
            <w:tcW w:type="dxa" w:w="3360"/>
            <w:vAlign w:val="center"/>
          </w:tcPr>
          <w:p>
            <w:pPr>
              <w:spacing w:after="0" w:before="0"/>
            </w:pPr>
            <w:r/>
            <w:r>
              <w:rPr>
                <w:b w:val="0"/>
                <w:sz w:val="16"/>
              </w:rPr>
              <w:t>Reference registry used by Recycle-Red.</w:t>
            </w:r>
          </w:p>
        </w:tc>
      </w:tr>
      <w:tr>
        <w:tc>
          <w:tcPr>
            <w:tcW w:type="dxa" w:w="3360"/>
            <w:vAlign w:val="center"/>
          </w:tcPr>
          <w:p>
            <w:pPr>
              <w:spacing w:after="0" w:before="0"/>
            </w:pPr>
            <w:r/>
            <w:r>
              <w:rPr>
                <w:b w:val="0"/>
                <w:sz w:val="16"/>
              </w:rPr>
              <w:t>carbonlens_reference.reward_policies</w:t>
            </w:r>
          </w:p>
        </w:tc>
        <w:tc>
          <w:tcPr>
            <w:tcW w:type="dxa" w:w="3360"/>
            <w:vAlign w:val="center"/>
          </w:tcPr>
          <w:p>
            <w:pPr>
              <w:spacing w:after="0" w:before="0"/>
            </w:pPr>
            <w:r/>
            <w:r>
              <w:rPr>
                <w:b w:val="0"/>
                <w:sz w:val="16"/>
              </w:rPr>
              <w:t>action_type, policy_version, base_points, cap_json, persistence_json, effective_from</w:t>
            </w:r>
          </w:p>
        </w:tc>
        <w:tc>
          <w:tcPr>
            <w:tcW w:type="dxa" w:w="3360"/>
            <w:vAlign w:val="center"/>
          </w:tcPr>
          <w:p>
            <w:pPr>
              <w:spacing w:after="0" w:before="0"/>
            </w:pPr>
            <w:r/>
            <w:r>
              <w:rPr>
                <w:b w:val="0"/>
                <w:sz w:val="16"/>
              </w:rPr>
              <w:t>Historical reward calculations must be reproducible.</w:t>
            </w:r>
          </w:p>
        </w:tc>
      </w:tr>
    </w:tbl>
    <w:p>
      <w:pPr>
        <w:spacing w:after="40"/>
      </w:pPr>
    </w:p>
    <w:p>
      <w:pPr>
        <w:pStyle w:val="Heading2"/>
        <w:keepNext/>
      </w:pPr>
      <w:r>
        <w:t>12.3 Sustainability Score v1 for the demo</w:t>
      </w:r>
    </w:p>
    <w:tbl>
      <w:tblPr>
        <w:tblStyle w:val="TableGrid"/>
        <w:tblW w:type="auto" w:w="0"/>
        <w:tblLook w:firstColumn="1" w:firstRow="1" w:lastColumn="0" w:lastRow="0" w:noHBand="0" w:noVBand="1" w:val="04A0"/>
      </w:tblPr>
      <w:tblGrid>
        <w:gridCol w:w="10080"/>
      </w:tblGrid>
      <w:tr>
        <w:tc>
          <w:tcPr>
            <w:tcW w:type="dxa" w:w="10080"/>
            <w:shd w:fill="F5F5F5"/>
          </w:tcPr>
          <w:p>
            <w:pPr>
              <w:spacing w:before="80" w:after="80"/>
            </w:pPr>
            <w:r>
              <w:rPr>
                <w:rFonts w:ascii="Liberation Mono" w:hAnsi="Liberation Mono"/>
                <w:sz w:val="16"/>
              </w:rPr>
              <w:t>Sustainability Score = 0.40 × carbon_intensity_score</w:t>
              <w:br/>
              <w:t xml:space="preserve">                     + 0.20 × reusability_score</w:t>
              <w:br/>
              <w:t xml:space="preserve">                     + 0.15 × packaging_score</w:t>
              <w:br/>
              <w:t xml:space="preserve">                     + 0.15 × recyclability_score</w:t>
              <w:br/>
              <w:t xml:space="preserve">                     + 0.10 × durability_score</w:t>
            </w:r>
          </w:p>
        </w:tc>
      </w:tr>
    </w:tbl>
    <w:p>
      <w:r>
        <w:t>Use this as a transparent prototype weighting, not a universal scientific standard. Store the score_policy_version and show users that the Sustainability Score is distinct from kg CO2e.</w:t>
      </w:r>
    </w:p>
    <w:p>
      <w:pPr>
        <w:pStyle w:val="Heading1"/>
        <w:keepNext/>
      </w:pPr>
      <w:r>
        <w:t>13. Security, Privacy and Trust Controls</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B5E20"/>
          </w:tcPr>
          <w:p>
            <w:pPr>
              <w:jc w:val="center"/>
            </w:pPr>
            <w:r/>
            <w:r>
              <w:rPr>
                <w:rFonts w:ascii="Aptos" w:hAnsi="Aptos"/>
                <w:b/>
                <w:color w:val="FFFFFF"/>
                <w:sz w:val="17"/>
              </w:rPr>
              <w:t>Area</w:t>
            </w:r>
          </w:p>
        </w:tc>
        <w:tc>
          <w:tcPr>
            <w:tcW w:type="dxa" w:w="7704"/>
            <w:vAlign w:val="center"/>
            <w:shd w:fill="1B5E20"/>
          </w:tcPr>
          <w:p>
            <w:pPr>
              <w:jc w:val="center"/>
            </w:pPr>
            <w:r/>
            <w:r>
              <w:rPr>
                <w:rFonts w:ascii="Aptos" w:hAnsi="Aptos"/>
                <w:b/>
                <w:color w:val="FFFFFF"/>
                <w:sz w:val="17"/>
              </w:rPr>
              <w:t>MVP control</w:t>
            </w:r>
          </w:p>
        </w:tc>
      </w:tr>
      <w:tr>
        <w:tc>
          <w:tcPr>
            <w:tcW w:type="dxa" w:w="2448"/>
            <w:vAlign w:val="center"/>
          </w:tcPr>
          <w:p>
            <w:r/>
            <w:r>
              <w:rPr>
                <w:rFonts w:ascii="Aptos" w:hAnsi="Aptos"/>
                <w:b w:val="0"/>
                <w:sz w:val="17"/>
              </w:rPr>
              <w:t>Authentication</w:t>
            </w:r>
          </w:p>
        </w:tc>
        <w:tc>
          <w:tcPr>
            <w:tcW w:type="dxa" w:w="7704"/>
            <w:vAlign w:val="center"/>
          </w:tcPr>
          <w:p>
            <w:r/>
            <w:r>
              <w:rPr>
                <w:rFonts w:ascii="Aptos" w:hAnsi="Aptos"/>
                <w:b w:val="0"/>
                <w:sz w:val="17"/>
              </w:rPr>
              <w:t>Firebase Authentication; backend verifies ID token.</w:t>
            </w:r>
          </w:p>
        </w:tc>
      </w:tr>
      <w:tr>
        <w:tc>
          <w:tcPr>
            <w:tcW w:type="dxa" w:w="2448"/>
            <w:vAlign w:val="center"/>
            <w:shd w:fill="F7F9F9"/>
          </w:tcPr>
          <w:p>
            <w:r/>
            <w:r>
              <w:rPr>
                <w:rFonts w:ascii="Aptos" w:hAnsi="Aptos"/>
                <w:b w:val="0"/>
                <w:sz w:val="17"/>
              </w:rPr>
              <w:t>Client authenticity</w:t>
            </w:r>
          </w:p>
        </w:tc>
        <w:tc>
          <w:tcPr>
            <w:tcW w:type="dxa" w:w="7704"/>
            <w:vAlign w:val="center"/>
            <w:shd w:fill="F7F9F9"/>
          </w:tcPr>
          <w:p>
            <w:r/>
            <w:r>
              <w:rPr>
                <w:rFonts w:ascii="Aptos" w:hAnsi="Aptos"/>
                <w:b w:val="0"/>
                <w:sz w:val="17"/>
              </w:rPr>
              <w:t>Firebase App Check; enforce after testing.</w:t>
            </w:r>
          </w:p>
        </w:tc>
      </w:tr>
      <w:tr>
        <w:tc>
          <w:tcPr>
            <w:tcW w:type="dxa" w:w="2448"/>
            <w:vAlign w:val="center"/>
          </w:tcPr>
          <w:p>
            <w:r/>
            <w:r>
              <w:rPr>
                <w:rFonts w:ascii="Aptos" w:hAnsi="Aptos"/>
                <w:b w:val="0"/>
                <w:sz w:val="17"/>
              </w:rPr>
              <w:t>Authorization</w:t>
            </w:r>
          </w:p>
        </w:tc>
        <w:tc>
          <w:tcPr>
            <w:tcW w:type="dxa" w:w="7704"/>
            <w:vAlign w:val="center"/>
          </w:tcPr>
          <w:p>
            <w:r/>
            <w:r>
              <w:rPr>
                <w:rFonts w:ascii="Aptos" w:hAnsi="Aptos"/>
                <w:b w:val="0"/>
                <w:sz w:val="17"/>
              </w:rPr>
              <w:t>User-scoped Firestore rules and backend IAM. Runtime service accounts receive least privilege.</w:t>
            </w:r>
          </w:p>
        </w:tc>
      </w:tr>
      <w:tr>
        <w:tc>
          <w:tcPr>
            <w:tcW w:type="dxa" w:w="2448"/>
            <w:vAlign w:val="center"/>
            <w:shd w:fill="F7F9F9"/>
          </w:tcPr>
          <w:p>
            <w:r/>
            <w:r>
              <w:rPr>
                <w:rFonts w:ascii="Aptos" w:hAnsi="Aptos"/>
                <w:b w:val="0"/>
                <w:sz w:val="17"/>
              </w:rPr>
              <w:t>Secrets</w:t>
            </w:r>
          </w:p>
        </w:tc>
        <w:tc>
          <w:tcPr>
            <w:tcW w:type="dxa" w:w="7704"/>
            <w:vAlign w:val="center"/>
            <w:shd w:fill="F7F9F9"/>
          </w:tcPr>
          <w:p>
            <w:r/>
            <w:r>
              <w:rPr>
                <w:rFonts w:ascii="Aptos" w:hAnsi="Aptos"/>
                <w:b w:val="0"/>
                <w:sz w:val="17"/>
              </w:rPr>
              <w:t>Secret Manager only; no service-account JSON/API keys in repository.</w:t>
            </w:r>
          </w:p>
        </w:tc>
      </w:tr>
      <w:tr>
        <w:tc>
          <w:tcPr>
            <w:tcW w:type="dxa" w:w="2448"/>
            <w:vAlign w:val="center"/>
          </w:tcPr>
          <w:p>
            <w:r/>
            <w:r>
              <w:rPr>
                <w:rFonts w:ascii="Aptos" w:hAnsi="Aptos"/>
                <w:b w:val="0"/>
                <w:sz w:val="17"/>
              </w:rPr>
              <w:t>Sensitive images</w:t>
            </w:r>
          </w:p>
        </w:tc>
        <w:tc>
          <w:tcPr>
            <w:tcW w:type="dxa" w:w="7704"/>
            <w:vAlign w:val="center"/>
          </w:tcPr>
          <w:p>
            <w:r/>
            <w:r>
              <w:rPr>
                <w:rFonts w:ascii="Aptos" w:hAnsi="Aptos"/>
                <w:b w:val="0"/>
                <w:sz w:val="17"/>
              </w:rPr>
              <w:t>Private Cloud Storage bucket; lifecycle deletion; store structured extraction and hashes rather than raw image indefinitely.</w:t>
            </w:r>
          </w:p>
        </w:tc>
      </w:tr>
      <w:tr>
        <w:tc>
          <w:tcPr>
            <w:tcW w:type="dxa" w:w="2448"/>
            <w:vAlign w:val="center"/>
            <w:shd w:fill="F7F9F9"/>
          </w:tcPr>
          <w:p>
            <w:r/>
            <w:r>
              <w:rPr>
                <w:rFonts w:ascii="Aptos" w:hAnsi="Aptos"/>
                <w:b w:val="0"/>
                <w:sz w:val="17"/>
              </w:rPr>
              <w:t>PII separation</w:t>
            </w:r>
          </w:p>
        </w:tc>
        <w:tc>
          <w:tcPr>
            <w:tcW w:type="dxa" w:w="7704"/>
            <w:vAlign w:val="center"/>
            <w:shd w:fill="F7F9F9"/>
          </w:tcPr>
          <w:p>
            <w:r/>
            <w:r>
              <w:rPr>
                <w:rFonts w:ascii="Aptos" w:hAnsi="Aptos"/>
                <w:b w:val="0"/>
                <w:sz w:val="17"/>
              </w:rPr>
              <w:t>Analytics uses pseudonymous_subject_id rather than email/phone.</w:t>
            </w:r>
          </w:p>
        </w:tc>
      </w:tr>
      <w:tr>
        <w:tc>
          <w:tcPr>
            <w:tcW w:type="dxa" w:w="2448"/>
            <w:vAlign w:val="center"/>
          </w:tcPr>
          <w:p>
            <w:r/>
            <w:r>
              <w:rPr>
                <w:rFonts w:ascii="Aptos" w:hAnsi="Aptos"/>
                <w:b w:val="0"/>
                <w:sz w:val="17"/>
              </w:rPr>
              <w:t>Logs</w:t>
            </w:r>
          </w:p>
        </w:tc>
        <w:tc>
          <w:tcPr>
            <w:tcW w:type="dxa" w:w="7704"/>
            <w:vAlign w:val="center"/>
          </w:tcPr>
          <w:p>
            <w:r/>
            <w:r>
              <w:rPr>
                <w:rFonts w:ascii="Aptos" w:hAnsi="Aptos"/>
                <w:b w:val="0"/>
                <w:sz w:val="17"/>
              </w:rPr>
              <w:t>Structured logs; redact tokens, email, phone, receipt text and exact routes/locations.</w:t>
            </w:r>
          </w:p>
        </w:tc>
      </w:tr>
      <w:tr>
        <w:tc>
          <w:tcPr>
            <w:tcW w:type="dxa" w:w="2448"/>
            <w:vAlign w:val="center"/>
            <w:shd w:fill="F7F9F9"/>
          </w:tcPr>
          <w:p>
            <w:r/>
            <w:r>
              <w:rPr>
                <w:rFonts w:ascii="Aptos" w:hAnsi="Aptos"/>
                <w:b w:val="0"/>
                <w:sz w:val="17"/>
              </w:rPr>
              <w:t>Reward fraud</w:t>
            </w:r>
          </w:p>
        </w:tc>
        <w:tc>
          <w:tcPr>
            <w:tcW w:type="dxa" w:w="7704"/>
            <w:vAlign w:val="center"/>
            <w:shd w:fill="F7F9F9"/>
          </w:tcPr>
          <w:p>
            <w:r/>
            <w:r>
              <w:rPr>
                <w:rFonts w:ascii="Aptos" w:hAnsi="Aptos"/>
                <w:b w:val="0"/>
                <w:sz w:val="17"/>
              </w:rPr>
              <w:t>Receipt fingerprint, duplicate/replay detection, event idempotency, caps and V0-V3 verification.</w:t>
            </w:r>
          </w:p>
        </w:tc>
      </w:tr>
      <w:tr>
        <w:tc>
          <w:tcPr>
            <w:tcW w:type="dxa" w:w="2448"/>
            <w:vAlign w:val="center"/>
          </w:tcPr>
          <w:p>
            <w:r/>
            <w:r>
              <w:rPr>
                <w:rFonts w:ascii="Aptos" w:hAnsi="Aptos"/>
                <w:b w:val="0"/>
                <w:sz w:val="17"/>
              </w:rPr>
              <w:t>AI safety</w:t>
            </w:r>
          </w:p>
        </w:tc>
        <w:tc>
          <w:tcPr>
            <w:tcW w:type="dxa" w:w="7704"/>
            <w:vAlign w:val="center"/>
          </w:tcPr>
          <w:p>
            <w:r/>
            <w:r>
              <w:rPr>
                <w:rFonts w:ascii="Aptos" w:hAnsi="Aptos"/>
                <w:b w:val="0"/>
                <w:sz w:val="17"/>
              </w:rPr>
              <w:t>OCR/web/product text is data, not model instructions; carbon/reward writes are server-controlled.</w:t>
            </w:r>
          </w:p>
        </w:tc>
      </w:tr>
      <w:tr>
        <w:tc>
          <w:tcPr>
            <w:tcW w:type="dxa" w:w="2448"/>
            <w:vAlign w:val="center"/>
            <w:shd w:fill="F7F9F9"/>
          </w:tcPr>
          <w:p>
            <w:r/>
            <w:r>
              <w:rPr>
                <w:rFonts w:ascii="Aptos" w:hAnsi="Aptos"/>
                <w:b w:val="0"/>
                <w:sz w:val="17"/>
              </w:rPr>
              <w:t>Children/student mode</w:t>
            </w:r>
          </w:p>
        </w:tc>
        <w:tc>
          <w:tcPr>
            <w:tcW w:type="dxa" w:w="7704"/>
            <w:vAlign w:val="center"/>
            <w:shd w:fill="F7F9F9"/>
          </w:tcPr>
          <w:p>
            <w:r/>
            <w:r>
              <w:rPr>
                <w:rFonts w:ascii="Aptos" w:hAnsi="Aptos"/>
                <w:b w:val="0"/>
                <w:sz w:val="17"/>
              </w:rPr>
              <w:t>No payments/monetary reward language and no precise location/fitness by default; badges/challenges only for demo.</w:t>
            </w:r>
          </w:p>
        </w:tc>
      </w:tr>
      <w:tr>
        <w:tc>
          <w:tcPr>
            <w:tcW w:type="dxa" w:w="5040"/>
            <w:vAlign w:val="center"/>
          </w:tcPr>
          <w:p>
            <w:pPr>
              <w:spacing w:after="0" w:before="0"/>
            </w:pPr>
            <w:r/>
            <w:r>
              <w:rPr>
                <w:b w:val="0"/>
                <w:sz w:val="16"/>
              </w:rPr>
              <w:t>Grow-Green location privacy</w:t>
            </w:r>
          </w:p>
        </w:tc>
        <w:tc>
          <w:tcPr>
            <w:tcW w:type="dxa" w:w="5040"/>
            <w:vAlign w:val="center"/>
          </w:tcPr>
          <w:p>
            <w:pPr>
              <w:spacing w:after="0" w:before="0"/>
            </w:pPr>
            <w:r/>
            <w:r>
              <w:rPr>
                <w:b w:val="0"/>
                <w:sz w:val="16"/>
              </w:rPr>
              <w:t>Private-land plots default to restricted visibility; expose generalized map location publicly unless owner explicitly opts in. Exact coordinates remain user-scoped/server-controlled.</w:t>
            </w:r>
          </w:p>
        </w:tc>
      </w:tr>
      <w:tr>
        <w:tc>
          <w:tcPr>
            <w:tcW w:type="dxa" w:w="5040"/>
            <w:vAlign w:val="center"/>
          </w:tcPr>
          <w:p>
            <w:pPr>
              <w:spacing w:after="0" w:before="0"/>
            </w:pPr>
            <w:r/>
            <w:r>
              <w:rPr>
                <w:b w:val="0"/>
                <w:sz w:val="16"/>
              </w:rPr>
              <w:t>Community confirmation abuse</w:t>
            </w:r>
          </w:p>
        </w:tc>
        <w:tc>
          <w:tcPr>
            <w:tcW w:type="dxa" w:w="5040"/>
            <w:vAlign w:val="center"/>
          </w:tcPr>
          <w:p>
            <w:pPr>
              <w:spacing w:after="0" w:before="0"/>
            </w:pPr>
            <w:r/>
            <w:r>
              <w:rPr>
                <w:b w:val="0"/>
                <w:sz w:val="16"/>
              </w:rPr>
              <w:t>Firebase-authenticated verifier; rate limits; account-age/trust weighting; no self-confirmation; detect repeated reciprocal/collusive confirmations.</w:t>
            </w:r>
          </w:p>
        </w:tc>
      </w:tr>
      <w:tr>
        <w:tc>
          <w:tcPr>
            <w:tcW w:type="dxa" w:w="5040"/>
            <w:vAlign w:val="center"/>
          </w:tcPr>
          <w:p>
            <w:pPr>
              <w:spacing w:after="0" w:before="0"/>
            </w:pPr>
            <w:r/>
            <w:r>
              <w:rPr>
                <w:b w:val="0"/>
                <w:sz w:val="16"/>
              </w:rPr>
              <w:t>Recycler claim fraud</w:t>
            </w:r>
          </w:p>
        </w:tc>
        <w:tc>
          <w:tcPr>
            <w:tcW w:type="dxa" w:w="5040"/>
            <w:vAlign w:val="center"/>
          </w:tcPr>
          <w:p>
            <w:pPr>
              <w:spacing w:after="0" w:before="0"/>
            </w:pPr>
            <w:r/>
            <w:r>
              <w:rPr>
                <w:b w:val="0"/>
                <w:sz w:val="16"/>
              </w:rPr>
              <w:t>Verified recycler registry + document fingerprint + cross-account duplicate detection + date/location plausibility.</w:t>
            </w:r>
          </w:p>
        </w:tc>
      </w:tr>
      <w:tr>
        <w:tc>
          <w:tcPr>
            <w:tcW w:type="dxa" w:w="5040"/>
            <w:vAlign w:val="center"/>
          </w:tcPr>
          <w:p>
            <w:pPr>
              <w:spacing w:after="0" w:before="0"/>
            </w:pPr>
            <w:r/>
            <w:r>
              <w:rPr>
                <w:b w:val="0"/>
                <w:sz w:val="16"/>
              </w:rPr>
              <w:t>Partner-funded reward value</w:t>
            </w:r>
          </w:p>
        </w:tc>
        <w:tc>
          <w:tcPr>
            <w:tcW w:type="dxa" w:w="5040"/>
            <w:vAlign w:val="center"/>
          </w:tcPr>
          <w:p>
            <w:pPr>
              <w:spacing w:after="0" w:before="0"/>
            </w:pPr>
            <w:r/>
            <w:r>
              <w:rPr>
                <w:b w:val="0"/>
                <w:sz w:val="16"/>
              </w:rPr>
              <w:t>Monetary-equivalent sponsor campaigns are separate from Green Points, versioned, budget-capped and legally reviewed. Never present Google Maps/Earth Engine as the payer.</w:t>
            </w:r>
          </w:p>
        </w:tc>
      </w:tr>
    </w:tbl>
    <w:p>
      <w:pPr>
        <w:spacing w:after="40"/>
      </w:pPr>
    </w:p>
    <w:p>
      <w:pPr>
        <w:pStyle w:val="Heading1"/>
        <w:keepNext/>
      </w:pPr>
      <w:r>
        <w:t>14. CI/CD, Deployment and Observability</w:t>
      </w:r>
    </w:p>
    <w:p>
      <w:pPr>
        <w:pStyle w:val="Heading2"/>
        <w:keepNext/>
      </w:pPr>
      <w:r>
        <w:t>14.1 Google-only delivery pipeline</w:t>
      </w:r>
    </w:p>
    <w:p>
      <w:pPr>
        <w:spacing w:after="40"/>
        <w:ind w:left="259" w:hanging="259"/>
      </w:pPr>
      <w:r>
        <w:rPr>
          <w:b/>
        </w:rPr>
        <w:t xml:space="preserve">1. </w:t>
      </w:r>
      <w:r>
        <w:t>GitHub push/PR provides source because it is a submission requirement.</w:t>
      </w:r>
    </w:p>
    <w:p>
      <w:pPr>
        <w:spacing w:after="40"/>
        <w:ind w:left="259" w:hanging="259"/>
      </w:pPr>
      <w:r>
        <w:rPr>
          <w:b/>
        </w:rPr>
        <w:t xml:space="preserve">2. </w:t>
      </w:r>
      <w:r>
        <w:t>Cloud Build runs formatting/tests and builds the backend container.</w:t>
      </w:r>
    </w:p>
    <w:p>
      <w:pPr>
        <w:spacing w:after="40"/>
        <w:ind w:left="259" w:hanging="259"/>
      </w:pPr>
      <w:r>
        <w:rPr>
          <w:b/>
        </w:rPr>
        <w:t xml:space="preserve">3. </w:t>
      </w:r>
      <w:r>
        <w:t>Artifact Registry stores immutable image digest.</w:t>
      </w:r>
    </w:p>
    <w:p>
      <w:pPr>
        <w:spacing w:after="40"/>
        <w:ind w:left="259" w:hanging="259"/>
      </w:pPr>
      <w:r>
        <w:rPr>
          <w:b/>
        </w:rPr>
        <w:t xml:space="preserve">4. </w:t>
      </w:r>
      <w:r>
        <w:t>Cloud Build deploys the digest to Cloud Run.</w:t>
      </w:r>
    </w:p>
    <w:p>
      <w:pPr>
        <w:spacing w:after="40"/>
        <w:ind w:left="259" w:hanging="259"/>
      </w:pPr>
      <w:r>
        <w:rPr>
          <w:b/>
        </w:rPr>
        <w:t xml:space="preserve">5. </w:t>
      </w:r>
      <w:r>
        <w:t>Flutter web is built and deployed to Firebase Hosting; Android APK/AAB is built for device testing.</w:t>
      </w:r>
    </w:p>
    <w:p>
      <w:pPr>
        <w:spacing w:after="40"/>
        <w:ind w:left="259" w:hanging="259"/>
      </w:pPr>
      <w:r>
        <w:rPr>
          <w:b/>
        </w:rPr>
        <w:t xml:space="preserve">6. </w:t>
      </w:r>
      <w:r>
        <w:t>Firebase App Distribution can distribute the Android build internally.</w:t>
      </w:r>
    </w:p>
    <w:p>
      <w:pPr>
        <w:spacing w:after="40"/>
        <w:ind w:left="259" w:hanging="259"/>
      </w:pPr>
      <w:r>
        <w:rPr>
          <w:b/>
        </w:rPr>
        <w:t xml:space="preserve">7. </w:t>
      </w:r>
      <w:r>
        <w:t>Cloud Logging captures structured server logs; Cloud Monitoring tracks request count, latency, 5xx rate and instance behavior.</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B5E20"/>
          </w:tcPr>
          <w:p>
            <w:pPr>
              <w:jc w:val="center"/>
            </w:pPr>
            <w:r/>
            <w:r>
              <w:rPr>
                <w:rFonts w:ascii="Aptos" w:hAnsi="Aptos"/>
                <w:b/>
                <w:color w:val="FFFFFF"/>
                <w:sz w:val="17"/>
              </w:rPr>
              <w:t>Signal</w:t>
            </w:r>
          </w:p>
        </w:tc>
        <w:tc>
          <w:tcPr>
            <w:tcW w:type="dxa" w:w="7200"/>
            <w:vAlign w:val="center"/>
            <w:shd w:fill="1B5E20"/>
          </w:tcPr>
          <w:p>
            <w:pPr>
              <w:jc w:val="center"/>
            </w:pPr>
            <w:r/>
            <w:r>
              <w:rPr>
                <w:rFonts w:ascii="Aptos" w:hAnsi="Aptos"/>
                <w:b/>
                <w:color w:val="FFFFFF"/>
                <w:sz w:val="17"/>
              </w:rPr>
              <w:t>Target / alert idea for hackathon</w:t>
            </w:r>
          </w:p>
        </w:tc>
      </w:tr>
      <w:tr>
        <w:tc>
          <w:tcPr>
            <w:tcW w:type="dxa" w:w="2880"/>
            <w:vAlign w:val="center"/>
          </w:tcPr>
          <w:p>
            <w:r/>
            <w:r>
              <w:rPr>
                <w:rFonts w:ascii="Aptos" w:hAnsi="Aptos"/>
                <w:b w:val="0"/>
                <w:sz w:val="17"/>
              </w:rPr>
              <w:t>Cloud Run availability</w:t>
            </w:r>
          </w:p>
        </w:tc>
        <w:tc>
          <w:tcPr>
            <w:tcW w:type="dxa" w:w="7200"/>
            <w:vAlign w:val="center"/>
          </w:tcPr>
          <w:p>
            <w:r/>
            <w:r>
              <w:rPr>
                <w:rFonts w:ascii="Aptos" w:hAnsi="Aptos"/>
                <w:b w:val="0"/>
                <w:sz w:val="17"/>
              </w:rPr>
              <w:t>Public /health success during final rehearsal and submission window.</w:t>
            </w:r>
          </w:p>
        </w:tc>
      </w:tr>
      <w:tr>
        <w:tc>
          <w:tcPr>
            <w:tcW w:type="dxa" w:w="2880"/>
            <w:vAlign w:val="center"/>
            <w:shd w:fill="F7F9F9"/>
          </w:tcPr>
          <w:p>
            <w:r/>
            <w:r>
              <w:rPr>
                <w:rFonts w:ascii="Aptos" w:hAnsi="Aptos"/>
                <w:b w:val="0"/>
                <w:sz w:val="17"/>
              </w:rPr>
              <w:t>API error rate</w:t>
            </w:r>
          </w:p>
        </w:tc>
        <w:tc>
          <w:tcPr>
            <w:tcW w:type="dxa" w:w="7200"/>
            <w:vAlign w:val="center"/>
            <w:shd w:fill="F7F9F9"/>
          </w:tcPr>
          <w:p>
            <w:r/>
            <w:r>
              <w:rPr>
                <w:rFonts w:ascii="Aptos" w:hAnsi="Aptos"/>
                <w:b w:val="0"/>
                <w:sz w:val="17"/>
              </w:rPr>
              <w:t>Alert/dashboard if 5xx spikes; investigate before demo.</w:t>
            </w:r>
          </w:p>
        </w:tc>
      </w:tr>
      <w:tr>
        <w:tc>
          <w:tcPr>
            <w:tcW w:type="dxa" w:w="2880"/>
            <w:vAlign w:val="center"/>
          </w:tcPr>
          <w:p>
            <w:r/>
            <w:r>
              <w:rPr>
                <w:rFonts w:ascii="Aptos" w:hAnsi="Aptos"/>
                <w:b w:val="0"/>
                <w:sz w:val="17"/>
              </w:rPr>
              <w:t>Latency</w:t>
            </w:r>
          </w:p>
        </w:tc>
        <w:tc>
          <w:tcPr>
            <w:tcW w:type="dxa" w:w="7200"/>
            <w:vAlign w:val="center"/>
          </w:tcPr>
          <w:p>
            <w:r/>
            <w:r>
              <w:rPr>
                <w:rFonts w:ascii="Aptos" w:hAnsi="Aptos"/>
                <w:b w:val="0"/>
                <w:sz w:val="17"/>
              </w:rPr>
              <w:t>Track p50/p95 for scan and AI calls; show pending states rather than freezing UI.</w:t>
            </w:r>
          </w:p>
        </w:tc>
      </w:tr>
      <w:tr>
        <w:tc>
          <w:tcPr>
            <w:tcW w:type="dxa" w:w="2880"/>
            <w:vAlign w:val="center"/>
            <w:shd w:fill="F7F9F9"/>
          </w:tcPr>
          <w:p>
            <w:r/>
            <w:r>
              <w:rPr>
                <w:rFonts w:ascii="Aptos" w:hAnsi="Aptos"/>
                <w:b w:val="0"/>
                <w:sz w:val="17"/>
              </w:rPr>
              <w:t>Vertex AI failures</w:t>
            </w:r>
          </w:p>
        </w:tc>
        <w:tc>
          <w:tcPr>
            <w:tcW w:type="dxa" w:w="7200"/>
            <w:vAlign w:val="center"/>
            <w:shd w:fill="F7F9F9"/>
          </w:tcPr>
          <w:p>
            <w:r/>
            <w:r>
              <w:rPr>
                <w:rFonts w:ascii="Aptos" w:hAnsi="Aptos"/>
                <w:b w:val="0"/>
                <w:sz w:val="17"/>
              </w:rPr>
              <w:t>Fallback deterministic result; recommendation can show temporarily unavailable.</w:t>
            </w:r>
          </w:p>
        </w:tc>
      </w:tr>
      <w:tr>
        <w:tc>
          <w:tcPr>
            <w:tcW w:type="dxa" w:w="2880"/>
            <w:vAlign w:val="center"/>
          </w:tcPr>
          <w:p>
            <w:r/>
            <w:r>
              <w:rPr>
                <w:rFonts w:ascii="Aptos" w:hAnsi="Aptos"/>
                <w:b w:val="0"/>
                <w:sz w:val="17"/>
              </w:rPr>
              <w:t>Vision/Document AI failures</w:t>
            </w:r>
          </w:p>
        </w:tc>
        <w:tc>
          <w:tcPr>
            <w:tcW w:type="dxa" w:w="7200"/>
            <w:vAlign w:val="center"/>
          </w:tcPr>
          <w:p>
            <w:r/>
            <w:r>
              <w:rPr>
                <w:rFonts w:ascii="Aptos" w:hAnsi="Aptos"/>
                <w:b w:val="0"/>
                <w:sz w:val="17"/>
              </w:rPr>
              <w:t>Keep scan job failed/pending with retry; never fabricate identification.</w:t>
            </w:r>
          </w:p>
        </w:tc>
      </w:tr>
      <w:tr>
        <w:tc>
          <w:tcPr>
            <w:tcW w:type="dxa" w:w="2880"/>
            <w:vAlign w:val="center"/>
            <w:shd w:fill="F7F9F9"/>
          </w:tcPr>
          <w:p>
            <w:r/>
            <w:r>
              <w:rPr>
                <w:rFonts w:ascii="Aptos" w:hAnsi="Aptos"/>
                <w:b w:val="0"/>
                <w:sz w:val="17"/>
              </w:rPr>
              <w:t>BigQuery/factor failure</w:t>
            </w:r>
          </w:p>
        </w:tc>
        <w:tc>
          <w:tcPr>
            <w:tcW w:type="dxa" w:w="7200"/>
            <w:vAlign w:val="center"/>
            <w:shd w:fill="F7F9F9"/>
          </w:tcPr>
          <w:p>
            <w:r/>
            <w:r>
              <w:rPr>
                <w:rFonts w:ascii="Aptos" w:hAnsi="Aptos"/>
                <w:b w:val="0"/>
                <w:sz w:val="17"/>
              </w:rPr>
              <w:t>Use only explicitly cached versioned factor set, otherwise return estimate unavailable.</w:t>
            </w:r>
          </w:p>
        </w:tc>
      </w:tr>
      <w:tr>
        <w:tc>
          <w:tcPr>
            <w:tcW w:type="dxa" w:w="2880"/>
            <w:vAlign w:val="center"/>
          </w:tcPr>
          <w:p>
            <w:r/>
            <w:r>
              <w:rPr>
                <w:rFonts w:ascii="Aptos" w:hAnsi="Aptos"/>
                <w:b w:val="0"/>
                <w:sz w:val="17"/>
              </w:rPr>
              <w:t>Reward failure</w:t>
            </w:r>
          </w:p>
        </w:tc>
        <w:tc>
          <w:tcPr>
            <w:tcW w:type="dxa" w:w="7200"/>
            <w:vAlign w:val="center"/>
          </w:tcPr>
          <w:p>
            <w:r/>
            <w:r>
              <w:rPr>
                <w:rFonts w:ascii="Aptos" w:hAnsi="Aptos"/>
                <w:b w:val="0"/>
                <w:sz w:val="17"/>
              </w:rPr>
              <w:t>Verified event can remain pending; never display points as credited until ledger write succeeds.</w:t>
            </w:r>
          </w:p>
        </w:tc>
      </w:tr>
    </w:tbl>
    <w:p>
      <w:pPr>
        <w:spacing w:after="40"/>
      </w:pPr>
    </w:p>
    <w:p>
      <w:pPr>
        <w:pStyle w:val="Heading1"/>
        <w:keepNext/>
      </w:pPr>
      <w:r>
        <w:t>15. Test Strategy and Quality Gates</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B5E20"/>
          </w:tcPr>
          <w:p>
            <w:pPr>
              <w:jc w:val="center"/>
            </w:pPr>
            <w:r/>
            <w:r>
              <w:rPr>
                <w:rFonts w:ascii="Aptos" w:hAnsi="Aptos"/>
                <w:b/>
                <w:color w:val="FFFFFF"/>
                <w:sz w:val="16"/>
              </w:rPr>
              <w:t>Test layer</w:t>
            </w:r>
          </w:p>
        </w:tc>
        <w:tc>
          <w:tcPr>
            <w:tcW w:type="dxa" w:w="7488"/>
            <w:vAlign w:val="center"/>
            <w:shd w:fill="1B5E20"/>
          </w:tcPr>
          <w:p>
            <w:pPr>
              <w:jc w:val="center"/>
            </w:pPr>
            <w:r/>
            <w:r>
              <w:rPr>
                <w:rFonts w:ascii="Aptos" w:hAnsi="Aptos"/>
                <w:b/>
                <w:color w:val="FFFFFF"/>
                <w:sz w:val="16"/>
              </w:rPr>
              <w:t>Minimum cases before Oct 16</w:t>
            </w:r>
          </w:p>
        </w:tc>
      </w:tr>
      <w:tr>
        <w:tc>
          <w:tcPr>
            <w:tcW w:type="dxa" w:w="2592"/>
            <w:vAlign w:val="center"/>
          </w:tcPr>
          <w:p>
            <w:r/>
            <w:r>
              <w:rPr>
                <w:rFonts w:ascii="Aptos" w:hAnsi="Aptos"/>
                <w:b w:val="0"/>
                <w:sz w:val="16"/>
              </w:rPr>
              <w:t>Unit - Carbon Engine</w:t>
            </w:r>
          </w:p>
        </w:tc>
        <w:tc>
          <w:tcPr>
            <w:tcW w:type="dxa" w:w="7488"/>
            <w:vAlign w:val="center"/>
          </w:tcPr>
          <w:p>
            <w:r/>
            <w:r>
              <w:rPr>
                <w:rFonts w:ascii="Aptos" w:hAnsi="Aptos"/>
                <w:b w:val="0"/>
                <w:sz w:val="16"/>
              </w:rPr>
              <w:t>Known factor × quantity; unit conversion; missing factor; low confidence; deterministic repeatability.</w:t>
            </w:r>
          </w:p>
        </w:tc>
      </w:tr>
      <w:tr>
        <w:tc>
          <w:tcPr>
            <w:tcW w:type="dxa" w:w="2592"/>
            <w:vAlign w:val="center"/>
            <w:shd w:fill="F7F9F9"/>
          </w:tcPr>
          <w:p>
            <w:r/>
            <w:r>
              <w:rPr>
                <w:rFonts w:ascii="Aptos" w:hAnsi="Aptos"/>
                <w:b w:val="0"/>
                <w:sz w:val="16"/>
              </w:rPr>
              <w:t>Unit - Score</w:t>
            </w:r>
          </w:p>
        </w:tc>
        <w:tc>
          <w:tcPr>
            <w:tcW w:type="dxa" w:w="7488"/>
            <w:vAlign w:val="center"/>
            <w:shd w:fill="F7F9F9"/>
          </w:tcPr>
          <w:p>
            <w:r/>
            <w:r>
              <w:rPr>
                <w:rFonts w:ascii="Aptos" w:hAnsi="Aptos"/>
                <w:b w:val="0"/>
                <w:sz w:val="16"/>
              </w:rPr>
              <w:t>Weighting sums; clamp 0-100; missing dimensions; score_policy_version.</w:t>
            </w:r>
          </w:p>
        </w:tc>
      </w:tr>
      <w:tr>
        <w:tc>
          <w:tcPr>
            <w:tcW w:type="dxa" w:w="2592"/>
            <w:vAlign w:val="center"/>
          </w:tcPr>
          <w:p>
            <w:r/>
            <w:r>
              <w:rPr>
                <w:rFonts w:ascii="Aptos" w:hAnsi="Aptos"/>
                <w:b w:val="0"/>
                <w:sz w:val="16"/>
              </w:rPr>
              <w:t>Unit - Reward</w:t>
            </w:r>
          </w:p>
        </w:tc>
        <w:tc>
          <w:tcPr>
            <w:tcW w:type="dxa" w:w="7488"/>
            <w:vAlign w:val="center"/>
          </w:tcPr>
          <w:p>
            <w:r/>
            <w:r>
              <w:rPr>
                <w:rFonts w:ascii="Aptos" w:hAnsi="Aptos"/>
                <w:b w:val="0"/>
                <w:sz w:val="16"/>
              </w:rPr>
              <w:t>V0 no/full reward rules; caps; confidence/verification factor; exact-once duplicate event.</w:t>
            </w:r>
          </w:p>
        </w:tc>
      </w:tr>
      <w:tr>
        <w:tc>
          <w:tcPr>
            <w:tcW w:type="dxa" w:w="2592"/>
            <w:vAlign w:val="center"/>
            <w:shd w:fill="F7F9F9"/>
          </w:tcPr>
          <w:p>
            <w:r/>
            <w:r>
              <w:rPr>
                <w:rFonts w:ascii="Aptos" w:hAnsi="Aptos"/>
                <w:b w:val="0"/>
                <w:sz w:val="16"/>
              </w:rPr>
              <w:t>Integration - Auth</w:t>
            </w:r>
          </w:p>
        </w:tc>
        <w:tc>
          <w:tcPr>
            <w:tcW w:type="dxa" w:w="7488"/>
            <w:vAlign w:val="center"/>
            <w:shd w:fill="F7F9F9"/>
          </w:tcPr>
          <w:p>
            <w:r/>
            <w:r>
              <w:rPr>
                <w:rFonts w:ascii="Aptos" w:hAnsi="Aptos"/>
                <w:b w:val="0"/>
                <w:sz w:val="16"/>
              </w:rPr>
              <w:t>Valid token, expired token, missing App Check, wrong user resource access.</w:t>
            </w:r>
          </w:p>
        </w:tc>
      </w:tr>
      <w:tr>
        <w:tc>
          <w:tcPr>
            <w:tcW w:type="dxa" w:w="2592"/>
            <w:vAlign w:val="center"/>
          </w:tcPr>
          <w:p>
            <w:r/>
            <w:r>
              <w:rPr>
                <w:rFonts w:ascii="Aptos" w:hAnsi="Aptos"/>
                <w:b w:val="0"/>
                <w:sz w:val="16"/>
              </w:rPr>
              <w:t>Integration - Scan</w:t>
            </w:r>
          </w:p>
        </w:tc>
        <w:tc>
          <w:tcPr>
            <w:tcW w:type="dxa" w:w="7488"/>
            <w:vAlign w:val="center"/>
          </w:tcPr>
          <w:p>
            <w:r/>
            <w:r>
              <w:rPr>
                <w:rFonts w:ascii="Aptos" w:hAnsi="Aptos"/>
                <w:b w:val="0"/>
                <w:sz w:val="16"/>
              </w:rPr>
              <w:t>Good product image, low-quality image, unknown category, duplicate image, receipt sample.</w:t>
            </w:r>
          </w:p>
        </w:tc>
      </w:tr>
      <w:tr>
        <w:tc>
          <w:tcPr>
            <w:tcW w:type="dxa" w:w="2592"/>
            <w:vAlign w:val="center"/>
            <w:shd w:fill="F7F9F9"/>
          </w:tcPr>
          <w:p>
            <w:r/>
            <w:r>
              <w:rPr>
                <w:rFonts w:ascii="Aptos" w:hAnsi="Aptos"/>
                <w:b w:val="0"/>
                <w:sz w:val="16"/>
              </w:rPr>
              <w:t>Integration - Gemini</w:t>
            </w:r>
          </w:p>
        </w:tc>
        <w:tc>
          <w:tcPr>
            <w:tcW w:type="dxa" w:w="7488"/>
            <w:vAlign w:val="center"/>
            <w:shd w:fill="F7F9F9"/>
          </w:tcPr>
          <w:p>
            <w:r/>
            <w:r>
              <w:rPr>
                <w:rFonts w:ascii="Aptos" w:hAnsi="Aptos"/>
                <w:b w:val="0"/>
                <w:sz w:val="16"/>
              </w:rPr>
              <w:t>Schema valid; no carbon invention; low-confidence caveat; fallback when model unavailable.</w:t>
            </w:r>
          </w:p>
        </w:tc>
      </w:tr>
      <w:tr>
        <w:tc>
          <w:tcPr>
            <w:tcW w:type="dxa" w:w="2592"/>
            <w:vAlign w:val="center"/>
          </w:tcPr>
          <w:p>
            <w:r/>
            <w:r>
              <w:rPr>
                <w:rFonts w:ascii="Aptos" w:hAnsi="Aptos"/>
                <w:b w:val="0"/>
                <w:sz w:val="16"/>
              </w:rPr>
              <w:t>E2E Web</w:t>
            </w:r>
          </w:p>
        </w:tc>
        <w:tc>
          <w:tcPr>
            <w:tcW w:type="dxa" w:w="7488"/>
            <w:vAlign w:val="center"/>
          </w:tcPr>
          <w:p>
            <w:r/>
            <w:r>
              <w:rPr>
                <w:rFonts w:ascii="Aptos" w:hAnsi="Aptos"/>
                <w:b w:val="0"/>
                <w:sz w:val="16"/>
              </w:rPr>
              <w:t>Login → scan → result → recommendation → points/dashboard.</w:t>
            </w:r>
          </w:p>
        </w:tc>
      </w:tr>
      <w:tr>
        <w:tc>
          <w:tcPr>
            <w:tcW w:type="dxa" w:w="2592"/>
            <w:vAlign w:val="center"/>
            <w:shd w:fill="F7F9F9"/>
          </w:tcPr>
          <w:p>
            <w:r/>
            <w:r>
              <w:rPr>
                <w:rFonts w:ascii="Aptos" w:hAnsi="Aptos"/>
                <w:b w:val="0"/>
                <w:sz w:val="16"/>
              </w:rPr>
              <w:t>E2E Android</w:t>
            </w:r>
          </w:p>
        </w:tc>
        <w:tc>
          <w:tcPr>
            <w:tcW w:type="dxa" w:w="7488"/>
            <w:vAlign w:val="center"/>
            <w:shd w:fill="F7F9F9"/>
          </w:tcPr>
          <w:p>
            <w:r/>
            <w:r>
              <w:rPr>
                <w:rFonts w:ascii="Aptos" w:hAnsi="Aptos"/>
                <w:b w:val="0"/>
                <w:sz w:val="16"/>
              </w:rPr>
              <w:t>Login → camera/file scan; optional Health Connect path.</w:t>
            </w:r>
          </w:p>
        </w:tc>
      </w:tr>
      <w:tr>
        <w:tc>
          <w:tcPr>
            <w:tcW w:type="dxa" w:w="2592"/>
            <w:vAlign w:val="center"/>
          </w:tcPr>
          <w:p>
            <w:r/>
            <w:r>
              <w:rPr>
                <w:rFonts w:ascii="Aptos" w:hAnsi="Aptos"/>
                <w:b w:val="0"/>
                <w:sz w:val="16"/>
              </w:rPr>
              <w:t>Security</w:t>
            </w:r>
          </w:p>
        </w:tc>
        <w:tc>
          <w:tcPr>
            <w:tcW w:type="dxa" w:w="7488"/>
            <w:vAlign w:val="center"/>
          </w:tcPr>
          <w:p>
            <w:r/>
            <w:r>
              <w:rPr>
                <w:rFonts w:ascii="Aptos" w:hAnsi="Aptos"/>
                <w:b w:val="0"/>
                <w:sz w:val="16"/>
              </w:rPr>
              <w:t>Firestore/Storage rules deny cross-user reads/writes; secrets absent from repository.</w:t>
            </w:r>
          </w:p>
        </w:tc>
      </w:tr>
      <w:tr>
        <w:tc>
          <w:tcPr>
            <w:tcW w:type="dxa" w:w="2592"/>
            <w:vAlign w:val="center"/>
            <w:shd w:fill="F7F9F9"/>
          </w:tcPr>
          <w:p>
            <w:r/>
            <w:r>
              <w:rPr>
                <w:rFonts w:ascii="Aptos" w:hAnsi="Aptos"/>
                <w:b w:val="0"/>
                <w:sz w:val="16"/>
              </w:rPr>
              <w:t>Demo rehearsal</w:t>
            </w:r>
          </w:p>
        </w:tc>
        <w:tc>
          <w:tcPr>
            <w:tcW w:type="dxa" w:w="7488"/>
            <w:vAlign w:val="center"/>
            <w:shd w:fill="F7F9F9"/>
          </w:tcPr>
          <w:p>
            <w:r/>
            <w:r>
              <w:rPr>
                <w:rFonts w:ascii="Aptos" w:hAnsi="Aptos"/>
                <w:b w:val="0"/>
                <w:sz w:val="16"/>
              </w:rPr>
              <w:t>Fresh browser/incognito; clean test account; network retry; recorded fallback video available.</w:t>
            </w:r>
          </w:p>
        </w:tc>
      </w:tr>
      <w:tr>
        <w:tc>
          <w:tcPr>
            <w:tcW w:type="dxa" w:w="5040"/>
            <w:vAlign w:val="center"/>
          </w:tcPr>
          <w:p>
            <w:pPr>
              <w:spacing w:after="0" w:before="0"/>
            </w:pPr>
            <w:r/>
            <w:r>
              <w:rPr>
                <w:b w:val="0"/>
                <w:sz w:val="16"/>
              </w:rPr>
              <w:t>Unit - Reward policy</w:t>
            </w:r>
          </w:p>
        </w:tc>
        <w:tc>
          <w:tcPr>
            <w:tcW w:type="dxa" w:w="5040"/>
            <w:vAlign w:val="center"/>
          </w:tcPr>
          <w:p>
            <w:pPr>
              <w:spacing w:after="0" w:before="0"/>
            </w:pPr>
            <w:r/>
            <w:r>
              <w:rPr>
                <w:b w:val="0"/>
                <w:sz w:val="16"/>
              </w:rPr>
              <w:t>Each action_type selects correct impact basis; caps; policy version; persistence factor; PENDING/PROVISIONAL/VESTED/REVOKED transitions.</w:t>
            </w:r>
          </w:p>
        </w:tc>
      </w:tr>
      <w:tr>
        <w:tc>
          <w:tcPr>
            <w:tcW w:type="dxa" w:w="5040"/>
            <w:vAlign w:val="center"/>
          </w:tcPr>
          <w:p>
            <w:pPr>
              <w:spacing w:after="0" w:before="0"/>
            </w:pPr>
            <w:r/>
            <w:r>
              <w:rPr>
                <w:b w:val="0"/>
                <w:sz w:val="16"/>
              </w:rPr>
              <w:t>Integration - Grow-Green</w:t>
            </w:r>
          </w:p>
        </w:tc>
        <w:tc>
          <w:tcPr>
            <w:tcW w:type="dxa" w:w="5040"/>
            <w:vAlign w:val="center"/>
          </w:tcPr>
          <w:p>
            <w:pPr>
              <w:spacing w:after="0" w:before="0"/>
            </w:pPr>
            <w:r/>
            <w:r>
              <w:rPr>
                <w:b w:val="0"/>
                <w:sz w:val="16"/>
              </w:rPr>
              <w:t>Register plot; reject stale/duplicate image; accept valid checkpoint; privacy mode; visitor cannot self-confirm; optional Earth Engine signal does not independently vest reward.</w:t>
            </w:r>
          </w:p>
        </w:tc>
      </w:tr>
      <w:tr>
        <w:tc>
          <w:tcPr>
            <w:tcW w:type="dxa" w:w="5040"/>
            <w:vAlign w:val="center"/>
          </w:tcPr>
          <w:p>
            <w:pPr>
              <w:spacing w:after="0" w:before="0"/>
            </w:pPr>
            <w:r/>
            <w:r>
              <w:rPr>
                <w:b w:val="0"/>
                <w:sz w:val="16"/>
              </w:rPr>
              <w:t>Integration - Recycle-Red</w:t>
            </w:r>
          </w:p>
        </w:tc>
        <w:tc>
          <w:tcPr>
            <w:tcW w:type="dxa" w:w="5040"/>
            <w:vAlign w:val="center"/>
          </w:tcPr>
          <w:p>
            <w:pPr>
              <w:spacing w:after="0" w:before="0"/>
            </w:pPr>
            <w:r/>
            <w:r>
              <w:rPr>
                <w:b w:val="0"/>
                <w:sz w:val="16"/>
              </w:rPr>
              <w:t>Valid recycler receipt/certificate; unknown recycler; duplicate document across users; expired/old document; missing weight/category handling.</w:t>
            </w:r>
          </w:p>
        </w:tc>
      </w:tr>
      <w:tr>
        <w:tc>
          <w:tcPr>
            <w:tcW w:type="dxa" w:w="5040"/>
            <w:vAlign w:val="center"/>
          </w:tcPr>
          <w:p>
            <w:pPr>
              <w:spacing w:after="0" w:before="0"/>
            </w:pPr>
            <w:r/>
            <w:r>
              <w:rPr>
                <w:b w:val="0"/>
                <w:sz w:val="16"/>
              </w:rPr>
              <w:t>E2E - Four segments</w:t>
            </w:r>
          </w:p>
        </w:tc>
        <w:tc>
          <w:tcPr>
            <w:tcW w:type="dxa" w:w="5040"/>
            <w:vAlign w:val="center"/>
          </w:tcPr>
          <w:p>
            <w:pPr>
              <w:spacing w:after="0" w:before="0"/>
            </w:pPr>
            <w:r/>
            <w:r>
              <w:rPr>
                <w:b w:val="0"/>
                <w:sz w:val="16"/>
              </w:rPr>
              <w:t>Each segment produces a green_event with reason codes; at least one real reward is issued exactly once; Grow-Green demonstrates provisional/vesting concept.</w:t>
            </w:r>
          </w:p>
        </w:tc>
      </w:tr>
    </w:tbl>
    <w:p>
      <w:pPr>
        <w:spacing w:after="40"/>
      </w:pPr>
    </w:p>
    <w:p>
      <w:pPr>
        <w:pStyle w:val="Heading2"/>
        <w:keepNext/>
      </w:pPr>
      <w:r>
        <w:t>15.1 Quality gates</w:t>
      </w:r>
    </w:p>
    <w:p>
      <w:pPr>
        <w:pStyle w:val="ListBullet"/>
        <w:spacing w:after="40"/>
      </w:pPr>
      <w:r>
        <w:rPr>
          <w:b/>
        </w:rPr>
        <w:t xml:space="preserve">Oct 11 Gate - Functionality: </w:t>
      </w:r>
      <w:r>
        <w:t>A deployed E2E story works with seeded/sample evidence.</w:t>
      </w:r>
    </w:p>
    <w:p>
      <w:pPr>
        <w:pStyle w:val="ListBullet"/>
        <w:spacing w:after="40"/>
      </w:pPr>
      <w:r>
        <w:rPr>
          <w:b/>
        </w:rPr>
        <w:t xml:space="preserve">Oct 14 Gate - Scientific consistency: </w:t>
      </w:r>
      <w:r>
        <w:t>Carbon/score logic is deterministic, versioned and tested.</w:t>
      </w:r>
    </w:p>
    <w:p>
      <w:pPr>
        <w:pStyle w:val="ListBullet"/>
        <w:spacing w:after="40"/>
      </w:pPr>
      <w:r>
        <w:rPr>
          <w:b/>
        </w:rPr>
        <w:t xml:space="preserve">Oct 16 Gate - Release: </w:t>
      </w:r>
      <w:r>
        <w:t>Public URL, Android build, security rules, App Check, monitoring and error handling are ready. Feature freeze.</w:t>
      </w:r>
    </w:p>
    <w:p>
      <w:pPr>
        <w:pStyle w:val="ListBullet"/>
        <w:spacing w:after="40"/>
      </w:pPr>
      <w:r>
        <w:rPr>
          <w:b/>
        </w:rPr>
        <w:t xml:space="preserve">Oct 17 Gate - Submission: </w:t>
      </w:r>
      <w:r>
        <w:t>PPT/PDF/README/video accurately describe the deployed version and limitations.</w:t>
      </w:r>
    </w:p>
    <w:p>
      <w:pPr>
        <w:pStyle w:val="Heading1"/>
        <w:keepNext/>
      </w:pPr>
      <w:r>
        <w:t>16. Demo, Documentation and Submission Packaging</w:t>
      </w:r>
    </w:p>
    <w:p>
      <w:pPr>
        <w:pStyle w:val="Heading2"/>
        <w:keepNext/>
      </w:pPr>
      <w:r>
        <w:t>16.1 Recommended 2-3 minute demo</w:t>
      </w:r>
    </w:p>
    <w:p>
      <w:pPr>
        <w:spacing w:after="40"/>
        <w:ind w:left="259" w:hanging="259"/>
      </w:pPr>
      <w:r>
        <w:rPr>
          <w:b/>
        </w:rPr>
        <w:t xml:space="preserve">1. </w:t>
      </w:r>
      <w:r>
        <w:t>Open the public CarbonLens web app and sign in as John.</w:t>
      </w:r>
    </w:p>
    <w:p>
      <w:pPr>
        <w:spacing w:after="40"/>
        <w:ind w:left="259" w:hanging="259"/>
      </w:pPr>
      <w:r>
        <w:rPr>
          <w:b/>
        </w:rPr>
        <w:t xml:space="preserve">2. </w:t>
      </w:r>
      <w:r>
        <w:t>Show dashboard: Green Score, estimated CO2e, avoided CO2e and Green Points are separate.</w:t>
      </w:r>
    </w:p>
    <w:p>
      <w:pPr>
        <w:spacing w:after="40"/>
        <w:ind w:left="259" w:hanging="259"/>
      </w:pPr>
      <w:r>
        <w:rPr>
          <w:b/>
        </w:rPr>
        <w:t xml:space="preserve">3. </w:t>
      </w:r>
      <w:r>
        <w:t>Scan/select plastic bottle image. Briefly show “processing by Google Vision / CarbonLens”.</w:t>
      </w:r>
    </w:p>
    <w:p>
      <w:pPr>
        <w:spacing w:after="40"/>
        <w:ind w:left="259" w:hanging="259"/>
      </w:pPr>
      <w:r>
        <w:rPr>
          <w:b/>
        </w:rPr>
        <w:t xml:space="preserve">4. </w:t>
      </w:r>
      <w:r>
        <w:t>Result: product/category, Sustainability Score 42/100, carbon estimate + confidence + factor method.</w:t>
      </w:r>
    </w:p>
    <w:p>
      <w:pPr>
        <w:spacing w:after="40"/>
        <w:ind w:left="259" w:hanging="259"/>
      </w:pPr>
      <w:r>
        <w:rPr>
          <w:b/>
        </w:rPr>
        <w:t xml:space="preserve">5. </w:t>
      </w:r>
      <w:r>
        <w:t>Gemini explains why and recommends a reusable bottle from curated alternatives.</w:t>
      </w:r>
    </w:p>
    <w:p>
      <w:pPr>
        <w:spacing w:after="40"/>
        <w:ind w:left="259" w:hanging="259"/>
      </w:pPr>
      <w:r>
        <w:rPr>
          <w:b/>
        </w:rPr>
        <w:t xml:space="preserve">6. </w:t>
      </w:r>
      <w:r>
        <w:t>Perform/seed a verified greener event; show verification level and Green Points ledger update.</w:t>
      </w:r>
    </w:p>
    <w:p>
      <w:pPr>
        <w:spacing w:after="40"/>
        <w:ind w:left="259" w:hanging="259"/>
      </w:pPr>
      <w:r>
        <w:rPr>
          <w:b/>
        </w:rPr>
        <w:t xml:space="preserve">7. </w:t>
      </w:r>
      <w:r>
        <w:t>Optional 20-second Green Move view: bicycle trip replacing car trip and avoided CO2e calculation.</w:t>
      </w:r>
    </w:p>
    <w:p>
      <w:pPr>
        <w:spacing w:after="40"/>
        <w:ind w:left="259" w:hanging="259"/>
      </w:pPr>
      <w:r>
        <w:rPr>
          <w:b/>
        </w:rPr>
        <w:t xml:space="preserve">8. </w:t>
      </w:r>
      <w:r>
        <w:t>Finish on architecture slide/dashboard and the phrase “Observe → Understand → Change → Verify → Reward → Repeat.”</w:t>
      </w:r>
    </w:p>
    <w:p>
      <w:pPr>
        <w:pStyle w:val="Heading2"/>
        <w:keepNext/>
      </w:pPr>
      <w:r>
        <w:t>16.2 PPT/PDF structure for Oct 17</w:t>
      </w:r>
    </w:p>
    <w:tbl>
      <w:tblPr>
        <w:tblStyle w:val="TableGrid"/>
        <w:tblW w:type="auto" w:w="0"/>
        <w:jc w:val="center"/>
        <w:tblLook w:firstColumn="1" w:firstRow="1" w:lastColumn="0" w:lastRow="0" w:noHBand="0" w:noVBand="1" w:val="04A0"/>
      </w:tblPr>
      <w:tblGrid>
        <w:gridCol w:w="5040"/>
        <w:gridCol w:w="5040"/>
      </w:tblGrid>
      <w:tr>
        <w:tc>
          <w:tcPr>
            <w:tcW w:type="dxa" w:w="1008"/>
            <w:vAlign w:val="center"/>
            <w:shd w:fill="1B5E20"/>
          </w:tcPr>
          <w:p>
            <w:pPr>
              <w:jc w:val="center"/>
            </w:pPr>
            <w:r/>
            <w:r>
              <w:rPr>
                <w:rFonts w:ascii="Aptos" w:hAnsi="Aptos"/>
                <w:b/>
                <w:color w:val="FFFFFF"/>
                <w:sz w:val="17"/>
              </w:rPr>
              <w:t>Slide</w:t>
            </w:r>
          </w:p>
        </w:tc>
        <w:tc>
          <w:tcPr>
            <w:tcW w:type="dxa" w:w="9000"/>
            <w:vAlign w:val="center"/>
            <w:shd w:fill="1B5E20"/>
          </w:tcPr>
          <w:p>
            <w:pPr>
              <w:jc w:val="center"/>
            </w:pPr>
            <w:r/>
            <w:r>
              <w:rPr>
                <w:rFonts w:ascii="Aptos" w:hAnsi="Aptos"/>
                <w:b/>
                <w:color w:val="FFFFFF"/>
                <w:sz w:val="17"/>
              </w:rPr>
              <w:t>Content</w:t>
            </w:r>
          </w:p>
        </w:tc>
      </w:tr>
      <w:tr>
        <w:tc>
          <w:tcPr>
            <w:tcW w:type="dxa" w:w="1008"/>
            <w:vAlign w:val="center"/>
          </w:tcPr>
          <w:p>
            <w:r/>
            <w:r>
              <w:rPr>
                <w:rFonts w:ascii="Aptos" w:hAnsi="Aptos"/>
                <w:b w:val="0"/>
                <w:sz w:val="17"/>
              </w:rPr>
              <w:t>1</w:t>
            </w:r>
          </w:p>
        </w:tc>
        <w:tc>
          <w:tcPr>
            <w:tcW w:type="dxa" w:w="9000"/>
            <w:vAlign w:val="center"/>
          </w:tcPr>
          <w:p>
            <w:r/>
            <w:r>
              <w:rPr>
                <w:rFonts w:ascii="Aptos" w:hAnsi="Aptos"/>
                <w:b w:val="0"/>
                <w:sz w:val="17"/>
              </w:rPr>
              <w:t>Problem + one-line CarbonLens value proposition.</w:t>
            </w:r>
          </w:p>
        </w:tc>
      </w:tr>
      <w:tr>
        <w:tc>
          <w:tcPr>
            <w:tcW w:type="dxa" w:w="1008"/>
            <w:vAlign w:val="center"/>
            <w:shd w:fill="F7F9F9"/>
          </w:tcPr>
          <w:p>
            <w:r/>
            <w:r>
              <w:rPr>
                <w:rFonts w:ascii="Aptos" w:hAnsi="Aptos"/>
                <w:b w:val="0"/>
                <w:sz w:val="17"/>
              </w:rPr>
              <w:t>2</w:t>
            </w:r>
          </w:p>
        </w:tc>
        <w:tc>
          <w:tcPr>
            <w:tcW w:type="dxa" w:w="9000"/>
            <w:vAlign w:val="center"/>
            <w:shd w:fill="F7F9F9"/>
          </w:tcPr>
          <w:p>
            <w:r/>
            <w:r>
              <w:rPr>
                <w:rFonts w:ascii="Aptos" w:hAnsi="Aptos"/>
                <w:b w:val="0"/>
                <w:sz w:val="17"/>
              </w:rPr>
              <w:t>User story / why current carbon apps are insufficient.</w:t>
            </w:r>
          </w:p>
        </w:tc>
      </w:tr>
      <w:tr>
        <w:tc>
          <w:tcPr>
            <w:tcW w:type="dxa" w:w="1008"/>
            <w:vAlign w:val="center"/>
          </w:tcPr>
          <w:p>
            <w:r/>
            <w:r>
              <w:rPr>
                <w:rFonts w:ascii="Aptos" w:hAnsi="Aptos"/>
                <w:b w:val="0"/>
                <w:sz w:val="17"/>
              </w:rPr>
              <w:t>3</w:t>
            </w:r>
          </w:p>
        </w:tc>
        <w:tc>
          <w:tcPr>
            <w:tcW w:type="dxa" w:w="9000"/>
            <w:vAlign w:val="center"/>
          </w:tcPr>
          <w:p>
            <w:r>
              <w:t>Innovation: Four reward segments + Trusted Green Event Engine (Go-Green-Product, Green-Move, Grow-Green, Recycle-Red).</w:t>
            </w:r>
          </w:p>
        </w:tc>
      </w:tr>
      <w:tr>
        <w:tc>
          <w:tcPr>
            <w:tcW w:type="dxa" w:w="1008"/>
            <w:vAlign w:val="center"/>
            <w:shd w:fill="F7F9F9"/>
          </w:tcPr>
          <w:p>
            <w:r/>
            <w:r>
              <w:rPr>
                <w:rFonts w:ascii="Aptos" w:hAnsi="Aptos"/>
                <w:b w:val="0"/>
                <w:sz w:val="17"/>
              </w:rPr>
              <w:t>4</w:t>
            </w:r>
          </w:p>
        </w:tc>
        <w:tc>
          <w:tcPr>
            <w:tcW w:type="dxa" w:w="9000"/>
            <w:vAlign w:val="center"/>
            <w:shd w:fill="F7F9F9"/>
          </w:tcPr>
          <w:p>
            <w:r/>
            <w:r>
              <w:rPr>
                <w:rFonts w:ascii="Aptos" w:hAnsi="Aptos"/>
                <w:b w:val="0"/>
                <w:sz w:val="17"/>
              </w:rPr>
              <w:t>Live product scan flow.</w:t>
            </w:r>
          </w:p>
        </w:tc>
      </w:tr>
      <w:tr>
        <w:tc>
          <w:tcPr>
            <w:tcW w:type="dxa" w:w="1008"/>
            <w:vAlign w:val="center"/>
          </w:tcPr>
          <w:p>
            <w:r/>
            <w:r>
              <w:rPr>
                <w:rFonts w:ascii="Aptos" w:hAnsi="Aptos"/>
                <w:b w:val="0"/>
                <w:sz w:val="17"/>
              </w:rPr>
              <w:t>5</w:t>
            </w:r>
          </w:p>
        </w:tc>
        <w:tc>
          <w:tcPr>
            <w:tcW w:type="dxa" w:w="9000"/>
            <w:vAlign w:val="center"/>
          </w:tcPr>
          <w:p>
            <w:r/>
            <w:r>
              <w:rPr>
                <w:rFonts w:ascii="Aptos" w:hAnsi="Aptos"/>
                <w:b w:val="0"/>
                <w:sz w:val="17"/>
              </w:rPr>
              <w:t>Carbon accounting + confidence + score separation.</w:t>
            </w:r>
          </w:p>
        </w:tc>
      </w:tr>
      <w:tr>
        <w:tc>
          <w:tcPr>
            <w:tcW w:type="dxa" w:w="1008"/>
            <w:vAlign w:val="center"/>
            <w:shd w:fill="F7F9F9"/>
          </w:tcPr>
          <w:p>
            <w:r/>
            <w:r>
              <w:rPr>
                <w:rFonts w:ascii="Aptos" w:hAnsi="Aptos"/>
                <w:b w:val="0"/>
                <w:sz w:val="17"/>
              </w:rPr>
              <w:t>6</w:t>
            </w:r>
          </w:p>
        </w:tc>
        <w:tc>
          <w:tcPr>
            <w:tcW w:type="dxa" w:w="9000"/>
            <w:vAlign w:val="center"/>
            <w:shd w:fill="F7F9F9"/>
          </w:tcPr>
          <w:p>
            <w:r/>
            <w:r>
              <w:rPr>
                <w:rFonts w:ascii="Aptos" w:hAnsi="Aptos"/>
                <w:b w:val="0"/>
                <w:sz w:val="17"/>
              </w:rPr>
              <w:t>Gemini role and AI guardrails.</w:t>
            </w:r>
          </w:p>
        </w:tc>
      </w:tr>
      <w:tr>
        <w:tc>
          <w:tcPr>
            <w:tcW w:type="dxa" w:w="1008"/>
            <w:vAlign w:val="center"/>
          </w:tcPr>
          <w:p>
            <w:r/>
            <w:r>
              <w:rPr>
                <w:rFonts w:ascii="Aptos" w:hAnsi="Aptos"/>
                <w:b w:val="0"/>
                <w:sz w:val="17"/>
              </w:rPr>
              <w:t>7</w:t>
            </w:r>
          </w:p>
        </w:tc>
        <w:tc>
          <w:tcPr>
            <w:tcW w:type="dxa" w:w="9000"/>
            <w:vAlign w:val="center"/>
          </w:tcPr>
          <w:p>
            <w:r/>
            <w:r>
              <w:rPr>
                <w:rFonts w:ascii="Aptos" w:hAnsi="Aptos"/>
                <w:b w:val="0"/>
                <w:sz w:val="17"/>
              </w:rPr>
              <w:t>Google Cloud architecture.</w:t>
            </w:r>
          </w:p>
        </w:tc>
      </w:tr>
      <w:tr>
        <w:tc>
          <w:tcPr>
            <w:tcW w:type="dxa" w:w="1008"/>
            <w:vAlign w:val="center"/>
            <w:shd w:fill="F7F9F9"/>
          </w:tcPr>
          <w:p>
            <w:r/>
            <w:r>
              <w:rPr>
                <w:rFonts w:ascii="Aptos" w:hAnsi="Aptos"/>
                <w:b w:val="0"/>
                <w:sz w:val="17"/>
              </w:rPr>
              <w:t>8</w:t>
            </w:r>
          </w:p>
        </w:tc>
        <w:tc>
          <w:tcPr>
            <w:tcW w:type="dxa" w:w="9000"/>
            <w:vAlign w:val="center"/>
            <w:shd w:fill="F7F9F9"/>
          </w:tcPr>
          <w:p>
            <w:r>
              <w:t>Reward architecture: evidence -&gt; verification -&gt; action-specific impact -&gt; policy -&gt; append-only ledger; Grow-Green persistence example.</w:t>
            </w:r>
          </w:p>
        </w:tc>
      </w:tr>
      <w:tr>
        <w:tc>
          <w:tcPr>
            <w:tcW w:type="dxa" w:w="1008"/>
            <w:vAlign w:val="center"/>
          </w:tcPr>
          <w:p>
            <w:r/>
            <w:r>
              <w:rPr>
                <w:rFonts w:ascii="Aptos" w:hAnsi="Aptos"/>
                <w:b w:val="0"/>
                <w:sz w:val="17"/>
              </w:rPr>
              <w:t>9</w:t>
            </w:r>
          </w:p>
        </w:tc>
        <w:tc>
          <w:tcPr>
            <w:tcW w:type="dxa" w:w="9000"/>
            <w:vAlign w:val="center"/>
          </w:tcPr>
          <w:p>
            <w:r>
              <w:t>Environmental/social impact: sustainable purchasing, low-carbon commuting, tree survival and safe e-waste diversion.</w:t>
            </w:r>
          </w:p>
        </w:tc>
      </w:tr>
      <w:tr>
        <w:tc>
          <w:tcPr>
            <w:tcW w:type="dxa" w:w="1008"/>
            <w:vAlign w:val="center"/>
            <w:shd w:fill="F7F9F9"/>
          </w:tcPr>
          <w:p>
            <w:r/>
            <w:r>
              <w:rPr>
                <w:rFonts w:ascii="Aptos" w:hAnsi="Aptos"/>
                <w:b w:val="0"/>
                <w:sz w:val="17"/>
              </w:rPr>
              <w:t>10</w:t>
            </w:r>
          </w:p>
        </w:tc>
        <w:tc>
          <w:tcPr>
            <w:tcW w:type="dxa" w:w="9000"/>
            <w:vAlign w:val="center"/>
            <w:shd w:fill="F7F9F9"/>
          </w:tcPr>
          <w:p>
            <w:r/>
            <w:r>
              <w:rPr>
                <w:rFonts w:ascii="Aptos" w:hAnsi="Aptos"/>
                <w:b w:val="0"/>
                <w:sz w:val="17"/>
              </w:rPr>
              <w:t>Demo results, roadmap and team.</w:t>
            </w:r>
          </w:p>
        </w:tc>
      </w:tr>
      <w:tr>
        <w:tc>
          <w:tcPr>
            <w:tcW w:type="dxa" w:w="1008"/>
            <w:vAlign w:val="center"/>
          </w:tcPr>
          <w:p>
            <w:r/>
            <w:r>
              <w:rPr>
                <w:rFonts w:ascii="Aptos" w:hAnsi="Aptos"/>
                <w:b w:val="0"/>
                <w:sz w:val="17"/>
              </w:rPr>
              <w:t>11</w:t>
            </w:r>
          </w:p>
        </w:tc>
        <w:tc>
          <w:tcPr>
            <w:tcW w:type="dxa" w:w="9000"/>
            <w:vAlign w:val="center"/>
          </w:tcPr>
          <w:p>
            <w:r/>
            <w:r>
              <w:rPr>
                <w:rFonts w:ascii="Aptos" w:hAnsi="Aptos"/>
                <w:b w:val="0"/>
                <w:sz w:val="17"/>
              </w:rPr>
              <w:t>Public URL + GitHub + video / QR links.</w:t>
            </w:r>
          </w:p>
        </w:tc>
      </w:tr>
    </w:tbl>
    <w:p>
      <w:pPr>
        <w:spacing w:after="40"/>
      </w:pPr>
    </w:p>
    <w:p>
      <w:pPr>
        <w:pStyle w:val="Heading2"/>
        <w:keepNext/>
      </w:pPr>
      <w:r>
        <w:t>16.3 README minimum contents</w:t>
      </w:r>
    </w:p>
    <w:p>
      <w:pPr>
        <w:pStyle w:val="ListBullet"/>
        <w:spacing w:after="40"/>
      </w:pPr>
      <w:r>
        <w:t>Problem statement and solution summary.</w:t>
      </w:r>
    </w:p>
    <w:p>
      <w:pPr>
        <w:pStyle w:val="ListBullet"/>
        <w:spacing w:after="40"/>
      </w:pPr>
      <w:r>
        <w:t>Working public URL and demo video.</w:t>
      </w:r>
    </w:p>
    <w:p>
      <w:pPr>
        <w:pStyle w:val="ListBullet"/>
        <w:spacing w:after="40"/>
      </w:pPr>
      <w:r>
        <w:t>Architecture diagram and Google services used.</w:t>
      </w:r>
    </w:p>
    <w:p>
      <w:pPr>
        <w:pStyle w:val="ListBullet"/>
        <w:spacing w:after="40"/>
      </w:pPr>
      <w:r>
        <w:t>Local Flutter/backend setup instructions.</w:t>
      </w:r>
    </w:p>
    <w:p>
      <w:pPr>
        <w:pStyle w:val="ListBullet"/>
        <w:spacing w:after="40"/>
      </w:pPr>
      <w:r>
        <w:t>Cloud deployment overview without secrets.</w:t>
      </w:r>
    </w:p>
    <w:p>
      <w:pPr>
        <w:pStyle w:val="ListBullet"/>
        <w:spacing w:after="40"/>
      </w:pPr>
      <w:r>
        <w:t>Demo data/factor sources and scientific limitations.</w:t>
      </w:r>
    </w:p>
    <w:p>
      <w:pPr>
        <w:pStyle w:val="ListBullet"/>
        <w:spacing w:after="40"/>
      </w:pPr>
      <w:r>
        <w:t>Privacy/consent model and Green Points disclaimer.</w:t>
      </w:r>
    </w:p>
    <w:p>
      <w:pPr>
        <w:pStyle w:val="ListBullet"/>
        <w:spacing w:after="40"/>
      </w:pPr>
      <w:r>
        <w:t>Known limitations and Phase 2 roadmap.</w:t>
      </w:r>
    </w:p>
    <w:p>
      <w:pPr>
        <w:pStyle w:val="ListBullet"/>
        <w:spacing w:after="40"/>
      </w:pPr>
      <w:r>
        <w:t>Screenshots/GIFs and API flow.</w:t>
      </w:r>
    </w:p>
    <w:p>
      <w:pPr>
        <w:pStyle w:val="Heading1"/>
        <w:keepNext/>
      </w:pPr>
      <w:r>
        <w:t>17. Risk Register and Recovery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92"/>
            <w:vAlign w:val="center"/>
            <w:shd w:fill="1B5E20"/>
          </w:tcPr>
          <w:p>
            <w:pPr>
              <w:jc w:val="center"/>
            </w:pPr>
            <w:r/>
            <w:r>
              <w:rPr>
                <w:rFonts w:ascii="Aptos" w:hAnsi="Aptos"/>
                <w:b/>
                <w:color w:val="FFFFFF"/>
                <w:sz w:val="15"/>
              </w:rPr>
              <w:t>Risk</w:t>
            </w:r>
          </w:p>
        </w:tc>
        <w:tc>
          <w:tcPr>
            <w:tcW w:type="dxa" w:w="1080"/>
            <w:vAlign w:val="center"/>
            <w:shd w:fill="1B5E20"/>
          </w:tcPr>
          <w:p>
            <w:pPr>
              <w:jc w:val="center"/>
            </w:pPr>
            <w:r/>
            <w:r>
              <w:rPr>
                <w:rFonts w:ascii="Aptos" w:hAnsi="Aptos"/>
                <w:b/>
                <w:color w:val="FFFFFF"/>
                <w:sz w:val="15"/>
              </w:rPr>
              <w:t>Probability</w:t>
            </w:r>
          </w:p>
        </w:tc>
        <w:tc>
          <w:tcPr>
            <w:tcW w:type="dxa" w:w="1080"/>
            <w:vAlign w:val="center"/>
            <w:shd w:fill="1B5E20"/>
          </w:tcPr>
          <w:p>
            <w:pPr>
              <w:jc w:val="center"/>
            </w:pPr>
            <w:r/>
            <w:r>
              <w:rPr>
                <w:rFonts w:ascii="Aptos" w:hAnsi="Aptos"/>
                <w:b/>
                <w:color w:val="FFFFFF"/>
                <w:sz w:val="15"/>
              </w:rPr>
              <w:t>Impact</w:t>
            </w:r>
          </w:p>
        </w:tc>
        <w:tc>
          <w:tcPr>
            <w:tcW w:type="dxa" w:w="5400"/>
            <w:vAlign w:val="center"/>
            <w:shd w:fill="1B5E20"/>
          </w:tcPr>
          <w:p>
            <w:pPr>
              <w:jc w:val="center"/>
            </w:pPr>
            <w:r/>
            <w:r>
              <w:rPr>
                <w:rFonts w:ascii="Aptos" w:hAnsi="Aptos"/>
                <w:b/>
                <w:color w:val="FFFFFF"/>
                <w:sz w:val="15"/>
              </w:rPr>
              <w:t>Mitigation / cut line</w:t>
            </w:r>
          </w:p>
        </w:tc>
      </w:tr>
      <w:tr>
        <w:tc>
          <w:tcPr>
            <w:tcW w:type="dxa" w:w="2592"/>
            <w:vAlign w:val="center"/>
          </w:tcPr>
          <w:p>
            <w:r/>
            <w:r>
              <w:rPr>
                <w:rFonts w:ascii="Aptos" w:hAnsi="Aptos"/>
                <w:b w:val="0"/>
                <w:sz w:val="15"/>
              </w:rPr>
              <w:t>Product identification unreliable</w:t>
            </w:r>
          </w:p>
        </w:tc>
        <w:tc>
          <w:tcPr>
            <w:tcW w:type="dxa" w:w="1080"/>
            <w:vAlign w:val="center"/>
          </w:tcPr>
          <w:p>
            <w:r/>
            <w:r>
              <w:rPr>
                <w:rFonts w:ascii="Aptos" w:hAnsi="Aptos"/>
                <w:b w:val="0"/>
                <w:sz w:val="15"/>
              </w:rPr>
              <w:t>Medium</w:t>
            </w:r>
          </w:p>
        </w:tc>
        <w:tc>
          <w:tcPr>
            <w:tcW w:type="dxa" w:w="1080"/>
            <w:vAlign w:val="center"/>
          </w:tcPr>
          <w:p>
            <w:r/>
            <w:r>
              <w:rPr>
                <w:rFonts w:ascii="Aptos" w:hAnsi="Aptos"/>
                <w:b w:val="0"/>
                <w:sz w:val="15"/>
              </w:rPr>
              <w:t>High</w:t>
            </w:r>
          </w:p>
        </w:tc>
        <w:tc>
          <w:tcPr>
            <w:tcW w:type="dxa" w:w="5400"/>
            <w:vAlign w:val="center"/>
          </w:tcPr>
          <w:p>
            <w:r/>
            <w:r>
              <w:rPr>
                <w:rFonts w:ascii="Aptos" w:hAnsi="Aptos"/>
                <w:b w:val="0"/>
                <w:sz w:val="15"/>
              </w:rPr>
              <w:t>Constrain demo to curated categories/products; use Vision evidence + deterministic catalog match; provide sample-image fallback.</w:t>
            </w:r>
          </w:p>
        </w:tc>
      </w:tr>
      <w:tr>
        <w:tc>
          <w:tcPr>
            <w:tcW w:type="dxa" w:w="2592"/>
            <w:vAlign w:val="center"/>
            <w:shd w:fill="F7F9F9"/>
          </w:tcPr>
          <w:p>
            <w:r/>
            <w:r>
              <w:rPr>
                <w:rFonts w:ascii="Aptos" w:hAnsi="Aptos"/>
                <w:b w:val="0"/>
                <w:sz w:val="15"/>
              </w:rPr>
              <w:t>Receipt line items inconsistent</w:t>
            </w:r>
          </w:p>
        </w:tc>
        <w:tc>
          <w:tcPr>
            <w:tcW w:type="dxa" w:w="1080"/>
            <w:vAlign w:val="center"/>
            <w:shd w:fill="F7F9F9"/>
          </w:tcPr>
          <w:p>
            <w:r/>
            <w:r>
              <w:rPr>
                <w:rFonts w:ascii="Aptos" w:hAnsi="Aptos"/>
                <w:b w:val="0"/>
                <w:sz w:val="15"/>
              </w:rPr>
              <w:t>High</w:t>
            </w:r>
          </w:p>
        </w:tc>
        <w:tc>
          <w:tcPr>
            <w:tcW w:type="dxa" w:w="1080"/>
            <w:vAlign w:val="center"/>
            <w:shd w:fill="F7F9F9"/>
          </w:tcPr>
          <w:p>
            <w:r/>
            <w:r>
              <w:rPr>
                <w:rFonts w:ascii="Aptos" w:hAnsi="Aptos"/>
                <w:b w:val="0"/>
                <w:sz w:val="15"/>
              </w:rPr>
              <w:t>Medium</w:t>
            </w:r>
          </w:p>
        </w:tc>
        <w:tc>
          <w:tcPr>
            <w:tcW w:type="dxa" w:w="5400"/>
            <w:vAlign w:val="center"/>
            <w:shd w:fill="F7F9F9"/>
          </w:tcPr>
          <w:p>
            <w:r/>
            <w:r>
              <w:rPr>
                <w:rFonts w:ascii="Aptos" w:hAnsi="Aptos"/>
                <w:b w:val="0"/>
                <w:sz w:val="15"/>
              </w:rPr>
              <w:t>Use merchant/date/total + simple line items; make receipt P1, not the only demo path.</w:t>
            </w:r>
          </w:p>
        </w:tc>
      </w:tr>
      <w:tr>
        <w:tc>
          <w:tcPr>
            <w:tcW w:type="dxa" w:w="2592"/>
            <w:vAlign w:val="center"/>
          </w:tcPr>
          <w:p>
            <w:r/>
            <w:r>
              <w:rPr>
                <w:rFonts w:ascii="Aptos" w:hAnsi="Aptos"/>
                <w:b w:val="0"/>
                <w:sz w:val="15"/>
              </w:rPr>
              <w:t>Emission data sourcing takes too long</w:t>
            </w:r>
          </w:p>
        </w:tc>
        <w:tc>
          <w:tcPr>
            <w:tcW w:type="dxa" w:w="1080"/>
            <w:vAlign w:val="center"/>
          </w:tcPr>
          <w:p>
            <w:r/>
            <w:r>
              <w:rPr>
                <w:rFonts w:ascii="Aptos" w:hAnsi="Aptos"/>
                <w:b w:val="0"/>
                <w:sz w:val="15"/>
              </w:rPr>
              <w:t>Medium</w:t>
            </w:r>
          </w:p>
        </w:tc>
        <w:tc>
          <w:tcPr>
            <w:tcW w:type="dxa" w:w="1080"/>
            <w:vAlign w:val="center"/>
          </w:tcPr>
          <w:p>
            <w:r/>
            <w:r>
              <w:rPr>
                <w:rFonts w:ascii="Aptos" w:hAnsi="Aptos"/>
                <w:b w:val="0"/>
                <w:sz w:val="15"/>
              </w:rPr>
              <w:t>High</w:t>
            </w:r>
          </w:p>
        </w:tc>
        <w:tc>
          <w:tcPr>
            <w:tcW w:type="dxa" w:w="5400"/>
            <w:vAlign w:val="center"/>
          </w:tcPr>
          <w:p>
            <w:r/>
            <w:r>
              <w:rPr>
                <w:rFonts w:ascii="Aptos" w:hAnsi="Aptos"/>
                <w:b w:val="0"/>
                <w:sz w:val="15"/>
              </w:rPr>
              <w:t>Use a small transparent versioned demo dataset with source/provenance fields; never claim global completeness.</w:t>
            </w:r>
          </w:p>
        </w:tc>
      </w:tr>
      <w:tr>
        <w:tc>
          <w:tcPr>
            <w:tcW w:type="dxa" w:w="2592"/>
            <w:vAlign w:val="center"/>
            <w:shd w:fill="F7F9F9"/>
          </w:tcPr>
          <w:p>
            <w:r/>
            <w:r>
              <w:rPr>
                <w:rFonts w:ascii="Aptos" w:hAnsi="Aptos"/>
                <w:b w:val="0"/>
                <w:sz w:val="15"/>
              </w:rPr>
              <w:t>Gemini output varies</w:t>
            </w:r>
          </w:p>
        </w:tc>
        <w:tc>
          <w:tcPr>
            <w:tcW w:type="dxa" w:w="1080"/>
            <w:vAlign w:val="center"/>
            <w:shd w:fill="F7F9F9"/>
          </w:tcPr>
          <w:p>
            <w:r/>
            <w:r>
              <w:rPr>
                <w:rFonts w:ascii="Aptos" w:hAnsi="Aptos"/>
                <w:b w:val="0"/>
                <w:sz w:val="15"/>
              </w:rPr>
              <w:t>Medium</w:t>
            </w:r>
          </w:p>
        </w:tc>
        <w:tc>
          <w:tcPr>
            <w:tcW w:type="dxa" w:w="1080"/>
            <w:vAlign w:val="center"/>
            <w:shd w:fill="F7F9F9"/>
          </w:tcPr>
          <w:p>
            <w:r/>
            <w:r>
              <w:rPr>
                <w:rFonts w:ascii="Aptos" w:hAnsi="Aptos"/>
                <w:b w:val="0"/>
                <w:sz w:val="15"/>
              </w:rPr>
              <w:t>Medium</w:t>
            </w:r>
          </w:p>
        </w:tc>
        <w:tc>
          <w:tcPr>
            <w:tcW w:type="dxa" w:w="5400"/>
            <w:vAlign w:val="center"/>
            <w:shd w:fill="F7F9F9"/>
          </w:tcPr>
          <w:p>
            <w:r/>
            <w:r>
              <w:rPr>
                <w:rFonts w:ascii="Aptos" w:hAnsi="Aptos"/>
                <w:b w:val="0"/>
                <w:sz w:val="15"/>
              </w:rPr>
              <w:t>Structured schema, low-temperature prompt, validation and deterministic fallback.</w:t>
            </w:r>
          </w:p>
        </w:tc>
      </w:tr>
      <w:tr>
        <w:tc>
          <w:tcPr>
            <w:tcW w:type="dxa" w:w="2592"/>
            <w:vAlign w:val="center"/>
          </w:tcPr>
          <w:p>
            <w:r/>
            <w:r>
              <w:rPr>
                <w:rFonts w:ascii="Aptos" w:hAnsi="Aptos"/>
                <w:b w:val="0"/>
                <w:sz w:val="15"/>
              </w:rPr>
              <w:t>Cloud quota/billing issue</w:t>
            </w:r>
          </w:p>
        </w:tc>
        <w:tc>
          <w:tcPr>
            <w:tcW w:type="dxa" w:w="1080"/>
            <w:vAlign w:val="center"/>
          </w:tcPr>
          <w:p>
            <w:r/>
            <w:r>
              <w:rPr>
                <w:rFonts w:ascii="Aptos" w:hAnsi="Aptos"/>
                <w:b w:val="0"/>
                <w:sz w:val="15"/>
              </w:rPr>
              <w:t>Low/Medium</w:t>
            </w:r>
          </w:p>
        </w:tc>
        <w:tc>
          <w:tcPr>
            <w:tcW w:type="dxa" w:w="1080"/>
            <w:vAlign w:val="center"/>
          </w:tcPr>
          <w:p>
            <w:r/>
            <w:r>
              <w:rPr>
                <w:rFonts w:ascii="Aptos" w:hAnsi="Aptos"/>
                <w:b w:val="0"/>
                <w:sz w:val="15"/>
              </w:rPr>
              <w:t>High</w:t>
            </w:r>
          </w:p>
        </w:tc>
        <w:tc>
          <w:tcPr>
            <w:tcW w:type="dxa" w:w="5400"/>
            <w:vAlign w:val="center"/>
          </w:tcPr>
          <w:p>
            <w:r/>
            <w:r>
              <w:rPr>
                <w:rFonts w:ascii="Aptos" w:hAnsi="Aptos"/>
                <w:b w:val="0"/>
                <w:sz w:val="15"/>
              </w:rPr>
              <w:t>Enable billing/APIs on Oct 7; test quota early; keep sample calls bounded.</w:t>
            </w:r>
          </w:p>
        </w:tc>
      </w:tr>
      <w:tr>
        <w:tc>
          <w:tcPr>
            <w:tcW w:type="dxa" w:w="2592"/>
            <w:vAlign w:val="center"/>
            <w:shd w:fill="F7F9F9"/>
          </w:tcPr>
          <w:p>
            <w:r/>
            <w:r>
              <w:rPr>
                <w:rFonts w:ascii="Aptos" w:hAnsi="Aptos"/>
                <w:b w:val="0"/>
                <w:sz w:val="15"/>
              </w:rPr>
              <w:t>Flutter web/mobile divergence</w:t>
            </w:r>
          </w:p>
        </w:tc>
        <w:tc>
          <w:tcPr>
            <w:tcW w:type="dxa" w:w="1080"/>
            <w:vAlign w:val="center"/>
            <w:shd w:fill="F7F9F9"/>
          </w:tcPr>
          <w:p>
            <w:r/>
            <w:r>
              <w:rPr>
                <w:rFonts w:ascii="Aptos" w:hAnsi="Aptos"/>
                <w:b w:val="0"/>
                <w:sz w:val="15"/>
              </w:rPr>
              <w:t>Medium</w:t>
            </w:r>
          </w:p>
        </w:tc>
        <w:tc>
          <w:tcPr>
            <w:tcW w:type="dxa" w:w="1080"/>
            <w:vAlign w:val="center"/>
            <w:shd w:fill="F7F9F9"/>
          </w:tcPr>
          <w:p>
            <w:r/>
            <w:r>
              <w:rPr>
                <w:rFonts w:ascii="Aptos" w:hAnsi="Aptos"/>
                <w:b w:val="0"/>
                <w:sz w:val="15"/>
              </w:rPr>
              <w:t>Medium</w:t>
            </w:r>
          </w:p>
        </w:tc>
        <w:tc>
          <w:tcPr>
            <w:tcW w:type="dxa" w:w="5400"/>
            <w:vAlign w:val="center"/>
            <w:shd w:fill="F7F9F9"/>
          </w:tcPr>
          <w:p>
            <w:r/>
            <w:r>
              <w:rPr>
                <w:rFonts w:ascii="Aptos" w:hAnsi="Aptos"/>
                <w:b w:val="0"/>
                <w:sz w:val="15"/>
              </w:rPr>
              <w:t>Shared widgets/business models; Android-specific Health Connect behind adapter.</w:t>
            </w:r>
          </w:p>
        </w:tc>
      </w:tr>
      <w:tr>
        <w:tc>
          <w:tcPr>
            <w:tcW w:type="dxa" w:w="2592"/>
            <w:vAlign w:val="center"/>
          </w:tcPr>
          <w:p>
            <w:r/>
            <w:r>
              <w:rPr>
                <w:rFonts w:ascii="Aptos" w:hAnsi="Aptos"/>
                <w:b w:val="0"/>
                <w:sz w:val="15"/>
              </w:rPr>
              <w:t>Too many services</w:t>
            </w:r>
          </w:p>
        </w:tc>
        <w:tc>
          <w:tcPr>
            <w:tcW w:type="dxa" w:w="1080"/>
            <w:vAlign w:val="center"/>
          </w:tcPr>
          <w:p>
            <w:r/>
            <w:r>
              <w:rPr>
                <w:rFonts w:ascii="Aptos" w:hAnsi="Aptos"/>
                <w:b w:val="0"/>
                <w:sz w:val="15"/>
              </w:rPr>
              <w:t>High</w:t>
            </w:r>
          </w:p>
        </w:tc>
        <w:tc>
          <w:tcPr>
            <w:tcW w:type="dxa" w:w="1080"/>
            <w:vAlign w:val="center"/>
          </w:tcPr>
          <w:p>
            <w:r/>
            <w:r>
              <w:rPr>
                <w:rFonts w:ascii="Aptos" w:hAnsi="Aptos"/>
                <w:b w:val="0"/>
                <w:sz w:val="15"/>
              </w:rPr>
              <w:t>High</w:t>
            </w:r>
          </w:p>
        </w:tc>
        <w:tc>
          <w:tcPr>
            <w:tcW w:type="dxa" w:w="5400"/>
            <w:vAlign w:val="center"/>
          </w:tcPr>
          <w:p>
            <w:r/>
            <w:r>
              <w:rPr>
                <w:rFonts w:ascii="Aptos" w:hAnsi="Aptos"/>
                <w:b w:val="0"/>
                <w:sz w:val="15"/>
              </w:rPr>
              <w:t>Co-deploy modules in one Cloud Run service for MVP; preserve logical boundaries in code/HLD.</w:t>
            </w:r>
          </w:p>
        </w:tc>
      </w:tr>
      <w:tr>
        <w:tc>
          <w:tcPr>
            <w:tcW w:type="dxa" w:w="2592"/>
            <w:vAlign w:val="center"/>
            <w:shd w:fill="F7F9F9"/>
          </w:tcPr>
          <w:p>
            <w:r/>
            <w:r>
              <w:rPr>
                <w:rFonts w:ascii="Aptos" w:hAnsi="Aptos"/>
                <w:b w:val="0"/>
                <w:sz w:val="15"/>
              </w:rPr>
              <w:t>Late feature changes</w:t>
            </w:r>
          </w:p>
        </w:tc>
        <w:tc>
          <w:tcPr>
            <w:tcW w:type="dxa" w:w="1080"/>
            <w:vAlign w:val="center"/>
            <w:shd w:fill="F7F9F9"/>
          </w:tcPr>
          <w:p>
            <w:r/>
            <w:r>
              <w:rPr>
                <w:rFonts w:ascii="Aptos" w:hAnsi="Aptos"/>
                <w:b w:val="0"/>
                <w:sz w:val="15"/>
              </w:rPr>
              <w:t>High</w:t>
            </w:r>
          </w:p>
        </w:tc>
        <w:tc>
          <w:tcPr>
            <w:tcW w:type="dxa" w:w="1080"/>
            <w:vAlign w:val="center"/>
            <w:shd w:fill="F7F9F9"/>
          </w:tcPr>
          <w:p>
            <w:r/>
            <w:r>
              <w:rPr>
                <w:rFonts w:ascii="Aptos" w:hAnsi="Aptos"/>
                <w:b w:val="0"/>
                <w:sz w:val="15"/>
              </w:rPr>
              <w:t>High</w:t>
            </w:r>
          </w:p>
        </w:tc>
        <w:tc>
          <w:tcPr>
            <w:tcW w:type="dxa" w:w="5400"/>
            <w:vAlign w:val="center"/>
            <w:shd w:fill="F7F9F9"/>
          </w:tcPr>
          <w:p>
            <w:r/>
            <w:r>
              <w:rPr>
                <w:rFonts w:ascii="Aptos" w:hAnsi="Aptos"/>
                <w:b w:val="0"/>
                <w:sz w:val="15"/>
              </w:rPr>
              <w:t>Code freeze Oct 16; after that only critical fixes and artifact work.</w:t>
            </w:r>
          </w:p>
        </w:tc>
      </w:tr>
      <w:tr>
        <w:tc>
          <w:tcPr>
            <w:tcW w:type="dxa" w:w="2592"/>
            <w:vAlign w:val="center"/>
          </w:tcPr>
          <w:p>
            <w:r/>
            <w:r>
              <w:rPr>
                <w:rFonts w:ascii="Aptos" w:hAnsi="Aptos"/>
                <w:b w:val="0"/>
                <w:sz w:val="15"/>
              </w:rPr>
              <w:t>Public link fails during judging</w:t>
            </w:r>
          </w:p>
        </w:tc>
        <w:tc>
          <w:tcPr>
            <w:tcW w:type="dxa" w:w="1080"/>
            <w:vAlign w:val="center"/>
          </w:tcPr>
          <w:p>
            <w:r/>
            <w:r>
              <w:rPr>
                <w:rFonts w:ascii="Aptos" w:hAnsi="Aptos"/>
                <w:b w:val="0"/>
                <w:sz w:val="15"/>
              </w:rPr>
              <w:t>Low/Medium</w:t>
            </w:r>
          </w:p>
        </w:tc>
        <w:tc>
          <w:tcPr>
            <w:tcW w:type="dxa" w:w="1080"/>
            <w:vAlign w:val="center"/>
          </w:tcPr>
          <w:p>
            <w:r/>
            <w:r>
              <w:rPr>
                <w:rFonts w:ascii="Aptos" w:hAnsi="Aptos"/>
                <w:b w:val="0"/>
                <w:sz w:val="15"/>
              </w:rPr>
              <w:t>High</w:t>
            </w:r>
          </w:p>
        </w:tc>
        <w:tc>
          <w:tcPr>
            <w:tcW w:type="dxa" w:w="5400"/>
            <w:vAlign w:val="center"/>
          </w:tcPr>
          <w:p>
            <w:r/>
            <w:r>
              <w:rPr>
                <w:rFonts w:ascii="Aptos" w:hAnsi="Aptos"/>
                <w:b w:val="0"/>
                <w:sz w:val="15"/>
              </w:rPr>
              <w:t>Cloud Monitoring, fresh-browser rehearsal, demo video fallback, avoid auth configuration changes on Oct 18.</w:t>
            </w:r>
          </w:p>
        </w:tc>
      </w:tr>
      <w:tr>
        <w:tc>
          <w:tcPr>
            <w:tcW w:type="dxa" w:w="2592"/>
            <w:vAlign w:val="center"/>
            <w:shd w:fill="F7F9F9"/>
          </w:tcPr>
          <w:p>
            <w:r/>
            <w:r>
              <w:rPr>
                <w:rFonts w:ascii="Aptos" w:hAnsi="Aptos"/>
                <w:b w:val="0"/>
                <w:sz w:val="15"/>
              </w:rPr>
              <w:t>Google-only constraint violated accidentally</w:t>
            </w:r>
          </w:p>
        </w:tc>
        <w:tc>
          <w:tcPr>
            <w:tcW w:type="dxa" w:w="1080"/>
            <w:vAlign w:val="center"/>
            <w:shd w:fill="F7F9F9"/>
          </w:tcPr>
          <w:p>
            <w:r/>
            <w:r>
              <w:rPr>
                <w:rFonts w:ascii="Aptos" w:hAnsi="Aptos"/>
                <w:b w:val="0"/>
                <w:sz w:val="15"/>
              </w:rPr>
              <w:t>Medium</w:t>
            </w:r>
          </w:p>
        </w:tc>
        <w:tc>
          <w:tcPr>
            <w:tcW w:type="dxa" w:w="1080"/>
            <w:vAlign w:val="center"/>
            <w:shd w:fill="F7F9F9"/>
          </w:tcPr>
          <w:p>
            <w:r/>
            <w:r>
              <w:rPr>
                <w:rFonts w:ascii="Aptos" w:hAnsi="Aptos"/>
                <w:b w:val="0"/>
                <w:sz w:val="15"/>
              </w:rPr>
              <w:t>Medium</w:t>
            </w:r>
          </w:p>
        </w:tc>
        <w:tc>
          <w:tcPr>
            <w:tcW w:type="dxa" w:w="5400"/>
            <w:vAlign w:val="center"/>
            <w:shd w:fill="F7F9F9"/>
          </w:tcPr>
          <w:p>
            <w:r/>
            <w:r>
              <w:rPr>
                <w:rFonts w:ascii="Aptos" w:hAnsi="Aptos"/>
                <w:b w:val="0"/>
                <w:sz w:val="15"/>
              </w:rPr>
              <w:t>No third-party SaaS, no external AI/database/CI. GitHub only as mandatory source artifact.</w:t>
            </w:r>
          </w:p>
        </w:tc>
      </w:tr>
      <w:tr>
        <w:tc>
          <w:tcPr>
            <w:tcW w:type="dxa" w:w="2520"/>
            <w:vAlign w:val="center"/>
          </w:tcPr>
          <w:p>
            <w:pPr>
              <w:spacing w:after="0" w:before="0"/>
            </w:pPr>
            <w:r/>
            <w:r>
              <w:rPr>
                <w:b w:val="0"/>
                <w:sz w:val="16"/>
              </w:rPr>
              <w:t>Tree monitoring over-claim</w:t>
            </w:r>
          </w:p>
        </w:tc>
        <w:tc>
          <w:tcPr>
            <w:tcW w:type="dxa" w:w="2520"/>
            <w:vAlign w:val="center"/>
          </w:tcPr>
          <w:p>
            <w:pPr>
              <w:spacing w:after="0" w:before="0"/>
            </w:pPr>
            <w:r/>
            <w:r>
              <w:rPr>
                <w:b w:val="0"/>
                <w:sz w:val="16"/>
              </w:rPr>
              <w:t>High</w:t>
            </w:r>
          </w:p>
        </w:tc>
        <w:tc>
          <w:tcPr>
            <w:tcW w:type="dxa" w:w="2520"/>
            <w:vAlign w:val="center"/>
          </w:tcPr>
          <w:p>
            <w:pPr>
              <w:spacing w:after="0" w:before="0"/>
            </w:pPr>
            <w:r/>
            <w:r>
              <w:rPr>
                <w:b w:val="0"/>
                <w:sz w:val="16"/>
              </w:rPr>
              <w:t>High</w:t>
            </w:r>
          </w:p>
        </w:tc>
        <w:tc>
          <w:tcPr>
            <w:tcW w:type="dxa" w:w="2520"/>
            <w:vAlign w:val="center"/>
          </w:tcPr>
          <w:p>
            <w:pPr>
              <w:spacing w:after="0" w:before="0"/>
            </w:pPr>
            <w:r/>
            <w:r>
              <w:rPr>
                <w:b w:val="0"/>
                <w:sz w:val="16"/>
              </w:rPr>
              <w:t>Do not claim Maps/satellite proves an individual sapling. Use staged photo/community verification; Earth Engine only as plot-level supporting evidence where resolution is suitable.</w:t>
            </w:r>
          </w:p>
        </w:tc>
      </w:tr>
      <w:tr>
        <w:tc>
          <w:tcPr>
            <w:tcW w:type="dxa" w:w="2520"/>
            <w:vAlign w:val="center"/>
          </w:tcPr>
          <w:p>
            <w:pPr>
              <w:spacing w:after="0" w:before="0"/>
            </w:pPr>
            <w:r/>
            <w:r>
              <w:rPr>
                <w:b w:val="0"/>
                <w:sz w:val="16"/>
              </w:rPr>
              <w:t>$20/tree appears as guaranteed payment</w:t>
            </w:r>
          </w:p>
        </w:tc>
        <w:tc>
          <w:tcPr>
            <w:tcW w:type="dxa" w:w="2520"/>
            <w:vAlign w:val="center"/>
          </w:tcPr>
          <w:p>
            <w:pPr>
              <w:spacing w:after="0" w:before="0"/>
            </w:pPr>
            <w:r/>
            <w:r>
              <w:rPr>
                <w:b w:val="0"/>
                <w:sz w:val="16"/>
              </w:rPr>
              <w:t>Medium</w:t>
            </w:r>
          </w:p>
        </w:tc>
        <w:tc>
          <w:tcPr>
            <w:tcW w:type="dxa" w:w="2520"/>
            <w:vAlign w:val="center"/>
          </w:tcPr>
          <w:p>
            <w:pPr>
              <w:spacing w:after="0" w:before="0"/>
            </w:pPr>
            <w:r/>
            <w:r>
              <w:rPr>
                <w:b w:val="0"/>
                <w:sz w:val="16"/>
              </w:rPr>
              <w:t>High</w:t>
            </w:r>
          </w:p>
        </w:tc>
        <w:tc>
          <w:tcPr>
            <w:tcW w:type="dxa" w:w="2520"/>
            <w:vAlign w:val="center"/>
          </w:tcPr>
          <w:p>
            <w:pPr>
              <w:spacing w:after="0" w:before="0"/>
            </w:pPr>
            <w:r/>
            <w:r>
              <w:rPr>
                <w:b w:val="0"/>
                <w:sz w:val="16"/>
              </w:rPr>
              <w:t>Treat as optional partner-sponsored campaign policy with explicit budget/eligibility/vesting; Green Points remain default.</w:t>
            </w:r>
          </w:p>
        </w:tc>
      </w:tr>
      <w:tr>
        <w:tc>
          <w:tcPr>
            <w:tcW w:type="dxa" w:w="2520"/>
            <w:vAlign w:val="center"/>
          </w:tcPr>
          <w:p>
            <w:pPr>
              <w:spacing w:after="0" w:before="0"/>
            </w:pPr>
            <w:r/>
            <w:r>
              <w:rPr>
                <w:b w:val="0"/>
                <w:sz w:val="16"/>
              </w:rPr>
              <w:t>Grow-Green fake/stale images or collusion</w:t>
            </w:r>
          </w:p>
        </w:tc>
        <w:tc>
          <w:tcPr>
            <w:tcW w:type="dxa" w:w="2520"/>
            <w:vAlign w:val="center"/>
          </w:tcPr>
          <w:p>
            <w:pPr>
              <w:spacing w:after="0" w:before="0"/>
            </w:pPr>
            <w:r/>
            <w:r>
              <w:rPr>
                <w:b w:val="0"/>
                <w:sz w:val="16"/>
              </w:rPr>
              <w:t>Medium</w:t>
            </w:r>
          </w:p>
        </w:tc>
        <w:tc>
          <w:tcPr>
            <w:tcW w:type="dxa" w:w="2520"/>
            <w:vAlign w:val="center"/>
          </w:tcPr>
          <w:p>
            <w:pPr>
              <w:spacing w:after="0" w:before="0"/>
            </w:pPr>
            <w:r/>
            <w:r>
              <w:rPr>
                <w:b w:val="0"/>
                <w:sz w:val="16"/>
              </w:rPr>
              <w:t>High</w:t>
            </w:r>
          </w:p>
        </w:tc>
        <w:tc>
          <w:tcPr>
            <w:tcW w:type="dxa" w:w="2520"/>
            <w:vAlign w:val="center"/>
          </w:tcPr>
          <w:p>
            <w:pPr>
              <w:spacing w:after="0" w:before="0"/>
            </w:pPr>
            <w:r/>
            <w:r>
              <w:rPr>
                <w:b w:val="0"/>
                <w:sz w:val="16"/>
              </w:rPr>
              <w:t>Fresh capture metadata, image hashes, proximity/time rules, visitor trust weighting, rate limits and manual/admin review path.</w:t>
            </w:r>
          </w:p>
        </w:tc>
      </w:tr>
      <w:tr>
        <w:tc>
          <w:tcPr>
            <w:tcW w:type="dxa" w:w="2520"/>
            <w:vAlign w:val="center"/>
          </w:tcPr>
          <w:p>
            <w:pPr>
              <w:spacing w:after="0" w:before="0"/>
            </w:pPr>
            <w:r/>
            <w:r>
              <w:rPr>
                <w:b w:val="0"/>
                <w:sz w:val="16"/>
              </w:rPr>
              <w:t>Unverified/duplicate e-waste certificates</w:t>
            </w:r>
          </w:p>
        </w:tc>
        <w:tc>
          <w:tcPr>
            <w:tcW w:type="dxa" w:w="2520"/>
            <w:vAlign w:val="center"/>
          </w:tcPr>
          <w:p>
            <w:pPr>
              <w:spacing w:after="0" w:before="0"/>
            </w:pPr>
            <w:r/>
            <w:r>
              <w:rPr>
                <w:b w:val="0"/>
                <w:sz w:val="16"/>
              </w:rPr>
              <w:t>Medium</w:t>
            </w:r>
          </w:p>
        </w:tc>
        <w:tc>
          <w:tcPr>
            <w:tcW w:type="dxa" w:w="2520"/>
            <w:vAlign w:val="center"/>
          </w:tcPr>
          <w:p>
            <w:pPr>
              <w:spacing w:after="0" w:before="0"/>
            </w:pPr>
            <w:r/>
            <w:r>
              <w:rPr>
                <w:b w:val="0"/>
                <w:sz w:val="16"/>
              </w:rPr>
              <w:t>High</w:t>
            </w:r>
          </w:p>
        </w:tc>
        <w:tc>
          <w:tcPr>
            <w:tcW w:type="dxa" w:w="2520"/>
            <w:vAlign w:val="center"/>
          </w:tcPr>
          <w:p>
            <w:pPr>
              <w:spacing w:after="0" w:before="0"/>
            </w:pPr>
            <w:r/>
            <w:r>
              <w:rPr>
                <w:b w:val="0"/>
                <w:sz w:val="16"/>
              </w:rPr>
              <w:t>Document AI extraction, recycler registry match, normalized fingerprint and cross-account duplicate detection.</w:t>
            </w:r>
          </w:p>
        </w:tc>
      </w:tr>
      <w:tr>
        <w:tc>
          <w:tcPr>
            <w:tcW w:type="dxa" w:w="2520"/>
            <w:vAlign w:val="center"/>
          </w:tcPr>
          <w:p>
            <w:pPr>
              <w:spacing w:after="0" w:before="0"/>
            </w:pPr>
            <w:r/>
            <w:r>
              <w:rPr>
                <w:b w:val="0"/>
                <w:sz w:val="16"/>
              </w:rPr>
              <w:t>Reward model becomes incomparable across actions</w:t>
            </w:r>
          </w:p>
        </w:tc>
        <w:tc>
          <w:tcPr>
            <w:tcW w:type="dxa" w:w="2520"/>
            <w:vAlign w:val="center"/>
          </w:tcPr>
          <w:p>
            <w:pPr>
              <w:spacing w:after="0" w:before="0"/>
            </w:pPr>
            <w:r/>
            <w:r>
              <w:rPr>
                <w:b w:val="0"/>
                <w:sz w:val="16"/>
              </w:rPr>
              <w:t>Medium</w:t>
            </w:r>
          </w:p>
        </w:tc>
        <w:tc>
          <w:tcPr>
            <w:tcW w:type="dxa" w:w="2520"/>
            <w:vAlign w:val="center"/>
          </w:tcPr>
          <w:p>
            <w:pPr>
              <w:spacing w:after="0" w:before="0"/>
            </w:pPr>
            <w:r/>
            <w:r>
              <w:rPr>
                <w:b w:val="0"/>
                <w:sz w:val="16"/>
              </w:rPr>
              <w:t>Medium</w:t>
            </w:r>
          </w:p>
        </w:tc>
        <w:tc>
          <w:tcPr>
            <w:tcW w:type="dxa" w:w="2520"/>
            <w:vAlign w:val="center"/>
          </w:tcPr>
          <w:p>
            <w:pPr>
              <w:spacing w:after="0" w:before="0"/>
            </w:pPr>
            <w:r/>
            <w:r>
              <w:rPr>
                <w:b w:val="0"/>
                <w:sz w:val="16"/>
              </w:rPr>
              <w:t>Use one universal policy equation but action-specific impact metrics. Show reasons/factors rather than pretending every action is equivalent CO2e.</w:t>
            </w:r>
          </w:p>
        </w:tc>
      </w:tr>
    </w:tbl>
    <w:p>
      <w:pPr>
        <w:spacing w:after="40"/>
      </w:pPr>
    </w:p>
    <w:p>
      <w:pPr>
        <w:pStyle w:val="Heading1"/>
        <w:keepNext/>
      </w:pPr>
      <w:r>
        <w:t>18. Final Definition of Done</w:t>
      </w:r>
    </w:p>
    <w:p>
      <w:pPr>
        <w:pStyle w:val="ListBullet"/>
        <w:spacing w:after="40"/>
      </w:pPr>
      <w:r>
        <w:t>Public Firebase Hosting URL loads without special network access.</w:t>
      </w:r>
    </w:p>
    <w:p>
      <w:pPr>
        <w:pStyle w:val="ListBullet"/>
        <w:spacing w:after="40"/>
      </w:pPr>
      <w:r>
        <w:t>Cloud Run backend is deployed and version endpoint matches submitted build.</w:t>
      </w:r>
    </w:p>
    <w:p>
      <w:pPr>
        <w:pStyle w:val="ListBullet"/>
        <w:spacing w:after="40"/>
      </w:pPr>
      <w:r>
        <w:t>Firebase Authentication works for the demo account and consent is persisted.</w:t>
      </w:r>
    </w:p>
    <w:p>
      <w:pPr>
        <w:pStyle w:val="ListBullet"/>
        <w:spacing w:after="40"/>
      </w:pPr>
      <w:r>
        <w:t>At least one real image flows through Google image analysis and returns structured evidence.</w:t>
      </w:r>
    </w:p>
    <w:p>
      <w:pPr>
        <w:pStyle w:val="ListBullet"/>
        <w:spacing w:after="40"/>
      </w:pPr>
      <w:r>
        <w:t>Carbon estimate is deterministic, versioned and not generated by Gemini.</w:t>
      </w:r>
    </w:p>
    <w:p>
      <w:pPr>
        <w:pStyle w:val="ListBullet"/>
        <w:spacing w:after="40"/>
      </w:pPr>
      <w:r>
        <w:t>Sustainability Score and carbon estimate are displayed separately with confidence.</w:t>
      </w:r>
    </w:p>
    <w:p>
      <w:pPr>
        <w:pStyle w:val="ListBullet"/>
        <w:spacing w:after="40"/>
      </w:pPr>
      <w:r>
        <w:t>Gemini explanation/recommendation uses structured CarbonLens facts and produces validated output.</w:t>
      </w:r>
    </w:p>
    <w:p>
      <w:pPr>
        <w:pStyle w:val="ListBullet"/>
        <w:spacing w:after="40"/>
      </w:pPr>
      <w:r>
        <w:t>At least one Green Point event is gated by verification/duplicate logic and written exactly once.</w:t>
      </w:r>
    </w:p>
    <w:p>
      <w:pPr>
        <w:pStyle w:val="ListBullet"/>
        <w:spacing w:after="40"/>
      </w:pPr>
      <w:r>
        <w:t>BigQuery holds factor/reference data and at least one analytics/reporting table.</w:t>
      </w:r>
    </w:p>
    <w:p>
      <w:pPr>
        <w:pStyle w:val="ListBullet"/>
        <w:spacing w:after="40"/>
      </w:pPr>
      <w:r>
        <w:t>Cloud Logging/Monitoring can demonstrate backend health during judging.</w:t>
      </w:r>
    </w:p>
    <w:p>
      <w:pPr>
        <w:pStyle w:val="ListBullet"/>
        <w:spacing w:after="40"/>
      </w:pPr>
      <w:r>
        <w:t>Android build runs the same core experience or clearly demonstrates the mobile path.</w:t>
      </w:r>
    </w:p>
    <w:p>
      <w:pPr>
        <w:pStyle w:val="ListBullet"/>
        <w:spacing w:after="40"/>
      </w:pPr>
      <w:r>
        <w:t>GitHub repository is public, free of secrets and has a complete README.</w:t>
      </w:r>
    </w:p>
    <w:p>
      <w:pPr>
        <w:pStyle w:val="ListBullet"/>
        <w:spacing w:after="40"/>
      </w:pPr>
      <w:r>
        <w:t>PPT/PDF, public link and demo video are accessible without requesting permission.</w:t>
      </w:r>
    </w:p>
    <w:p>
      <w:pPr>
        <w:pStyle w:val="ListBullet"/>
        <w:spacing w:after="40"/>
      </w:pPr>
      <w:r>
        <w:t>The final demo is rehearsed from a clean browser/device and can be completed in 2-3 minutes.</w:t>
      </w:r>
    </w:p>
    <w:p>
      <w:pPr>
        <w:pStyle w:val="ListBullet"/>
      </w:pPr>
      <w:r>
        <w:t>All reward actions use the same canonical Trusted Green Event, versioned Reward Policy Engine and append-only ledger; no client or Gemini-issued points.</w:t>
      </w:r>
    </w:p>
    <w:p>
      <w:pPr>
        <w:pStyle w:val="ListBullet"/>
      </w:pPr>
      <w:r>
        <w:t>Go-Green-Product is fully live; Green-Move, Grow-Green and Recycle-Red have at least thin demonstrable flows or clearly bounded demo evidence without unsupported claims.</w:t>
      </w:r>
    </w:p>
    <w:p>
      <w:pPr>
        <w:pStyle w:val="ListBullet"/>
      </w:pPr>
      <w:r>
        <w:t>Grow-Green distinguishes planting, survival/persistence and any separate sequestration estimate; no claim that Google Maps pays or individually verifies trees.</w:t>
      </w:r>
    </w:p>
    <w:p>
      <w:pPr>
        <w:pStyle w:val="ListBullet"/>
      </w:pPr>
      <w:r>
        <w:t>Recycle-Red requires recycler/document evidence and blocks duplicate certificate/receipt claims.</w:t>
      </w:r>
    </w:p>
    <w:p>
      <w:pPr>
        <w:pStyle w:val="Heading1"/>
        <w:keepNext/>
      </w:pPr>
      <w:r>
        <w:t>Appendix A. Integrated HLD Diagrams</w:t>
      </w:r>
    </w:p>
    <w:p>
      <w:r>
        <w:t>The following HLD views retain the functional architecture from CarbonLens HLD v1.0 and add the v2.1 four-segment reward foundation. The deployment view follows the JAPAC Google-only constraint: Cloud Build, Artifact Registry, Cloud Run and Firebase. For the hackathon, multiple logical services may be co-deployed in one Cloud Run service while preserving code/module boundaries.</w:t>
      </w:r>
    </w:p>
    <w:p>
      <w:pPr>
        <w:jc w:val="center"/>
      </w:pPr>
      <w:r>
        <w:drawing>
          <wp:inline xmlns:a="http://schemas.openxmlformats.org/drawingml/2006/main" xmlns:pic="http://schemas.openxmlformats.org/drawingml/2006/picture">
            <wp:extent cx="6126480" cy="4339059"/>
            <wp:docPr id="9" name="Picture 9"/>
            <wp:cNvGraphicFramePr>
              <a:graphicFrameLocks noChangeAspect="1"/>
            </wp:cNvGraphicFramePr>
            <a:graphic>
              <a:graphicData uri="http://schemas.openxmlformats.org/drawingml/2006/picture">
                <pic:pic>
                  <pic:nvPicPr>
                    <pic:cNvPr id="0" name="01_system_context.png"/>
                    <pic:cNvPicPr/>
                  </pic:nvPicPr>
                  <pic:blipFill>
                    <a:blip r:embed="rId12"/>
                    <a:stretch>
                      <a:fillRect/>
                    </a:stretch>
                  </pic:blipFill>
                  <pic:spPr>
                    <a:xfrm>
                      <a:off x="0" y="0"/>
                      <a:ext cx="6126480" cy="4339059"/>
                    </a:xfrm>
                    <a:prstGeom prst="rect"/>
                  </pic:spPr>
                </pic:pic>
              </a:graphicData>
            </a:graphic>
          </wp:inline>
        </w:drawing>
      </w:r>
    </w:p>
    <w:p>
      <w:pPr>
        <w:pStyle w:val="Caption"/>
        <w:jc w:val="center"/>
      </w:pPr>
      <w:r>
        <w:t>A1 - System Context</w:t>
      </w:r>
    </w:p>
    <w:p>
      <w:pPr>
        <w:jc w:val="center"/>
      </w:pPr>
      <w:r>
        <w:drawing>
          <wp:inline xmlns:a="http://schemas.openxmlformats.org/drawingml/2006/main" xmlns:pic="http://schemas.openxmlformats.org/drawingml/2006/picture">
            <wp:extent cx="6126480" cy="3173462"/>
            <wp:docPr id="10" name="Picture 10"/>
            <wp:cNvGraphicFramePr>
              <a:graphicFrameLocks noChangeAspect="1"/>
            </wp:cNvGraphicFramePr>
            <a:graphic>
              <a:graphicData uri="http://schemas.openxmlformats.org/drawingml/2006/picture">
                <pic:pic>
                  <pic:nvPicPr>
                    <pic:cNvPr id="0" name="02_logical_architecture.png"/>
                    <pic:cNvPicPr/>
                  </pic:nvPicPr>
                  <pic:blipFill>
                    <a:blip r:embed="rId13"/>
                    <a:stretch>
                      <a:fillRect/>
                    </a:stretch>
                  </pic:blipFill>
                  <pic:spPr>
                    <a:xfrm>
                      <a:off x="0" y="0"/>
                      <a:ext cx="6126480" cy="3173462"/>
                    </a:xfrm>
                    <a:prstGeom prst="rect"/>
                  </pic:spPr>
                </pic:pic>
              </a:graphicData>
            </a:graphic>
          </wp:inline>
        </w:drawing>
      </w:r>
    </w:p>
    <w:p>
      <w:pPr>
        <w:pStyle w:val="Caption"/>
        <w:jc w:val="center"/>
      </w:pPr>
      <w:r>
        <w:t>A2 - Logical Architecture</w:t>
      </w:r>
    </w:p>
    <w:p>
      <w:pPr>
        <w:jc w:val="center"/>
      </w:pPr>
      <w:r>
        <w:drawing>
          <wp:inline xmlns:a="http://schemas.openxmlformats.org/drawingml/2006/main" xmlns:pic="http://schemas.openxmlformats.org/drawingml/2006/picture">
            <wp:extent cx="6126480" cy="815734"/>
            <wp:docPr id="11" name="Picture 11"/>
            <wp:cNvGraphicFramePr>
              <a:graphicFrameLocks noChangeAspect="1"/>
            </wp:cNvGraphicFramePr>
            <a:graphic>
              <a:graphicData uri="http://schemas.openxmlformats.org/drawingml/2006/picture">
                <pic:pic>
                  <pic:nvPicPr>
                    <pic:cNvPr id="0" name="03_data_architecture.png"/>
                    <pic:cNvPicPr/>
                  </pic:nvPicPr>
                  <pic:blipFill>
                    <a:blip r:embed="rId14"/>
                    <a:stretch>
                      <a:fillRect/>
                    </a:stretch>
                  </pic:blipFill>
                  <pic:spPr>
                    <a:xfrm>
                      <a:off x="0" y="0"/>
                      <a:ext cx="6126480" cy="815734"/>
                    </a:xfrm>
                    <a:prstGeom prst="rect"/>
                  </pic:spPr>
                </pic:pic>
              </a:graphicData>
            </a:graphic>
          </wp:inline>
        </w:drawing>
      </w:r>
    </w:p>
    <w:p>
      <w:pPr>
        <w:pStyle w:val="Caption"/>
        <w:jc w:val="center"/>
      </w:pPr>
      <w:r>
        <w:t>A3 - Data Architecture</w:t>
      </w:r>
    </w:p>
    <w:p>
      <w:pPr>
        <w:jc w:val="center"/>
      </w:pPr>
      <w:r>
        <w:drawing>
          <wp:inline xmlns:a="http://schemas.openxmlformats.org/drawingml/2006/main" xmlns:pic="http://schemas.openxmlformats.org/drawingml/2006/picture">
            <wp:extent cx="6126480" cy="2591128"/>
            <wp:docPr id="12" name="Picture 12"/>
            <wp:cNvGraphicFramePr>
              <a:graphicFrameLocks noChangeAspect="1"/>
            </wp:cNvGraphicFramePr>
            <a:graphic>
              <a:graphicData uri="http://schemas.openxmlformats.org/drawingml/2006/picture">
                <pic:pic>
                  <pic:nvPicPr>
                    <pic:cNvPr id="0" name="04_product_scan_sequence.png"/>
                    <pic:cNvPicPr/>
                  </pic:nvPicPr>
                  <pic:blipFill>
                    <a:blip r:embed="rId15"/>
                    <a:stretch>
                      <a:fillRect/>
                    </a:stretch>
                  </pic:blipFill>
                  <pic:spPr>
                    <a:xfrm>
                      <a:off x="0" y="0"/>
                      <a:ext cx="6126480" cy="2591128"/>
                    </a:xfrm>
                    <a:prstGeom prst="rect"/>
                  </pic:spPr>
                </pic:pic>
              </a:graphicData>
            </a:graphic>
          </wp:inline>
        </w:drawing>
      </w:r>
    </w:p>
    <w:p>
      <w:pPr>
        <w:pStyle w:val="Caption"/>
        <w:jc w:val="center"/>
      </w:pPr>
      <w:r>
        <w:t>A4 - Product Scan Sequence</w:t>
      </w:r>
    </w:p>
    <w:p>
      <w:pPr>
        <w:jc w:val="center"/>
      </w:pPr>
      <w:r>
        <w:drawing>
          <wp:inline xmlns:a="http://schemas.openxmlformats.org/drawingml/2006/main" xmlns:pic="http://schemas.openxmlformats.org/drawingml/2006/picture">
            <wp:extent cx="6126480" cy="895710"/>
            <wp:docPr id="13" name="Picture 13"/>
            <wp:cNvGraphicFramePr>
              <a:graphicFrameLocks noChangeAspect="1"/>
            </wp:cNvGraphicFramePr>
            <a:graphic>
              <a:graphicData uri="http://schemas.openxmlformats.org/drawingml/2006/picture">
                <pic:pic>
                  <pic:nvPicPr>
                    <pic:cNvPr id="0" name="05_trusted_green_event.png"/>
                    <pic:cNvPicPr/>
                  </pic:nvPicPr>
                  <pic:blipFill>
                    <a:blip r:embed="rId16"/>
                    <a:stretch>
                      <a:fillRect/>
                    </a:stretch>
                  </pic:blipFill>
                  <pic:spPr>
                    <a:xfrm>
                      <a:off x="0" y="0"/>
                      <a:ext cx="6126480" cy="895710"/>
                    </a:xfrm>
                    <a:prstGeom prst="rect"/>
                  </pic:spPr>
                </pic:pic>
              </a:graphicData>
            </a:graphic>
          </wp:inline>
        </w:drawing>
      </w:r>
    </w:p>
    <w:p>
      <w:pPr>
        <w:pStyle w:val="Caption"/>
        <w:jc w:val="center"/>
      </w:pPr>
      <w:r>
        <w:t>A5 - Trusted Green Event Flow</w:t>
      </w:r>
    </w:p>
    <w:p>
      <w:pPr>
        <w:jc w:val="center"/>
      </w:pPr>
      <w:r>
        <w:drawing>
          <wp:inline xmlns:a="http://schemas.openxmlformats.org/drawingml/2006/main" xmlns:pic="http://schemas.openxmlformats.org/drawingml/2006/picture">
            <wp:extent cx="6126480" cy="4247613"/>
            <wp:docPr id="14" name="Picture 14"/>
            <wp:cNvGraphicFramePr>
              <a:graphicFrameLocks noChangeAspect="1"/>
            </wp:cNvGraphicFramePr>
            <a:graphic>
              <a:graphicData uri="http://schemas.openxmlformats.org/drawingml/2006/picture">
                <pic:pic>
                  <pic:nvPicPr>
                    <pic:cNvPr id="0" name="deployment_google_only.png"/>
                    <pic:cNvPicPr/>
                  </pic:nvPicPr>
                  <pic:blipFill>
                    <a:blip r:embed="rId17"/>
                    <a:stretch>
                      <a:fillRect/>
                    </a:stretch>
                  </pic:blipFill>
                  <pic:spPr>
                    <a:xfrm>
                      <a:off x="0" y="0"/>
                      <a:ext cx="6126480" cy="4247613"/>
                    </a:xfrm>
                    <a:prstGeom prst="rect"/>
                  </pic:spPr>
                </pic:pic>
              </a:graphicData>
            </a:graphic>
          </wp:inline>
        </w:drawing>
      </w:r>
    </w:p>
    <w:p>
      <w:pPr>
        <w:jc w:val="center"/>
      </w:pPr>
      <w:r>
        <w:drawing>
          <wp:inline xmlns:a="http://schemas.openxmlformats.org/drawingml/2006/main" xmlns:pic="http://schemas.openxmlformats.org/drawingml/2006/picture">
            <wp:extent cx="5989320" cy="1809810"/>
            <wp:docPr id="16" name="Picture 16"/>
            <wp:cNvGraphicFramePr>
              <a:graphicFrameLocks noChangeAspect="1"/>
            </wp:cNvGraphicFramePr>
            <a:graphic>
              <a:graphicData uri="http://schemas.openxmlformats.org/drawingml/2006/picture">
                <pic:pic>
                  <pic:nvPicPr>
                    <pic:cNvPr id="0" name="reward_architecture.png"/>
                    <pic:cNvPicPr/>
                  </pic:nvPicPr>
                  <pic:blipFill>
                    <a:blip r:embed="rId19"/>
                    <a:stretch>
                      <a:fillRect/>
                    </a:stretch>
                  </pic:blipFill>
                  <pic:spPr>
                    <a:xfrm>
                      <a:off x="0" y="0"/>
                      <a:ext cx="5989320" cy="1809810"/>
                    </a:xfrm>
                    <a:prstGeom prst="rect"/>
                  </pic:spPr>
                </pic:pic>
              </a:graphicData>
            </a:graphic>
          </wp:inline>
        </w:drawing>
      </w:r>
    </w:p>
    <w:p>
      <w:pPr>
        <w:pStyle w:val="Caption"/>
      </w:pPr>
      <w:r>
        <w:t>A6 - Four-Segment Reward Architecture</w:t>
      </w:r>
    </w:p>
    <w:p>
      <w:pPr>
        <w:pStyle w:val="Caption"/>
        <w:jc w:val="center"/>
      </w:pPr>
      <w:r>
        <w:t>A7 - Google-First Deployment Model</w:t>
      </w:r>
    </w:p>
    <w:p>
      <w:pPr>
        <w:pStyle w:val="Heading1"/>
        <w:keepNext/>
      </w:pPr>
      <w:r>
        <w:t>Appendix B. Google Product Reference Map</w:t>
      </w:r>
    </w:p>
    <w:p>
      <w:r>
        <w:t>Official Google documentation references used to validate the recommended stack as of 9 October 2026:</w:t>
      </w:r>
    </w:p>
    <w:tbl>
      <w:tblPr>
        <w:tblStyle w:val="TableGrid"/>
        <w:tblW w:type="auto" w:w="0"/>
        <w:jc w:val="center"/>
        <w:tblLook w:firstColumn="1" w:firstRow="1" w:lastColumn="0" w:lastRow="0" w:noHBand="0" w:noVBand="1" w:val="04A0"/>
      </w:tblPr>
      <w:tblGrid>
        <w:gridCol w:w="5040"/>
        <w:gridCol w:w="5040"/>
      </w:tblGrid>
      <w:tr>
        <w:tc>
          <w:tcPr>
            <w:tcW w:type="dxa" w:w="3672"/>
            <w:vAlign w:val="center"/>
            <w:shd w:fill="1B5E20"/>
          </w:tcPr>
          <w:p>
            <w:pPr>
              <w:jc w:val="center"/>
            </w:pPr>
            <w:r/>
            <w:r>
              <w:rPr>
                <w:rFonts w:ascii="Aptos" w:hAnsi="Aptos"/>
                <w:b/>
                <w:color w:val="FFFFFF"/>
                <w:sz w:val="16"/>
              </w:rPr>
              <w:t>Product</w:t>
            </w:r>
          </w:p>
        </w:tc>
        <w:tc>
          <w:tcPr>
            <w:tcW w:type="dxa" w:w="6552"/>
            <w:vAlign w:val="center"/>
            <w:shd w:fill="1B5E20"/>
          </w:tcPr>
          <w:p>
            <w:pPr>
              <w:jc w:val="center"/>
            </w:pPr>
            <w:r/>
            <w:r>
              <w:rPr>
                <w:rFonts w:ascii="Aptos" w:hAnsi="Aptos"/>
                <w:b/>
                <w:color w:val="FFFFFF"/>
                <w:sz w:val="16"/>
              </w:rPr>
              <w:t>Official documentation</w:t>
            </w:r>
          </w:p>
        </w:tc>
      </w:tr>
      <w:tr>
        <w:tc>
          <w:tcPr>
            <w:tcW w:type="dxa" w:w="3672"/>
            <w:vAlign w:val="center"/>
          </w:tcPr>
          <w:p>
            <w:r/>
            <w:r>
              <w:rPr>
                <w:rFonts w:ascii="Aptos" w:hAnsi="Aptos"/>
                <w:b w:val="0"/>
                <w:sz w:val="16"/>
              </w:rPr>
              <w:t>Cloud Run</w:t>
            </w:r>
          </w:p>
        </w:tc>
        <w:tc>
          <w:tcPr>
            <w:tcW w:type="dxa" w:w="6552"/>
            <w:vAlign w:val="center"/>
          </w:tcPr>
          <w:p>
            <w:r/>
            <w:r>
              <w:rPr>
                <w:rFonts w:ascii="Aptos" w:hAnsi="Aptos"/>
                <w:b w:val="0"/>
                <w:sz w:val="16"/>
              </w:rPr>
              <w:t>https://cloud.google.com/run/docs</w:t>
            </w:r>
          </w:p>
        </w:tc>
      </w:tr>
      <w:tr>
        <w:tc>
          <w:tcPr>
            <w:tcW w:type="dxa" w:w="3672"/>
            <w:vAlign w:val="center"/>
            <w:shd w:fill="F7F9F9"/>
          </w:tcPr>
          <w:p>
            <w:r/>
            <w:r>
              <w:rPr>
                <w:rFonts w:ascii="Aptos" w:hAnsi="Aptos"/>
                <w:b w:val="0"/>
                <w:sz w:val="16"/>
              </w:rPr>
              <w:t>Vertex AI Generative AI / Gemini</w:t>
            </w:r>
          </w:p>
        </w:tc>
        <w:tc>
          <w:tcPr>
            <w:tcW w:type="dxa" w:w="6552"/>
            <w:vAlign w:val="center"/>
            <w:shd w:fill="F7F9F9"/>
          </w:tcPr>
          <w:p>
            <w:r/>
            <w:r>
              <w:rPr>
                <w:rFonts w:ascii="Aptos" w:hAnsi="Aptos"/>
                <w:b w:val="0"/>
                <w:sz w:val="16"/>
              </w:rPr>
              <w:t>https://cloud.google.com/vertex-ai/generative-ai/docs</w:t>
            </w:r>
          </w:p>
        </w:tc>
      </w:tr>
      <w:tr>
        <w:tc>
          <w:tcPr>
            <w:tcW w:type="dxa" w:w="3672"/>
            <w:vAlign w:val="center"/>
          </w:tcPr>
          <w:p>
            <w:r/>
            <w:r>
              <w:rPr>
                <w:rFonts w:ascii="Aptos" w:hAnsi="Aptos"/>
                <w:b w:val="0"/>
                <w:sz w:val="16"/>
              </w:rPr>
              <w:t>Grounding with Google Search</w:t>
            </w:r>
          </w:p>
        </w:tc>
        <w:tc>
          <w:tcPr>
            <w:tcW w:type="dxa" w:w="6552"/>
            <w:vAlign w:val="center"/>
          </w:tcPr>
          <w:p>
            <w:r/>
            <w:r>
              <w:rPr>
                <w:rFonts w:ascii="Aptos" w:hAnsi="Aptos"/>
                <w:b w:val="0"/>
                <w:sz w:val="16"/>
              </w:rPr>
              <w:t>https://cloud.google.com/vertex-ai/generative-ai/docs/multimodal/ground-with-google-search</w:t>
            </w:r>
          </w:p>
        </w:tc>
      </w:tr>
      <w:tr>
        <w:tc>
          <w:tcPr>
            <w:tcW w:type="dxa" w:w="3672"/>
            <w:vAlign w:val="center"/>
            <w:shd w:fill="F7F9F9"/>
          </w:tcPr>
          <w:p>
            <w:r/>
            <w:r>
              <w:rPr>
                <w:rFonts w:ascii="Aptos" w:hAnsi="Aptos"/>
                <w:b w:val="0"/>
                <w:sz w:val="16"/>
              </w:rPr>
              <w:t>Firebase Authentication</w:t>
            </w:r>
          </w:p>
        </w:tc>
        <w:tc>
          <w:tcPr>
            <w:tcW w:type="dxa" w:w="6552"/>
            <w:vAlign w:val="center"/>
            <w:shd w:fill="F7F9F9"/>
          </w:tcPr>
          <w:p>
            <w:r/>
            <w:r>
              <w:rPr>
                <w:rFonts w:ascii="Aptos" w:hAnsi="Aptos"/>
                <w:b w:val="0"/>
                <w:sz w:val="16"/>
              </w:rPr>
              <w:t>https://firebase.google.com/docs/auth</w:t>
            </w:r>
          </w:p>
        </w:tc>
      </w:tr>
      <w:tr>
        <w:tc>
          <w:tcPr>
            <w:tcW w:type="dxa" w:w="3672"/>
            <w:vAlign w:val="center"/>
          </w:tcPr>
          <w:p>
            <w:r/>
            <w:r>
              <w:rPr>
                <w:rFonts w:ascii="Aptos" w:hAnsi="Aptos"/>
                <w:b w:val="0"/>
                <w:sz w:val="16"/>
              </w:rPr>
              <w:t>Firebase App Check</w:t>
            </w:r>
          </w:p>
        </w:tc>
        <w:tc>
          <w:tcPr>
            <w:tcW w:type="dxa" w:w="6552"/>
            <w:vAlign w:val="center"/>
          </w:tcPr>
          <w:p>
            <w:r/>
            <w:r>
              <w:rPr>
                <w:rFonts w:ascii="Aptos" w:hAnsi="Aptos"/>
                <w:b w:val="0"/>
                <w:sz w:val="16"/>
              </w:rPr>
              <w:t>https://firebase.google.com/docs/app-check</w:t>
            </w:r>
          </w:p>
        </w:tc>
      </w:tr>
      <w:tr>
        <w:tc>
          <w:tcPr>
            <w:tcW w:type="dxa" w:w="3672"/>
            <w:vAlign w:val="center"/>
            <w:shd w:fill="F7F9F9"/>
          </w:tcPr>
          <w:p>
            <w:r/>
            <w:r>
              <w:rPr>
                <w:rFonts w:ascii="Aptos" w:hAnsi="Aptos"/>
                <w:b w:val="0"/>
                <w:sz w:val="16"/>
              </w:rPr>
              <w:t>Firebase for Flutter</w:t>
            </w:r>
          </w:p>
        </w:tc>
        <w:tc>
          <w:tcPr>
            <w:tcW w:type="dxa" w:w="6552"/>
            <w:vAlign w:val="center"/>
            <w:shd w:fill="F7F9F9"/>
          </w:tcPr>
          <w:p>
            <w:r/>
            <w:r>
              <w:rPr>
                <w:rFonts w:ascii="Aptos" w:hAnsi="Aptos"/>
                <w:b w:val="0"/>
                <w:sz w:val="16"/>
              </w:rPr>
              <w:t>https://firebase.google.com/docs/flutter/</w:t>
            </w:r>
          </w:p>
        </w:tc>
      </w:tr>
      <w:tr>
        <w:tc>
          <w:tcPr>
            <w:tcW w:type="dxa" w:w="3672"/>
            <w:vAlign w:val="center"/>
          </w:tcPr>
          <w:p>
            <w:r/>
            <w:r>
              <w:rPr>
                <w:rFonts w:ascii="Aptos" w:hAnsi="Aptos"/>
                <w:b w:val="0"/>
                <w:sz w:val="16"/>
              </w:rPr>
              <w:t>Firebase Hosting / Flutter</w:t>
            </w:r>
          </w:p>
        </w:tc>
        <w:tc>
          <w:tcPr>
            <w:tcW w:type="dxa" w:w="6552"/>
            <w:vAlign w:val="center"/>
          </w:tcPr>
          <w:p>
            <w:r/>
            <w:r>
              <w:rPr>
                <w:rFonts w:ascii="Aptos" w:hAnsi="Aptos"/>
                <w:b w:val="0"/>
                <w:sz w:val="16"/>
              </w:rPr>
              <w:t>https://firebase.google.com/docs/hosting/frameworks/flutter</w:t>
            </w:r>
          </w:p>
        </w:tc>
      </w:tr>
      <w:tr>
        <w:tc>
          <w:tcPr>
            <w:tcW w:type="dxa" w:w="3672"/>
            <w:vAlign w:val="center"/>
            <w:shd w:fill="F7F9F9"/>
          </w:tcPr>
          <w:p>
            <w:r/>
            <w:r>
              <w:rPr>
                <w:rFonts w:ascii="Aptos" w:hAnsi="Aptos"/>
                <w:b w:val="0"/>
                <w:sz w:val="16"/>
              </w:rPr>
              <w:t>BigQuery</w:t>
            </w:r>
          </w:p>
        </w:tc>
        <w:tc>
          <w:tcPr>
            <w:tcW w:type="dxa" w:w="6552"/>
            <w:vAlign w:val="center"/>
            <w:shd w:fill="F7F9F9"/>
          </w:tcPr>
          <w:p>
            <w:r/>
            <w:r>
              <w:rPr>
                <w:rFonts w:ascii="Aptos" w:hAnsi="Aptos"/>
                <w:b w:val="0"/>
                <w:sz w:val="16"/>
              </w:rPr>
              <w:t>https://cloud.google.com/bigquery/docs</w:t>
            </w:r>
          </w:p>
        </w:tc>
      </w:tr>
      <w:tr>
        <w:tc>
          <w:tcPr>
            <w:tcW w:type="dxa" w:w="3672"/>
            <w:vAlign w:val="center"/>
          </w:tcPr>
          <w:p>
            <w:r/>
            <w:r>
              <w:rPr>
                <w:rFonts w:ascii="Aptos" w:hAnsi="Aptos"/>
                <w:b w:val="0"/>
                <w:sz w:val="16"/>
              </w:rPr>
              <w:t>Cloud Vision API</w:t>
            </w:r>
          </w:p>
        </w:tc>
        <w:tc>
          <w:tcPr>
            <w:tcW w:type="dxa" w:w="6552"/>
            <w:vAlign w:val="center"/>
          </w:tcPr>
          <w:p>
            <w:r/>
            <w:r>
              <w:rPr>
                <w:rFonts w:ascii="Aptos" w:hAnsi="Aptos"/>
                <w:b w:val="0"/>
                <w:sz w:val="16"/>
              </w:rPr>
              <w:t>https://cloud.google.com/vision/docs</w:t>
            </w:r>
          </w:p>
        </w:tc>
      </w:tr>
      <w:tr>
        <w:tc>
          <w:tcPr>
            <w:tcW w:type="dxa" w:w="3672"/>
            <w:vAlign w:val="center"/>
            <w:shd w:fill="F7F9F9"/>
          </w:tcPr>
          <w:p>
            <w:r/>
            <w:r>
              <w:rPr>
                <w:rFonts w:ascii="Aptos" w:hAnsi="Aptos"/>
                <w:b w:val="0"/>
                <w:sz w:val="16"/>
              </w:rPr>
              <w:t>Document AI</w:t>
            </w:r>
          </w:p>
        </w:tc>
        <w:tc>
          <w:tcPr>
            <w:tcW w:type="dxa" w:w="6552"/>
            <w:vAlign w:val="center"/>
            <w:shd w:fill="F7F9F9"/>
          </w:tcPr>
          <w:p>
            <w:r/>
            <w:r>
              <w:rPr>
                <w:rFonts w:ascii="Aptos" w:hAnsi="Aptos"/>
                <w:b w:val="0"/>
                <w:sz w:val="16"/>
              </w:rPr>
              <w:t>https://cloud.google.com/document-ai/docs</w:t>
            </w:r>
          </w:p>
        </w:tc>
      </w:tr>
      <w:tr>
        <w:tc>
          <w:tcPr>
            <w:tcW w:type="dxa" w:w="3672"/>
            <w:vAlign w:val="center"/>
          </w:tcPr>
          <w:p>
            <w:r/>
            <w:r>
              <w:rPr>
                <w:rFonts w:ascii="Aptos" w:hAnsi="Aptos"/>
                <w:b w:val="0"/>
                <w:sz w:val="16"/>
              </w:rPr>
              <w:t>Pub/Sub</w:t>
            </w:r>
          </w:p>
        </w:tc>
        <w:tc>
          <w:tcPr>
            <w:tcW w:type="dxa" w:w="6552"/>
            <w:vAlign w:val="center"/>
          </w:tcPr>
          <w:p>
            <w:r/>
            <w:r>
              <w:rPr>
                <w:rFonts w:ascii="Aptos" w:hAnsi="Aptos"/>
                <w:b w:val="0"/>
                <w:sz w:val="16"/>
              </w:rPr>
              <w:t>https://cloud.google.com/pubsub/docs</w:t>
            </w:r>
          </w:p>
        </w:tc>
      </w:tr>
      <w:tr>
        <w:tc>
          <w:tcPr>
            <w:tcW w:type="dxa" w:w="3672"/>
            <w:vAlign w:val="center"/>
            <w:shd w:fill="F7F9F9"/>
          </w:tcPr>
          <w:p>
            <w:r/>
            <w:r>
              <w:rPr>
                <w:rFonts w:ascii="Aptos" w:hAnsi="Aptos"/>
                <w:b w:val="0"/>
                <w:sz w:val="16"/>
              </w:rPr>
              <w:t>Artifact Registry</w:t>
            </w:r>
          </w:p>
        </w:tc>
        <w:tc>
          <w:tcPr>
            <w:tcW w:type="dxa" w:w="6552"/>
            <w:vAlign w:val="center"/>
            <w:shd w:fill="F7F9F9"/>
          </w:tcPr>
          <w:p>
            <w:r/>
            <w:r>
              <w:rPr>
                <w:rFonts w:ascii="Aptos" w:hAnsi="Aptos"/>
                <w:b w:val="0"/>
                <w:sz w:val="16"/>
              </w:rPr>
              <w:t>https://cloud.google.com/artifact-registry/docs</w:t>
            </w:r>
          </w:p>
        </w:tc>
      </w:tr>
      <w:tr>
        <w:tc>
          <w:tcPr>
            <w:tcW w:type="dxa" w:w="3672"/>
            <w:vAlign w:val="center"/>
          </w:tcPr>
          <w:p>
            <w:r/>
            <w:r>
              <w:rPr>
                <w:rFonts w:ascii="Aptos" w:hAnsi="Aptos"/>
                <w:b w:val="0"/>
                <w:sz w:val="16"/>
              </w:rPr>
              <w:t>Cloud Build</w:t>
            </w:r>
          </w:p>
        </w:tc>
        <w:tc>
          <w:tcPr>
            <w:tcW w:type="dxa" w:w="6552"/>
            <w:vAlign w:val="center"/>
          </w:tcPr>
          <w:p>
            <w:r/>
            <w:r>
              <w:rPr>
                <w:rFonts w:ascii="Aptos" w:hAnsi="Aptos"/>
                <w:b w:val="0"/>
                <w:sz w:val="16"/>
              </w:rPr>
              <w:t>https://cloud.google.com/build/docs</w:t>
            </w:r>
          </w:p>
        </w:tc>
      </w:tr>
      <w:tr>
        <w:tc>
          <w:tcPr>
            <w:tcW w:type="dxa" w:w="3672"/>
            <w:vAlign w:val="center"/>
            <w:shd w:fill="F7F9F9"/>
          </w:tcPr>
          <w:p>
            <w:r/>
            <w:r>
              <w:rPr>
                <w:rFonts w:ascii="Aptos" w:hAnsi="Aptos"/>
                <w:b w:val="0"/>
                <w:sz w:val="16"/>
              </w:rPr>
              <w:t>Cloud Logging</w:t>
            </w:r>
          </w:p>
        </w:tc>
        <w:tc>
          <w:tcPr>
            <w:tcW w:type="dxa" w:w="6552"/>
            <w:vAlign w:val="center"/>
            <w:shd w:fill="F7F9F9"/>
          </w:tcPr>
          <w:p>
            <w:r/>
            <w:r>
              <w:rPr>
                <w:rFonts w:ascii="Aptos" w:hAnsi="Aptos"/>
                <w:b w:val="0"/>
                <w:sz w:val="16"/>
              </w:rPr>
              <w:t>https://cloud.google.com/logging/docs</w:t>
            </w:r>
          </w:p>
        </w:tc>
      </w:tr>
      <w:tr>
        <w:tc>
          <w:tcPr>
            <w:tcW w:type="dxa" w:w="3672"/>
            <w:vAlign w:val="center"/>
          </w:tcPr>
          <w:p>
            <w:r/>
            <w:r>
              <w:rPr>
                <w:rFonts w:ascii="Aptos" w:hAnsi="Aptos"/>
                <w:b w:val="0"/>
                <w:sz w:val="16"/>
              </w:rPr>
              <w:t>Cloud Monitoring</w:t>
            </w:r>
          </w:p>
        </w:tc>
        <w:tc>
          <w:tcPr>
            <w:tcW w:type="dxa" w:w="6552"/>
            <w:vAlign w:val="center"/>
          </w:tcPr>
          <w:p>
            <w:r/>
            <w:r>
              <w:rPr>
                <w:rFonts w:ascii="Aptos" w:hAnsi="Aptos"/>
                <w:b w:val="0"/>
                <w:sz w:val="16"/>
              </w:rPr>
              <w:t>https://cloud.google.com/monitoring/docs</w:t>
            </w:r>
          </w:p>
        </w:tc>
      </w:tr>
      <w:tr>
        <w:tc>
          <w:tcPr>
            <w:tcW w:type="dxa" w:w="3672"/>
            <w:vAlign w:val="center"/>
            <w:shd w:fill="F7F9F9"/>
          </w:tcPr>
          <w:p>
            <w:r/>
            <w:r>
              <w:rPr>
                <w:rFonts w:ascii="Aptos" w:hAnsi="Aptos"/>
                <w:b w:val="0"/>
                <w:sz w:val="16"/>
              </w:rPr>
              <w:t>Health Connect</w:t>
            </w:r>
          </w:p>
        </w:tc>
        <w:tc>
          <w:tcPr>
            <w:tcW w:type="dxa" w:w="6552"/>
            <w:vAlign w:val="center"/>
            <w:shd w:fill="F7F9F9"/>
          </w:tcPr>
          <w:p>
            <w:r/>
            <w:r>
              <w:rPr>
                <w:rFonts w:ascii="Aptos" w:hAnsi="Aptos"/>
                <w:b w:val="0"/>
                <w:sz w:val="16"/>
              </w:rPr>
              <w:t>https://developer.android.com/health-and-fitness</w:t>
            </w:r>
          </w:p>
        </w:tc>
      </w:tr>
      <w:tr>
        <w:tc>
          <w:tcPr>
            <w:tcW w:type="dxa" w:w="3672"/>
            <w:vAlign w:val="center"/>
          </w:tcPr>
          <w:p>
            <w:r/>
            <w:r>
              <w:rPr>
                <w:rFonts w:ascii="Aptos" w:hAnsi="Aptos"/>
                <w:b w:val="0"/>
                <w:sz w:val="16"/>
              </w:rPr>
              <w:t>Google Maps Routes eco-friendly routes</w:t>
            </w:r>
          </w:p>
        </w:tc>
        <w:tc>
          <w:tcPr>
            <w:tcW w:type="dxa" w:w="6552"/>
            <w:vAlign w:val="center"/>
          </w:tcPr>
          <w:p>
            <w:r/>
            <w:r>
              <w:rPr>
                <w:rFonts w:ascii="Aptos" w:hAnsi="Aptos"/>
                <w:b w:val="0"/>
                <w:sz w:val="16"/>
              </w:rPr>
              <w:t>https://developers.google.com/maps/documentation/routes/eco-routes</w:t>
            </w:r>
          </w:p>
        </w:tc>
      </w:tr>
      <w:tr>
        <w:tc>
          <w:tcPr>
            <w:tcW w:type="dxa" w:w="5040"/>
            <w:vAlign w:val="center"/>
          </w:tcPr>
          <w:p>
            <w:pPr>
              <w:spacing w:after="0" w:before="0"/>
            </w:pPr>
            <w:r/>
            <w:r>
              <w:rPr>
                <w:b w:val="0"/>
                <w:sz w:val="16"/>
              </w:rPr>
              <w:t>Google Maps Platform APIs</w:t>
            </w:r>
          </w:p>
        </w:tc>
        <w:tc>
          <w:tcPr>
            <w:tcW w:type="dxa" w:w="5040"/>
            <w:vAlign w:val="center"/>
          </w:tcPr>
          <w:p>
            <w:pPr>
              <w:spacing w:after="0" w:before="0"/>
            </w:pPr>
            <w:r/>
            <w:r>
              <w:rPr>
                <w:b w:val="0"/>
                <w:sz w:val="16"/>
              </w:rPr>
              <w:t>https://developers.google.com/maps/documentation</w:t>
            </w:r>
          </w:p>
        </w:tc>
      </w:tr>
      <w:tr>
        <w:tc>
          <w:tcPr>
            <w:tcW w:type="dxa" w:w="5040"/>
            <w:vAlign w:val="center"/>
          </w:tcPr>
          <w:p>
            <w:pPr>
              <w:spacing w:after="0" w:before="0"/>
            </w:pPr>
            <w:r/>
            <w:r>
              <w:rPr>
                <w:b w:val="0"/>
                <w:sz w:val="16"/>
              </w:rPr>
              <w:t>Google Maps Geolocation API</w:t>
            </w:r>
          </w:p>
        </w:tc>
        <w:tc>
          <w:tcPr>
            <w:tcW w:type="dxa" w:w="5040"/>
            <w:vAlign w:val="center"/>
          </w:tcPr>
          <w:p>
            <w:pPr>
              <w:spacing w:after="0" w:before="0"/>
            </w:pPr>
            <w:r/>
            <w:r>
              <w:rPr>
                <w:b w:val="0"/>
                <w:sz w:val="16"/>
              </w:rPr>
              <w:t>https://developers.google.com/maps/documentation/geolocation/requests-geolocation</w:t>
            </w:r>
          </w:p>
        </w:tc>
      </w:tr>
      <w:tr>
        <w:tc>
          <w:tcPr>
            <w:tcW w:type="dxa" w:w="5040"/>
            <w:vAlign w:val="center"/>
          </w:tcPr>
          <w:p>
            <w:pPr>
              <w:spacing w:after="0" w:before="0"/>
            </w:pPr>
            <w:r/>
            <w:r>
              <w:rPr>
                <w:b w:val="0"/>
                <w:sz w:val="16"/>
              </w:rPr>
              <w:t>Google Earth Engine Data Catalog</w:t>
            </w:r>
          </w:p>
        </w:tc>
        <w:tc>
          <w:tcPr>
            <w:tcW w:type="dxa" w:w="5040"/>
            <w:vAlign w:val="center"/>
          </w:tcPr>
          <w:p>
            <w:pPr>
              <w:spacing w:after="0" w:before="0"/>
            </w:pPr>
            <w:r/>
            <w:r>
              <w:rPr>
                <w:b w:val="0"/>
                <w:sz w:val="16"/>
              </w:rPr>
              <w:t>https://developers.google.com/earth-engine/datasets/catalog/</w:t>
            </w:r>
          </w:p>
        </w:tc>
      </w:tr>
      <w:tr>
        <w:tc>
          <w:tcPr>
            <w:tcW w:type="dxa" w:w="5040"/>
            <w:vAlign w:val="center"/>
          </w:tcPr>
          <w:p>
            <w:pPr>
              <w:spacing w:after="0" w:before="0"/>
            </w:pPr>
            <w:r/>
            <w:r>
              <w:rPr>
                <w:b w:val="0"/>
                <w:sz w:val="16"/>
              </w:rPr>
              <w:t>Earth Engine Sentinel-2 collections</w:t>
            </w:r>
          </w:p>
        </w:tc>
        <w:tc>
          <w:tcPr>
            <w:tcW w:type="dxa" w:w="5040"/>
            <w:vAlign w:val="center"/>
          </w:tcPr>
          <w:p>
            <w:pPr>
              <w:spacing w:after="0" w:before="0"/>
            </w:pPr>
            <w:r/>
            <w:r>
              <w:rPr>
                <w:b w:val="0"/>
                <w:sz w:val="16"/>
              </w:rPr>
              <w:t>https://developers.google.com/earth-engine/datasets/catalog/sentinel-2</w:t>
            </w:r>
          </w:p>
        </w:tc>
      </w:tr>
      <w:tr>
        <w:tc>
          <w:tcPr>
            <w:tcW w:type="dxa" w:w="5040"/>
            <w:vAlign w:val="center"/>
          </w:tcPr>
          <w:p>
            <w:pPr>
              <w:spacing w:after="0" w:before="0"/>
            </w:pPr>
            <w:r/>
            <w:r>
              <w:rPr>
                <w:b w:val="0"/>
                <w:sz w:val="16"/>
              </w:rPr>
              <w:t>Document AI processors (Expense / Invoice)</w:t>
            </w:r>
          </w:p>
        </w:tc>
        <w:tc>
          <w:tcPr>
            <w:tcW w:type="dxa" w:w="5040"/>
            <w:vAlign w:val="center"/>
          </w:tcPr>
          <w:p>
            <w:pPr>
              <w:spacing w:after="0" w:before="0"/>
            </w:pPr>
            <w:r/>
            <w:r>
              <w:rPr>
                <w:b w:val="0"/>
                <w:sz w:val="16"/>
              </w:rPr>
              <w:t>https://docs.cloud.google.com/document-ai/docs/processors-list</w:t>
            </w:r>
          </w:p>
        </w:tc>
      </w:tr>
    </w:tbl>
    <w:p>
      <w:pPr>
        <w:spacing w:after="40"/>
      </w:pPr>
    </w:p>
    <w:tbl>
      <w:tblPr>
        <w:tblW w:type="auto" w:w="0"/>
        <w:jc w:val="center"/>
        <w:tblLook w:firstColumn="1" w:firstRow="1" w:lastColumn="0" w:lastRow="0" w:noHBand="0" w:noVBand="1" w:val="04A0"/>
      </w:tblPr>
      <w:tblGrid>
        <w:gridCol w:w="10080"/>
      </w:tblGrid>
      <w:tr>
        <w:tc>
          <w:tcPr>
            <w:tcW w:type="dxa" w:w="10080"/>
            <w:shd w:fill="E8F5E9"/>
          </w:tcPr>
          <w:p>
            <w:r>
              <w:t>Recommended implementation priority from Oct 9 onward</w:t>
              <w:br/>
              <w:t>Keep the existing Cloud Run/Firebase vertical slice stable, then implement the canonical green_event + Reward Policy Engine before building four separate feature-specific reward systems. Complete Go-Green-Product first, then reuse the same contracts for Green-Move, Grow-Green and Recycle-Red. This avoids four incompatible scoring/ledger implementations.</w:t>
            </w:r>
          </w:p>
        </w:tc>
      </w:tr>
    </w:tbl>
    <w:p>
      <w:pPr>
        <w:spacing w:after="40"/>
      </w:pP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46E7A"/>
        <w:sz w:val="15"/>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46E7A"/>
        <w:sz w:val="15"/>
      </w:rPr>
      <w:t>CARBONLENS  |  Google JAPAC Technical Execution Plan + Integrated HLD  |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B5E20"/>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E7D3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6323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B5E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46E7A"/>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