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658" w:rsidRDefault="00876658" w:rsidP="00876658">
      <w:pPr>
        <w:jc w:val="right"/>
      </w:pPr>
      <w:r w:rsidRPr="008A7CE7">
        <w:rPr>
          <w:noProof/>
        </w:rPr>
        <w:drawing>
          <wp:inline distT="0" distB="0" distL="0" distR="0">
            <wp:extent cx="5731510" cy="957118"/>
            <wp:effectExtent l="19050" t="0" r="2540" b="0"/>
            <wp:docPr id="6" name="Picture 6" descr="http://www.vnrvjiet.ac.in/log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vnrvjiet.ac.in/logo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t>Date: 26-04-2019</w:t>
      </w:r>
    </w:p>
    <w:p w:rsidR="00876658" w:rsidRPr="00D10CDB" w:rsidRDefault="00876658" w:rsidP="00876658">
      <w:pPr>
        <w:spacing w:after="0"/>
        <w:jc w:val="center"/>
        <w:rPr>
          <w:b/>
          <w:sz w:val="28"/>
          <w:u w:val="single"/>
        </w:rPr>
      </w:pPr>
      <w:r w:rsidRPr="00D10CDB">
        <w:rPr>
          <w:b/>
          <w:sz w:val="28"/>
          <w:u w:val="single"/>
        </w:rPr>
        <w:t>Summary Report on WIT &amp; WIL</w:t>
      </w:r>
    </w:p>
    <w:p w:rsidR="00876658" w:rsidRPr="00D10CDB" w:rsidRDefault="00876658" w:rsidP="00876658">
      <w:pPr>
        <w:spacing w:after="0"/>
        <w:jc w:val="center"/>
        <w:rPr>
          <w:b/>
        </w:rPr>
      </w:pPr>
      <w:r>
        <w:rPr>
          <w:b/>
        </w:rPr>
        <w:t>(</w:t>
      </w:r>
      <w:r w:rsidRPr="00D10CDB">
        <w:rPr>
          <w:b/>
        </w:rPr>
        <w:t>Daily Report</w:t>
      </w:r>
      <w:r>
        <w:rPr>
          <w:b/>
        </w:rPr>
        <w:t>)</w:t>
      </w:r>
    </w:p>
    <w:p w:rsidR="00876658" w:rsidRDefault="00876658" w:rsidP="00876658"/>
    <w:tbl>
      <w:tblPr>
        <w:tblStyle w:val="TableGrid"/>
        <w:tblW w:w="9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18"/>
        <w:gridCol w:w="2617"/>
        <w:gridCol w:w="623"/>
        <w:gridCol w:w="5390"/>
        <w:gridCol w:w="158"/>
      </w:tblGrid>
      <w:tr w:rsidR="00876658" w:rsidTr="00876658">
        <w:trPr>
          <w:gridAfter w:val="1"/>
          <w:wAfter w:w="158" w:type="dxa"/>
        </w:trPr>
        <w:tc>
          <w:tcPr>
            <w:tcW w:w="4158" w:type="dxa"/>
            <w:gridSpan w:val="3"/>
          </w:tcPr>
          <w:p w:rsidR="00876658" w:rsidRPr="0013722C" w:rsidRDefault="00876658" w:rsidP="00876658">
            <w:pPr>
              <w:spacing w:line="360" w:lineRule="auto"/>
              <w:rPr>
                <w:b/>
              </w:rPr>
            </w:pPr>
            <w:r w:rsidRPr="0013722C">
              <w:rPr>
                <w:b/>
              </w:rPr>
              <w:t>Name of the Faculty:</w:t>
            </w:r>
            <w:r>
              <w:rPr>
                <w:b/>
              </w:rPr>
              <w:t xml:space="preserve"> Dr. T. </w:t>
            </w:r>
            <w:proofErr w:type="spellStart"/>
            <w:r>
              <w:rPr>
                <w:b/>
              </w:rPr>
              <w:t>Lakshmi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Viveka</w:t>
            </w:r>
            <w:proofErr w:type="spellEnd"/>
          </w:p>
        </w:tc>
        <w:tc>
          <w:tcPr>
            <w:tcW w:w="5390" w:type="dxa"/>
          </w:tcPr>
          <w:p w:rsidR="00876658" w:rsidRPr="0013722C" w:rsidRDefault="00876658" w:rsidP="00876658">
            <w:pPr>
              <w:spacing w:line="360" w:lineRule="auto"/>
              <w:jc w:val="center"/>
              <w:rPr>
                <w:b/>
              </w:rPr>
            </w:pPr>
            <w:r w:rsidRPr="0013722C">
              <w:rPr>
                <w:b/>
              </w:rPr>
              <w:t>Name of Subject:</w:t>
            </w:r>
            <w:r>
              <w:rPr>
                <w:b/>
              </w:rPr>
              <w:t xml:space="preserve"> Engineering Chemistry</w:t>
            </w:r>
          </w:p>
        </w:tc>
      </w:tr>
      <w:tr w:rsidR="00876658" w:rsidTr="00107729">
        <w:trPr>
          <w:gridAfter w:val="1"/>
          <w:wAfter w:w="158" w:type="dxa"/>
        </w:trPr>
        <w:tc>
          <w:tcPr>
            <w:tcW w:w="9548" w:type="dxa"/>
            <w:gridSpan w:val="4"/>
          </w:tcPr>
          <w:p w:rsidR="00876658" w:rsidRPr="0013722C" w:rsidRDefault="00876658" w:rsidP="00876658">
            <w:pPr>
              <w:spacing w:line="360" w:lineRule="auto"/>
              <w:rPr>
                <w:b/>
              </w:rPr>
            </w:pPr>
            <w:r w:rsidRPr="0013722C">
              <w:rPr>
                <w:b/>
              </w:rPr>
              <w:t>Class/Section:</w:t>
            </w:r>
            <w:r>
              <w:rPr>
                <w:b/>
              </w:rPr>
              <w:t xml:space="preserve"> AE</w:t>
            </w:r>
          </w:p>
        </w:tc>
      </w:tr>
      <w:tr w:rsidR="00876658" w:rsidTr="0010772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918" w:type="dxa"/>
          </w:tcPr>
          <w:p w:rsidR="00876658" w:rsidRDefault="00876658" w:rsidP="0087665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jc w:val="center"/>
            </w:pPr>
            <w:r>
              <w:tab/>
            </w:r>
            <w:r>
              <w:tab/>
            </w:r>
          </w:p>
        </w:tc>
        <w:tc>
          <w:tcPr>
            <w:tcW w:w="2617" w:type="dxa"/>
          </w:tcPr>
          <w:p w:rsidR="00876658" w:rsidRDefault="00876658" w:rsidP="00107729">
            <w:pPr>
              <w:spacing w:line="360" w:lineRule="auto"/>
            </w:pPr>
            <w:r>
              <w:t>Grid Reference No.:</w:t>
            </w:r>
          </w:p>
        </w:tc>
        <w:tc>
          <w:tcPr>
            <w:tcW w:w="6171" w:type="dxa"/>
            <w:gridSpan w:val="3"/>
          </w:tcPr>
          <w:p w:rsidR="00876658" w:rsidRDefault="00876658" w:rsidP="00107729">
            <w:pPr>
              <w:spacing w:line="360" w:lineRule="auto"/>
            </w:pPr>
            <w:r>
              <w:t>3.3( REVISION)</w:t>
            </w:r>
          </w:p>
        </w:tc>
      </w:tr>
      <w:tr w:rsidR="00876658" w:rsidTr="0010772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918" w:type="dxa"/>
          </w:tcPr>
          <w:p w:rsidR="00876658" w:rsidRDefault="00876658" w:rsidP="0087665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jc w:val="center"/>
            </w:pPr>
          </w:p>
        </w:tc>
        <w:tc>
          <w:tcPr>
            <w:tcW w:w="2617" w:type="dxa"/>
          </w:tcPr>
          <w:p w:rsidR="00876658" w:rsidRDefault="00876658" w:rsidP="00107729">
            <w:pPr>
              <w:spacing w:line="360" w:lineRule="auto"/>
            </w:pPr>
            <w:r>
              <w:t>Scenario Reference No.</w:t>
            </w:r>
          </w:p>
          <w:p w:rsidR="00876658" w:rsidRDefault="00876658" w:rsidP="00107729">
            <w:pPr>
              <w:spacing w:line="360" w:lineRule="auto"/>
            </w:pPr>
            <w:r>
              <w:t>(Mapping with Syllabus)</w:t>
            </w:r>
          </w:p>
        </w:tc>
        <w:tc>
          <w:tcPr>
            <w:tcW w:w="6171" w:type="dxa"/>
            <w:gridSpan w:val="3"/>
          </w:tcPr>
          <w:p w:rsidR="00876658" w:rsidRDefault="00876658" w:rsidP="00107729">
            <w:pPr>
              <w:spacing w:line="360" w:lineRule="auto"/>
            </w:pPr>
            <w:r w:rsidRPr="00AA2A60">
              <w:rPr>
                <w:noProof/>
              </w:rPr>
              <w:drawing>
                <wp:inline distT="0" distB="0" distL="0" distR="0">
                  <wp:extent cx="3114568" cy="2085654"/>
                  <wp:effectExtent l="19050" t="0" r="0" b="0"/>
                  <wp:docPr id="16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/>
                          <a:srcRect l="23152" t="2682" r="20326" b="1233"/>
                          <a:stretch/>
                        </pic:blipFill>
                        <pic:spPr>
                          <a:xfrm>
                            <a:off x="0" y="0"/>
                            <a:ext cx="3116476" cy="208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658" w:rsidTr="0010772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918" w:type="dxa"/>
          </w:tcPr>
          <w:p w:rsidR="00876658" w:rsidRDefault="00876658" w:rsidP="0087665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jc w:val="center"/>
            </w:pPr>
          </w:p>
        </w:tc>
        <w:tc>
          <w:tcPr>
            <w:tcW w:w="2617" w:type="dxa"/>
          </w:tcPr>
          <w:p w:rsidR="00876658" w:rsidRDefault="00876658" w:rsidP="00107729">
            <w:pPr>
              <w:spacing w:line="360" w:lineRule="auto"/>
            </w:pPr>
            <w:r>
              <w:t>Topic covered in every class</w:t>
            </w:r>
          </w:p>
        </w:tc>
        <w:tc>
          <w:tcPr>
            <w:tcW w:w="6171" w:type="dxa"/>
            <w:gridSpan w:val="3"/>
          </w:tcPr>
          <w:p w:rsidR="00876658" w:rsidRPr="00F6545E" w:rsidRDefault="00876658" w:rsidP="0010772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Batteries and fuel cells</w:t>
            </w:r>
          </w:p>
        </w:tc>
      </w:tr>
      <w:tr w:rsidR="00876658" w:rsidTr="0010772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918" w:type="dxa"/>
          </w:tcPr>
          <w:p w:rsidR="00876658" w:rsidRDefault="00876658" w:rsidP="0087665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jc w:val="center"/>
            </w:pPr>
          </w:p>
        </w:tc>
        <w:tc>
          <w:tcPr>
            <w:tcW w:w="2617" w:type="dxa"/>
          </w:tcPr>
          <w:p w:rsidR="00876658" w:rsidRDefault="00876658" w:rsidP="00107729">
            <w:pPr>
              <w:spacing w:line="360" w:lineRule="auto"/>
            </w:pPr>
            <w:r>
              <w:t>Brief write-up (500 words) for every class:</w:t>
            </w:r>
          </w:p>
        </w:tc>
        <w:tc>
          <w:tcPr>
            <w:tcW w:w="6171" w:type="dxa"/>
            <w:gridSpan w:val="3"/>
          </w:tcPr>
          <w:p w:rsidR="00876658" w:rsidRDefault="00876658" w:rsidP="00107729">
            <w:pPr>
              <w:jc w:val="both"/>
              <w:rPr>
                <w:b/>
                <w:sz w:val="28"/>
                <w:szCs w:val="28"/>
                <w:u w:val="single"/>
              </w:rPr>
            </w:pPr>
            <w:r w:rsidRPr="00AA2A60">
              <w:rPr>
                <w:b/>
                <w:sz w:val="28"/>
                <w:szCs w:val="28"/>
                <w:u w:val="single"/>
              </w:rPr>
              <w:t>Lithium battery</w:t>
            </w:r>
          </w:p>
          <w:p w:rsidR="00876658" w:rsidRPr="00DE0A12" w:rsidRDefault="00876658" w:rsidP="00107729">
            <w:pPr>
              <w:pStyle w:val="NormalWeb"/>
              <w:jc w:val="both"/>
              <w:rPr>
                <w:sz w:val="22"/>
                <w:szCs w:val="22"/>
              </w:rPr>
            </w:pPr>
            <w:r w:rsidRPr="00DE0A12">
              <w:rPr>
                <w:sz w:val="22"/>
                <w:szCs w:val="22"/>
              </w:rPr>
              <w:t xml:space="preserve">A </w:t>
            </w:r>
            <w:r w:rsidRPr="00DE0A12">
              <w:rPr>
                <w:b/>
                <w:bCs/>
                <w:sz w:val="22"/>
                <w:szCs w:val="22"/>
              </w:rPr>
              <w:t>lithium-ion battery</w:t>
            </w:r>
            <w:r w:rsidRPr="00DE0A12">
              <w:rPr>
                <w:sz w:val="22"/>
                <w:szCs w:val="22"/>
              </w:rPr>
              <w:t xml:space="preserve"> or </w:t>
            </w:r>
            <w:r w:rsidRPr="00DE0A12">
              <w:rPr>
                <w:b/>
                <w:bCs/>
                <w:sz w:val="22"/>
                <w:szCs w:val="22"/>
              </w:rPr>
              <w:t>Li-ion battery</w:t>
            </w:r>
            <w:r w:rsidRPr="00DE0A12">
              <w:rPr>
                <w:sz w:val="22"/>
                <w:szCs w:val="22"/>
              </w:rPr>
              <w:t xml:space="preserve"> (abbreviated as </w:t>
            </w:r>
            <w:r w:rsidRPr="00DE0A12">
              <w:rPr>
                <w:b/>
                <w:bCs/>
                <w:sz w:val="22"/>
                <w:szCs w:val="22"/>
              </w:rPr>
              <w:t>LIB</w:t>
            </w:r>
            <w:r w:rsidRPr="00DE0A12">
              <w:rPr>
                <w:sz w:val="22"/>
                <w:szCs w:val="22"/>
              </w:rPr>
              <w:t xml:space="preserve">) is a type of </w:t>
            </w:r>
            <w:hyperlink r:id="rId7" w:tooltip="Rechargeable battery" w:history="1">
              <w:r w:rsidRPr="00DE0A12">
                <w:rPr>
                  <w:rStyle w:val="Hyperlink"/>
                  <w:sz w:val="22"/>
                  <w:szCs w:val="22"/>
                </w:rPr>
                <w:t>rechargeable battery</w:t>
              </w:r>
            </w:hyperlink>
            <w:r w:rsidRPr="00DE0A12">
              <w:rPr>
                <w:sz w:val="22"/>
                <w:szCs w:val="22"/>
              </w:rPr>
              <w:t xml:space="preserve"> in which </w:t>
            </w:r>
            <w:hyperlink r:id="rId8" w:tooltip="Lithium" w:history="1">
              <w:r w:rsidRPr="00DE0A12">
                <w:rPr>
                  <w:rStyle w:val="Hyperlink"/>
                  <w:sz w:val="22"/>
                  <w:szCs w:val="22"/>
                </w:rPr>
                <w:t>lithium</w:t>
              </w:r>
            </w:hyperlink>
            <w:r w:rsidRPr="00DE0A12">
              <w:rPr>
                <w:sz w:val="22"/>
                <w:szCs w:val="22"/>
              </w:rPr>
              <w:t xml:space="preserve"> </w:t>
            </w:r>
            <w:hyperlink r:id="rId9" w:tooltip="Ion" w:history="1">
              <w:r w:rsidRPr="00DE0A12">
                <w:rPr>
                  <w:rStyle w:val="Hyperlink"/>
                  <w:sz w:val="22"/>
                  <w:szCs w:val="22"/>
                </w:rPr>
                <w:t>ions</w:t>
              </w:r>
            </w:hyperlink>
            <w:r w:rsidRPr="00DE0A12">
              <w:rPr>
                <w:sz w:val="22"/>
                <w:szCs w:val="22"/>
              </w:rPr>
              <w:t xml:space="preserve"> move from the negative </w:t>
            </w:r>
            <w:hyperlink r:id="rId10" w:tooltip="Electrode" w:history="1">
              <w:r w:rsidRPr="00DE0A12">
                <w:rPr>
                  <w:rStyle w:val="Hyperlink"/>
                  <w:sz w:val="22"/>
                  <w:szCs w:val="22"/>
                </w:rPr>
                <w:t>electrode</w:t>
              </w:r>
            </w:hyperlink>
            <w:r w:rsidRPr="00DE0A12">
              <w:rPr>
                <w:sz w:val="22"/>
                <w:szCs w:val="22"/>
              </w:rPr>
              <w:t xml:space="preserve"> to the positive electrode during discharge and back when charging. Li-ion batteries use an </w:t>
            </w:r>
            <w:hyperlink r:id="rId11" w:tooltip="Intercalation (chemistry)" w:history="1">
              <w:r w:rsidRPr="00DE0A12">
                <w:rPr>
                  <w:rStyle w:val="Hyperlink"/>
                  <w:sz w:val="22"/>
                  <w:szCs w:val="22"/>
                </w:rPr>
                <w:t>intercalated</w:t>
              </w:r>
            </w:hyperlink>
            <w:r w:rsidRPr="00DE0A12">
              <w:rPr>
                <w:sz w:val="22"/>
                <w:szCs w:val="22"/>
              </w:rPr>
              <w:t xml:space="preserve"> lithium </w:t>
            </w:r>
            <w:hyperlink r:id="rId12" w:tooltip="Chemical compound" w:history="1">
              <w:r w:rsidRPr="00DE0A12">
                <w:rPr>
                  <w:rStyle w:val="Hyperlink"/>
                  <w:sz w:val="22"/>
                  <w:szCs w:val="22"/>
                </w:rPr>
                <w:t>compound</w:t>
              </w:r>
            </w:hyperlink>
            <w:r w:rsidRPr="00DE0A12">
              <w:rPr>
                <w:sz w:val="22"/>
                <w:szCs w:val="22"/>
              </w:rPr>
              <w:t xml:space="preserve"> as one electrode material, compared to the </w:t>
            </w:r>
            <w:hyperlink r:id="rId13" w:tooltip="Metal" w:history="1">
              <w:r w:rsidRPr="00DE0A12">
                <w:rPr>
                  <w:rStyle w:val="Hyperlink"/>
                  <w:sz w:val="22"/>
                  <w:szCs w:val="22"/>
                </w:rPr>
                <w:t>metallic</w:t>
              </w:r>
            </w:hyperlink>
            <w:r w:rsidRPr="00DE0A12">
              <w:rPr>
                <w:sz w:val="22"/>
                <w:szCs w:val="22"/>
              </w:rPr>
              <w:t xml:space="preserve"> lithium used in a </w:t>
            </w:r>
            <w:hyperlink r:id="rId14" w:tooltip="Primary battery" w:history="1">
              <w:r w:rsidRPr="00DE0A12">
                <w:rPr>
                  <w:rStyle w:val="Hyperlink"/>
                  <w:sz w:val="22"/>
                  <w:szCs w:val="22"/>
                </w:rPr>
                <w:t>non-rechargeable</w:t>
              </w:r>
            </w:hyperlink>
            <w:r w:rsidRPr="00DE0A12">
              <w:rPr>
                <w:sz w:val="22"/>
                <w:szCs w:val="22"/>
              </w:rPr>
              <w:t xml:space="preserve"> </w:t>
            </w:r>
            <w:hyperlink r:id="rId15" w:tooltip="Lithium battery" w:history="1">
              <w:r w:rsidRPr="00DE0A12">
                <w:rPr>
                  <w:rStyle w:val="Hyperlink"/>
                  <w:sz w:val="22"/>
                  <w:szCs w:val="22"/>
                </w:rPr>
                <w:t>lithium battery</w:t>
              </w:r>
            </w:hyperlink>
            <w:r w:rsidRPr="00DE0A12">
              <w:rPr>
                <w:sz w:val="22"/>
                <w:szCs w:val="22"/>
              </w:rPr>
              <w:t xml:space="preserve">. </w:t>
            </w:r>
          </w:p>
          <w:p w:rsidR="00876658" w:rsidRPr="00DE0A12" w:rsidRDefault="00876658" w:rsidP="00107729">
            <w:pPr>
              <w:pStyle w:val="NormalWeb"/>
              <w:jc w:val="both"/>
              <w:rPr>
                <w:sz w:val="22"/>
                <w:szCs w:val="22"/>
              </w:rPr>
            </w:pPr>
            <w:r w:rsidRPr="00DE0A12">
              <w:rPr>
                <w:sz w:val="22"/>
                <w:szCs w:val="22"/>
              </w:rPr>
              <w:t xml:space="preserve">Lithium-ion batteries are common rechargeable batteries for </w:t>
            </w:r>
            <w:hyperlink r:id="rId16" w:tooltip="Portable electronics" w:history="1">
              <w:r w:rsidRPr="00DE0A12">
                <w:rPr>
                  <w:rStyle w:val="Hyperlink"/>
                  <w:sz w:val="22"/>
                  <w:szCs w:val="22"/>
                </w:rPr>
                <w:t>portable electronics</w:t>
              </w:r>
            </w:hyperlink>
            <w:r w:rsidRPr="00DE0A12">
              <w:rPr>
                <w:sz w:val="22"/>
                <w:szCs w:val="22"/>
              </w:rPr>
              <w:t xml:space="preserve">, with a high </w:t>
            </w:r>
            <w:hyperlink r:id="rId17" w:tooltip="Energy density" w:history="1">
              <w:r w:rsidRPr="00DE0A12">
                <w:rPr>
                  <w:rStyle w:val="Hyperlink"/>
                  <w:sz w:val="22"/>
                  <w:szCs w:val="22"/>
                </w:rPr>
                <w:t>energy density</w:t>
              </w:r>
            </w:hyperlink>
            <w:r w:rsidRPr="00DE0A12">
              <w:rPr>
                <w:sz w:val="22"/>
                <w:szCs w:val="22"/>
              </w:rPr>
              <w:t xml:space="preserve">, no </w:t>
            </w:r>
            <w:hyperlink r:id="rId18" w:tooltip="Memory effect" w:history="1">
              <w:r w:rsidRPr="00DE0A12">
                <w:rPr>
                  <w:rStyle w:val="Hyperlink"/>
                  <w:sz w:val="22"/>
                  <w:szCs w:val="22"/>
                </w:rPr>
                <w:t>memory effect</w:t>
              </w:r>
            </w:hyperlink>
            <w:r w:rsidRPr="00DE0A12">
              <w:rPr>
                <w:sz w:val="22"/>
                <w:szCs w:val="22"/>
              </w:rPr>
              <w:t xml:space="preserve"> (other than LFP cells) and low </w:t>
            </w:r>
            <w:hyperlink r:id="rId19" w:tooltip="Self-discharge" w:history="1">
              <w:r w:rsidRPr="00DE0A12">
                <w:rPr>
                  <w:rStyle w:val="Hyperlink"/>
                  <w:sz w:val="22"/>
                  <w:szCs w:val="22"/>
                </w:rPr>
                <w:t>self-discharge</w:t>
              </w:r>
            </w:hyperlink>
          </w:p>
          <w:p w:rsidR="00876658" w:rsidRPr="00DE0A12" w:rsidRDefault="00876658" w:rsidP="00107729">
            <w:pPr>
              <w:pStyle w:val="NormalWeb"/>
              <w:rPr>
                <w:sz w:val="22"/>
                <w:szCs w:val="22"/>
              </w:rPr>
            </w:pPr>
            <w:r w:rsidRPr="00DE0A12">
              <w:rPr>
                <w:sz w:val="22"/>
                <w:szCs w:val="22"/>
              </w:rPr>
              <w:t xml:space="preserve">Pure lithium is highly </w:t>
            </w:r>
            <w:hyperlink r:id="rId20" w:tooltip="Reactivity (chemistry)" w:history="1">
              <w:r w:rsidRPr="00DE0A12">
                <w:rPr>
                  <w:rStyle w:val="Hyperlink"/>
                  <w:sz w:val="22"/>
                  <w:szCs w:val="22"/>
                </w:rPr>
                <w:t>reactive</w:t>
              </w:r>
            </w:hyperlink>
            <w:r w:rsidRPr="00DE0A12">
              <w:rPr>
                <w:sz w:val="22"/>
                <w:szCs w:val="22"/>
              </w:rPr>
              <w:t xml:space="preserve">. It reacts vigorously with water to form </w:t>
            </w:r>
            <w:hyperlink r:id="rId21" w:tooltip="Lithium hydroxide" w:history="1">
              <w:r w:rsidRPr="00DE0A12">
                <w:rPr>
                  <w:rStyle w:val="Hyperlink"/>
                  <w:sz w:val="22"/>
                  <w:szCs w:val="22"/>
                </w:rPr>
                <w:t>lithium hydroxide</w:t>
              </w:r>
            </w:hyperlink>
            <w:r w:rsidRPr="00DE0A12">
              <w:rPr>
                <w:sz w:val="22"/>
                <w:szCs w:val="22"/>
              </w:rPr>
              <w:t xml:space="preserve"> (</w:t>
            </w:r>
            <w:proofErr w:type="spellStart"/>
            <w:r w:rsidRPr="00DE0A12">
              <w:rPr>
                <w:sz w:val="22"/>
                <w:szCs w:val="22"/>
              </w:rPr>
              <w:t>LiOH</w:t>
            </w:r>
            <w:proofErr w:type="spellEnd"/>
            <w:r w:rsidRPr="00DE0A12">
              <w:rPr>
                <w:sz w:val="22"/>
                <w:szCs w:val="22"/>
              </w:rPr>
              <w:t xml:space="preserve">) and </w:t>
            </w:r>
            <w:hyperlink r:id="rId22" w:tooltip="Hydrogen" w:history="1">
              <w:r w:rsidRPr="00DE0A12">
                <w:rPr>
                  <w:rStyle w:val="Hyperlink"/>
                  <w:sz w:val="22"/>
                  <w:szCs w:val="22"/>
                </w:rPr>
                <w:t>hydrogen</w:t>
              </w:r>
            </w:hyperlink>
            <w:r w:rsidRPr="00DE0A12">
              <w:rPr>
                <w:sz w:val="22"/>
                <w:szCs w:val="22"/>
              </w:rPr>
              <w:t xml:space="preserve"> gas. Thus, a non-aqueous electrolyte is typically used, and a sealed container rigidly </w:t>
            </w:r>
            <w:r w:rsidRPr="00DE0A12">
              <w:rPr>
                <w:sz w:val="22"/>
                <w:szCs w:val="22"/>
              </w:rPr>
              <w:lastRenderedPageBreak/>
              <w:t xml:space="preserve">excludes moisture from the battery pack. </w:t>
            </w:r>
          </w:p>
          <w:p w:rsidR="00876658" w:rsidRDefault="00876658" w:rsidP="00107729">
            <w:pPr>
              <w:pStyle w:val="NormalWeb"/>
              <w:rPr>
                <w:sz w:val="22"/>
                <w:szCs w:val="22"/>
              </w:rPr>
            </w:pPr>
            <w:r w:rsidRPr="00DE0A12">
              <w:rPr>
                <w:sz w:val="22"/>
                <w:szCs w:val="22"/>
              </w:rPr>
              <w:t xml:space="preserve">Lithium-ion batteries are more expensive than </w:t>
            </w:r>
            <w:hyperlink r:id="rId23" w:tooltip="NiCd" w:history="1">
              <w:proofErr w:type="spellStart"/>
              <w:r w:rsidRPr="00DE0A12">
                <w:rPr>
                  <w:rStyle w:val="Hyperlink"/>
                  <w:sz w:val="22"/>
                  <w:szCs w:val="22"/>
                </w:rPr>
                <w:t>NiCd</w:t>
              </w:r>
              <w:proofErr w:type="spellEnd"/>
            </w:hyperlink>
            <w:r w:rsidRPr="00DE0A12">
              <w:rPr>
                <w:sz w:val="22"/>
                <w:szCs w:val="22"/>
              </w:rPr>
              <w:t xml:space="preserve"> batteries but operate over a wider temperature range with higher energy densities. They require a protective circuit to limit peak voltage.</w:t>
            </w:r>
          </w:p>
          <w:p w:rsidR="00876658" w:rsidRDefault="00876658" w:rsidP="00107729">
            <w:pPr>
              <w:pStyle w:val="NormalWeb"/>
              <w:rPr>
                <w:b/>
                <w:sz w:val="22"/>
                <w:szCs w:val="22"/>
                <w:u w:val="single"/>
              </w:rPr>
            </w:pPr>
            <w:r w:rsidRPr="00DE0A12">
              <w:rPr>
                <w:b/>
                <w:sz w:val="22"/>
                <w:szCs w:val="22"/>
                <w:u w:val="single"/>
              </w:rPr>
              <w:t>Fuel cell</w:t>
            </w:r>
          </w:p>
          <w:p w:rsidR="00876658" w:rsidRPr="00DE0A12" w:rsidRDefault="00876658" w:rsidP="00107729">
            <w:pPr>
              <w:pStyle w:val="NormalWeb"/>
              <w:jc w:val="both"/>
            </w:pPr>
            <w:r w:rsidRPr="00DE0A12">
              <w:rPr>
                <w:b/>
                <w:bCs/>
              </w:rPr>
              <w:t>Direct-methanol fuel cells</w:t>
            </w:r>
            <w:r w:rsidRPr="00DE0A12">
              <w:t xml:space="preserve"> or </w:t>
            </w:r>
            <w:r w:rsidRPr="00DE0A12">
              <w:rPr>
                <w:b/>
                <w:bCs/>
              </w:rPr>
              <w:t>DMFCs</w:t>
            </w:r>
            <w:r w:rsidRPr="00DE0A12">
              <w:t xml:space="preserve"> are a subcategory of </w:t>
            </w:r>
            <w:hyperlink r:id="rId24" w:tooltip="Proton exchange membrane fuel cell" w:history="1">
              <w:r w:rsidRPr="00DE0A12">
                <w:rPr>
                  <w:rStyle w:val="Hyperlink"/>
                </w:rPr>
                <w:t>proton-exchange fuel cells</w:t>
              </w:r>
            </w:hyperlink>
            <w:r w:rsidRPr="00DE0A12">
              <w:t xml:space="preserve"> in which </w:t>
            </w:r>
            <w:hyperlink r:id="rId25" w:tooltip="Methanol" w:history="1">
              <w:r w:rsidRPr="00DE0A12">
                <w:rPr>
                  <w:rStyle w:val="Hyperlink"/>
                </w:rPr>
                <w:t>methanol</w:t>
              </w:r>
            </w:hyperlink>
            <w:r w:rsidRPr="00DE0A12">
              <w:t xml:space="preserve"> is used as the fuel. Their main advantage is the ease of transport of methanol, </w:t>
            </w:r>
            <w:proofErr w:type="gramStart"/>
            <w:r w:rsidRPr="00DE0A12">
              <w:t>an energy-dense yet reasonably stable liquid at all environmental conditions</w:t>
            </w:r>
            <w:proofErr w:type="gramEnd"/>
            <w:r w:rsidRPr="00DE0A12">
              <w:t xml:space="preserve">. </w:t>
            </w:r>
          </w:p>
          <w:p w:rsidR="00876658" w:rsidRPr="00DE0A12" w:rsidRDefault="00876658" w:rsidP="00107729">
            <w:pPr>
              <w:pStyle w:val="NormalWeb"/>
              <w:jc w:val="both"/>
            </w:pPr>
            <w:r w:rsidRPr="00DE0A12">
              <w:t xml:space="preserve">Efficiency is quite low for these cells, so they are targeted especially to portable applications, where energy and power density are more important than efficiency. </w:t>
            </w:r>
          </w:p>
          <w:p w:rsidR="00876658" w:rsidRPr="00DE0A12" w:rsidRDefault="00876658" w:rsidP="00107729">
            <w:pPr>
              <w:pStyle w:val="NormalWeb"/>
              <w:jc w:val="both"/>
            </w:pPr>
            <w:r w:rsidRPr="00DE0A12">
              <w:t xml:space="preserve">A more efficient version of a direct fuel cell would play a key role in the theoretical use of methanol as a general energy transport medium, in the hypothesized </w:t>
            </w:r>
            <w:hyperlink r:id="rId26" w:tooltip="Methanol economy" w:history="1">
              <w:r w:rsidRPr="00DE0A12">
                <w:rPr>
                  <w:rStyle w:val="Hyperlink"/>
                </w:rPr>
                <w:t>methanol economy</w:t>
              </w:r>
            </w:hyperlink>
            <w:r w:rsidRPr="00DE0A12">
              <w:t>.</w:t>
            </w:r>
            <w:r>
              <w:t xml:space="preserve"> </w:t>
            </w:r>
          </w:p>
        </w:tc>
      </w:tr>
      <w:tr w:rsidR="00876658" w:rsidTr="0010772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918" w:type="dxa"/>
          </w:tcPr>
          <w:p w:rsidR="00876658" w:rsidRDefault="00876658" w:rsidP="0087665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jc w:val="center"/>
            </w:pPr>
          </w:p>
        </w:tc>
        <w:tc>
          <w:tcPr>
            <w:tcW w:w="2617" w:type="dxa"/>
          </w:tcPr>
          <w:p w:rsidR="00876658" w:rsidRDefault="00876658" w:rsidP="00107729">
            <w:pPr>
              <w:spacing w:line="360" w:lineRule="auto"/>
            </w:pPr>
            <w:r>
              <w:t>Relevant additional illustration if any:</w:t>
            </w:r>
          </w:p>
        </w:tc>
        <w:tc>
          <w:tcPr>
            <w:tcW w:w="6171" w:type="dxa"/>
            <w:gridSpan w:val="3"/>
          </w:tcPr>
          <w:p w:rsidR="00876658" w:rsidRDefault="00876658" w:rsidP="00107729">
            <w:pPr>
              <w:pStyle w:val="NormalWeb"/>
              <w:jc w:val="both"/>
              <w:rPr>
                <w:sz w:val="22"/>
                <w:szCs w:val="22"/>
              </w:rPr>
            </w:pPr>
            <w:r w:rsidRPr="00AA2A60">
              <w:rPr>
                <w:sz w:val="22"/>
                <w:szCs w:val="22"/>
              </w:rPr>
              <w:t xml:space="preserve">LIBs are also growing in popularity for military, </w:t>
            </w:r>
            <w:hyperlink r:id="rId27" w:tooltip="Battery electric vehicle" w:history="1">
              <w:r w:rsidRPr="00AA2A60">
                <w:rPr>
                  <w:rStyle w:val="Hyperlink"/>
                  <w:sz w:val="22"/>
                  <w:szCs w:val="22"/>
                </w:rPr>
                <w:t>battery electric vehicle</w:t>
              </w:r>
            </w:hyperlink>
            <w:r w:rsidRPr="00AA2A60">
              <w:rPr>
                <w:sz w:val="22"/>
                <w:szCs w:val="22"/>
              </w:rPr>
              <w:t xml:space="preserve"> and </w:t>
            </w:r>
            <w:hyperlink r:id="rId28" w:tooltip="Aerospace" w:history="1">
              <w:r w:rsidRPr="00AA2A60">
                <w:rPr>
                  <w:rStyle w:val="Hyperlink"/>
                  <w:sz w:val="22"/>
                  <w:szCs w:val="22"/>
                </w:rPr>
                <w:t>aerospace</w:t>
              </w:r>
            </w:hyperlink>
            <w:r w:rsidRPr="00AA2A60">
              <w:rPr>
                <w:sz w:val="22"/>
                <w:szCs w:val="22"/>
              </w:rPr>
              <w:t xml:space="preserve"> applications</w:t>
            </w:r>
            <w:r>
              <w:rPr>
                <w:sz w:val="22"/>
                <w:szCs w:val="22"/>
              </w:rPr>
              <w:t>.</w:t>
            </w:r>
          </w:p>
          <w:p w:rsidR="00876658" w:rsidRDefault="00876658" w:rsidP="00107729">
            <w:pPr>
              <w:pStyle w:val="NormalWeb"/>
              <w:jc w:val="both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3758437" cy="2372736"/>
                  <wp:effectExtent l="19050" t="0" r="0" b="0"/>
                  <wp:docPr id="43" name="Picture 43" descr="Image result for applications of lithium ion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Image result for applications of lithium ion batte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7415" cy="23720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6658" w:rsidRDefault="00876658" w:rsidP="00107729">
            <w:pPr>
              <w:jc w:val="both"/>
              <w:rPr>
                <w:noProof/>
              </w:rPr>
            </w:pPr>
          </w:p>
          <w:p w:rsidR="00876658" w:rsidRDefault="00876658" w:rsidP="00107729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761840" cy="1754884"/>
                  <wp:effectExtent l="19050" t="0" r="0" b="0"/>
                  <wp:docPr id="4" name="Picture 46" descr="Image result for applications of lithium ion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Image result for applications of lithium ion batte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5377" cy="1756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6658" w:rsidRDefault="00876658" w:rsidP="00107729">
            <w:pPr>
              <w:jc w:val="both"/>
              <w:rPr>
                <w:noProof/>
              </w:rPr>
            </w:pPr>
          </w:p>
          <w:p w:rsidR="00876658" w:rsidRDefault="00876658" w:rsidP="00107729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539098" cy="1972638"/>
                  <wp:effectExtent l="19050" t="0" r="4202" b="0"/>
                  <wp:docPr id="49" name="Picture 49" descr="Image result for applications of methanol oxygen fuel ce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applications of methanol oxygen fuel ce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600" cy="1975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6658" w:rsidRDefault="00876658" w:rsidP="00107729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:rsidR="00876658" w:rsidRPr="00C5322C" w:rsidRDefault="00876658" w:rsidP="00107729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876658" w:rsidTr="0010772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918" w:type="dxa"/>
          </w:tcPr>
          <w:p w:rsidR="00876658" w:rsidRDefault="00876658" w:rsidP="0087665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jc w:val="center"/>
            </w:pPr>
          </w:p>
        </w:tc>
        <w:tc>
          <w:tcPr>
            <w:tcW w:w="2617" w:type="dxa"/>
          </w:tcPr>
          <w:p w:rsidR="00876658" w:rsidRDefault="00876658" w:rsidP="00107729">
            <w:pPr>
              <w:spacing w:line="360" w:lineRule="auto"/>
            </w:pPr>
            <w:r>
              <w:t>Video Links/ Web Links if any:</w:t>
            </w:r>
          </w:p>
        </w:tc>
        <w:tc>
          <w:tcPr>
            <w:tcW w:w="6171" w:type="dxa"/>
            <w:gridSpan w:val="3"/>
          </w:tcPr>
          <w:p w:rsidR="00876658" w:rsidRDefault="00876658" w:rsidP="00107729">
            <w:pPr>
              <w:spacing w:line="360" w:lineRule="auto"/>
            </w:pPr>
            <w:hyperlink r:id="rId32" w:history="1">
              <w:r w:rsidRPr="006E3715">
                <w:rPr>
                  <w:rStyle w:val="Hyperlink"/>
                </w:rPr>
                <w:t>https://www.youtube.com/watch?v=kqR7MihP5k4&amp;t=2s</w:t>
              </w:r>
            </w:hyperlink>
          </w:p>
          <w:p w:rsidR="00876658" w:rsidRDefault="00876658" w:rsidP="00107729">
            <w:pPr>
              <w:spacing w:line="360" w:lineRule="auto"/>
            </w:pPr>
            <w:r w:rsidRPr="00DE0A12">
              <w:t>https://www.youtube.com/watch?v=6oeN9VDFLig</w:t>
            </w:r>
          </w:p>
        </w:tc>
      </w:tr>
      <w:tr w:rsidR="00876658" w:rsidTr="0010772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918" w:type="dxa"/>
          </w:tcPr>
          <w:p w:rsidR="00876658" w:rsidRDefault="00876658" w:rsidP="00876658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jc w:val="center"/>
            </w:pPr>
          </w:p>
        </w:tc>
        <w:tc>
          <w:tcPr>
            <w:tcW w:w="2617" w:type="dxa"/>
          </w:tcPr>
          <w:p w:rsidR="00876658" w:rsidRDefault="00876658" w:rsidP="00107729">
            <w:r>
              <w:t>Signature of Repository Administrator:</w:t>
            </w:r>
          </w:p>
          <w:p w:rsidR="00876658" w:rsidRDefault="00876658" w:rsidP="00107729"/>
        </w:tc>
        <w:tc>
          <w:tcPr>
            <w:tcW w:w="6171" w:type="dxa"/>
            <w:gridSpan w:val="3"/>
          </w:tcPr>
          <w:p w:rsidR="00876658" w:rsidRDefault="00876658" w:rsidP="00107729">
            <w:pPr>
              <w:spacing w:line="360" w:lineRule="auto"/>
            </w:pPr>
          </w:p>
        </w:tc>
      </w:tr>
    </w:tbl>
    <w:p w:rsidR="00876658" w:rsidRDefault="00876658" w:rsidP="00876658"/>
    <w:p w:rsidR="00802737" w:rsidRDefault="00802737"/>
    <w:sectPr w:rsidR="00802737" w:rsidSect="00AA2A60">
      <w:pgSz w:w="11906" w:h="16838"/>
      <w:pgMar w:top="81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E41555"/>
    <w:multiLevelType w:val="hybridMultilevel"/>
    <w:tmpl w:val="28CA2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76658"/>
    <w:rsid w:val="00245F30"/>
    <w:rsid w:val="00802737"/>
    <w:rsid w:val="008766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60" w:lineRule="atLeast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658"/>
    <w:pPr>
      <w:spacing w:after="200" w:line="276" w:lineRule="auto"/>
      <w:jc w:val="left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76658"/>
    <w:pPr>
      <w:spacing w:line="240" w:lineRule="auto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766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665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76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6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658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thium" TargetMode="External"/><Relationship Id="rId13" Type="http://schemas.openxmlformats.org/officeDocument/2006/relationships/hyperlink" Target="https://en.wikipedia.org/wiki/Metal" TargetMode="External"/><Relationship Id="rId18" Type="http://schemas.openxmlformats.org/officeDocument/2006/relationships/hyperlink" Target="https://en.wikipedia.org/wiki/Memory_effect" TargetMode="External"/><Relationship Id="rId26" Type="http://schemas.openxmlformats.org/officeDocument/2006/relationships/hyperlink" Target="https://en.wikipedia.org/wiki/Methanol_econom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Lithium_hydroxide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en.wikipedia.org/wiki/Rechargeable_battery" TargetMode="External"/><Relationship Id="rId12" Type="http://schemas.openxmlformats.org/officeDocument/2006/relationships/hyperlink" Target="https://en.wikipedia.org/wiki/Chemical_compound" TargetMode="External"/><Relationship Id="rId17" Type="http://schemas.openxmlformats.org/officeDocument/2006/relationships/hyperlink" Target="https://en.wikipedia.org/wiki/Energy_density" TargetMode="External"/><Relationship Id="rId25" Type="http://schemas.openxmlformats.org/officeDocument/2006/relationships/hyperlink" Target="https://en.wikipedia.org/wiki/Methanol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Portable_electronics" TargetMode="External"/><Relationship Id="rId20" Type="http://schemas.openxmlformats.org/officeDocument/2006/relationships/hyperlink" Target="https://en.wikipedia.org/wiki/Reactivity_(chemistry)" TargetMode="External"/><Relationship Id="rId29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Intercalation_(chemistry)" TargetMode="External"/><Relationship Id="rId24" Type="http://schemas.openxmlformats.org/officeDocument/2006/relationships/hyperlink" Target="https://en.wikipedia.org/wiki/Proton_exchange_membrane_fuel_cell" TargetMode="External"/><Relationship Id="rId32" Type="http://schemas.openxmlformats.org/officeDocument/2006/relationships/hyperlink" Target="https://www.youtube.com/watch?v=kqR7MihP5k4&amp;t=2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Lithium_battery" TargetMode="External"/><Relationship Id="rId23" Type="http://schemas.openxmlformats.org/officeDocument/2006/relationships/hyperlink" Target="https://en.wikipedia.org/wiki/NiCd" TargetMode="External"/><Relationship Id="rId28" Type="http://schemas.openxmlformats.org/officeDocument/2006/relationships/hyperlink" Target="https://en.wikipedia.org/wiki/Aerospace" TargetMode="External"/><Relationship Id="rId10" Type="http://schemas.openxmlformats.org/officeDocument/2006/relationships/hyperlink" Target="https://en.wikipedia.org/wiki/Electrode" TargetMode="External"/><Relationship Id="rId19" Type="http://schemas.openxmlformats.org/officeDocument/2006/relationships/hyperlink" Target="https://en.wikipedia.org/wiki/Self-discharge" TargetMode="External"/><Relationship Id="rId31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Ion" TargetMode="External"/><Relationship Id="rId14" Type="http://schemas.openxmlformats.org/officeDocument/2006/relationships/hyperlink" Target="https://en.wikipedia.org/wiki/Primary_battery" TargetMode="External"/><Relationship Id="rId22" Type="http://schemas.openxmlformats.org/officeDocument/2006/relationships/hyperlink" Target="https://en.wikipedia.org/wiki/Hydrogen" TargetMode="External"/><Relationship Id="rId27" Type="http://schemas.openxmlformats.org/officeDocument/2006/relationships/hyperlink" Target="https://en.wikipedia.org/wiki/Battery_electric_vehicle" TargetMode="External"/><Relationship Id="rId3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615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hello</cp:lastModifiedBy>
  <cp:revision>1</cp:revision>
  <dcterms:created xsi:type="dcterms:W3CDTF">2019-04-26T09:47:00Z</dcterms:created>
  <dcterms:modified xsi:type="dcterms:W3CDTF">2019-04-26T09:50:00Z</dcterms:modified>
</cp:coreProperties>
</file>