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br/>
        <w:br/>
        <w:br/>
        <w:br/>
        <w:t>UNIVERSITY OF EUROPE FOR APPLIED SCIENCES</w:t>
        <w:br/>
        <w:br/>
      </w:r>
      <w:r>
        <w:rPr>
          <w:b/>
          <w:sz w:val="24"/>
        </w:rPr>
        <w:t>MASTER OF SCIENCE IN SOFTWARE ENGINEERING</w:t>
        <w:br/>
        <w:br/>
        <w:br/>
        <w:br/>
      </w:r>
      <w:r>
        <w:rPr>
          <w:b/>
          <w:sz w:val="32"/>
        </w:rPr>
        <w:t>CAPSTONE PROJECT REPORT</w:t>
        <w:br/>
        <w:br/>
      </w:r>
      <w:r>
        <w:rPr>
          <w:b/>
          <w:sz w:val="28"/>
        </w:rPr>
        <w:t>MEDIWISE AI: AN INTELLIGENT CLINICAL DIAGNOSIS PORTAL FOR TRIAGE AND LESION CLASSIFICATION UNDER UNCERTAINTY</w:t>
        <w:br/>
        <w:br/>
        <w:br/>
        <w:br/>
        <w:br/>
        <w:br/>
      </w:r>
    </w:p>
    <w:p>
      <w:pPr>
        <w:jc w:val="left"/>
      </w:pPr>
      <w:r>
        <w:rPr>
          <w:b/>
        </w:rPr>
        <w:t>Submitted By:</w:t>
        <w:br/>
      </w:r>
      <w:r>
        <w:rPr>
          <w:i/>
        </w:rPr>
        <w:t>Last Name: Jayanth</w:t>
        <w:br/>
        <w:t>First Name: Thenepalle</w:t>
        <w:br/>
        <w:t>Matriculation No: 77287704</w:t>
        <w:br/>
        <w:br/>
      </w:r>
      <w:r>
        <w:rPr>
          <w:b/>
        </w:rPr>
        <w:t>Academic Supervisor:</w:t>
        <w:br/>
      </w:r>
      <w:r>
        <w:rPr>
          <w:i/>
        </w:rPr>
        <w:t>Faculty of Software Engineering</w:t>
        <w:br/>
        <w:br/>
      </w:r>
      <w:r>
        <w:t>Date of Submission: July 6, 2026</w:t>
        <w:br/>
        <w:t>Berlin, Germany</w:t>
      </w:r>
    </w:p>
    <w:p>
      <w:r>
        <w:br w:type="page"/>
      </w:r>
    </w:p>
    <w:p>
      <w:pPr>
        <w:pStyle w:val="Heading1"/>
        <w:jc w:val="left"/>
      </w:pPr>
      <w:r>
        <w:t>Abstract</w:t>
      </w:r>
    </w:p>
    <w:p>
      <w:r>
        <w:t>In modern healthcare systems, delayed or inaccessible preliminary diagnostic guidance represents a critical challenge, often leading to poor patient outcomes. This Capstone Project presents MediWise AI, a multi-tier, cloud-native web application designed to deliver secure, scalable, and interpretable clinical predictions under uncertainty. The system integrates a dynamic React.js frontend with an asynchronous FastAPI backend and a centralized MongoDB Atlas cloud database. The predictive core comprises two distinct machine learning models: a feedforward Artificial Neural Network (ANN) trained on 132 symptoms to classify 41 diseases with 98.42% accuracy, and a Convolutional Neural Network (CNN) employing MobileNetV2 transfer learning trained on 10,015 HAM10000 dermoscopy images to classify 7 lesion types with 89.5% accuracy. To guarantee security and centralized updates, models are deployed statelessly on a Python server. This report outlines the engineering methodologies, model validation metrics, and system integration pipelines implemented in this Capstone Project.</w:t>
      </w:r>
    </w:p>
    <w:p>
      <w:r>
        <w:br w:type="page"/>
      </w:r>
    </w:p>
    <w:p>
      <w:pPr>
        <w:pStyle w:val="Heading1"/>
      </w:pPr>
      <w:r>
        <w:t>Chapter 1: Introduction</w:t>
      </w:r>
    </w:p>
    <w:p>
      <w:pPr>
        <w:pStyle w:val="Heading2"/>
      </w:pPr>
      <w:r>
        <w:t>1.1 Context and Motivation</w:t>
      </w:r>
    </w:p>
    <w:p>
      <w:r>
        <w:t>Preliminary diagnostic guidance is crucial in preventing minor clinical symptoms from escalating into acute conditions. However, patient access to medical specialists is frequently bottlenecked by administrative delays. MediWise AI is developed to bridge this gap, providing clinical triage checker logic and lesion image classification algorithms to assist clinicians in routing patients dynamically.</w:t>
      </w:r>
    </w:p>
    <w:p>
      <w:pPr>
        <w:pStyle w:val="Heading2"/>
      </w:pPr>
      <w:r>
        <w:t>1.2 Research Objectives</w:t>
      </w:r>
    </w:p>
    <w:p>
      <w:r>
        <w:t>The primary software engineering and machine learning objectives of this capstone include:</w:t>
      </w:r>
    </w:p>
    <w:p>
      <w:pPr>
        <w:pStyle w:val="ListBullet"/>
      </w:pPr>
      <w:r>
        <w:t>Designing a stateless, horizontally scalable API architecture capable of processing parallel client requests.</w:t>
      </w:r>
    </w:p>
    <w:p>
      <w:pPr>
        <w:pStyle w:val="ListBullet"/>
      </w:pPr>
      <w:r>
        <w:t>Training a high-precision symptom classification model capable of mapping sparse, incomplete inputs to definitive conditions under uncertainty.</w:t>
      </w:r>
    </w:p>
    <w:p>
      <w:pPr>
        <w:pStyle w:val="ListBullet"/>
      </w:pPr>
      <w:r>
        <w:t>Developing a secure, containerized neural network inference server to protect intellectual property from reverse-engineering.</w:t>
      </w:r>
    </w:p>
    <w:p>
      <w:pPr>
        <w:pStyle w:val="ListBullet"/>
      </w:pPr>
      <w:r>
        <w:t>Integrating cloud database persistence to track logs in compliance with clinical audit standards.</w:t>
      </w:r>
    </w:p>
    <w:p>
      <w:pPr>
        <w:pStyle w:val="Heading1"/>
      </w:pPr>
      <w:r>
        <w:t>Chapter 2: Methodology &amp; Model Development</w:t>
      </w:r>
    </w:p>
    <w:p>
      <w:pPr>
        <w:pStyle w:val="Heading2"/>
      </w:pPr>
      <w:r>
        <w:t>2.1 Symptom Predictor ANN</w:t>
      </w:r>
    </w:p>
    <w:p>
      <w:r>
        <w:t>The symptom checker utilizes a fully connected Artificial Neural Network (ANN) designed with Keras. The model ingests a 132-dimension binary feature space (representing the presence or absence of specific clinical symptoms) and outputs a probability array across 41 target illnesses. Standard z-score scaling was omitted due to the binary nature of the input space. Overfitting is prevented using Dropout layers (rate = 0.2) and early stopping criteria during training.</w:t>
      </w:r>
    </w:p>
    <w:p>
      <w:pPr>
        <w:pStyle w:val="Heading2"/>
      </w:pPr>
      <w:r>
        <w:t>2.2 Image Classifier CNN</w:t>
      </w:r>
    </w:p>
    <w:p>
      <w:r>
        <w:t>For skin lesion classification, we implement a Convolutional Neural Network (CNN) using MobileNetV2 as a base feature extractor. Transfer learning was leveraged by loading weights pre-trained on ImageNet. The top layers were replaced with a Global Average Pooling layer, a fully connected layer (128 units, ReLU activation, 50% Dropout), and a final Softmax layer outputting probabilities for 7 key clinical classes from the HAM10000 dataset.</w:t>
      </w:r>
    </w:p>
    <w:p>
      <w:pPr>
        <w:pStyle w:val="Heading2"/>
      </w:pPr>
      <w:r>
        <w:t>2.3 Clinical Workflow Data Pipeline</w:t>
      </w:r>
    </w:p>
    <w:p>
      <w:r>
        <w:t>The system processes user parameters through a strict validation and execution pipeline as diagrammed below:</w:t>
      </w:r>
    </w:p>
    <w:p>
      <w:pPr>
        <w:jc w:val="center"/>
      </w:pPr>
      <w:r>
        <w:drawing>
          <wp:inline xmlns:a="http://schemas.openxmlformats.org/drawingml/2006/main" xmlns:pic="http://schemas.openxmlformats.org/drawingml/2006/picture">
            <wp:extent cx="4572000" cy="7296150"/>
            <wp:docPr id="1" name="Picture 1"/>
            <wp:cNvGraphicFramePr>
              <a:graphicFrameLocks noChangeAspect="1"/>
            </wp:cNvGraphicFramePr>
            <a:graphic>
              <a:graphicData uri="http://schemas.openxmlformats.org/drawingml/2006/picture">
                <pic:pic>
                  <pic:nvPicPr>
                    <pic:cNvPr id="0" name="Clinical_Workflow.png"/>
                    <pic:cNvPicPr/>
                  </pic:nvPicPr>
                  <pic:blipFill>
                    <a:blip r:embed="rId9"/>
                    <a:stretch>
                      <a:fillRect/>
                    </a:stretch>
                  </pic:blipFill>
                  <pic:spPr>
                    <a:xfrm>
                      <a:off x="0" y="0"/>
                      <a:ext cx="4572000" cy="7296150"/>
                    </a:xfrm>
                    <a:prstGeom prst="rect"/>
                  </pic:spPr>
                </pic:pic>
              </a:graphicData>
            </a:graphic>
          </wp:inline>
        </w:drawing>
      </w:r>
    </w:p>
    <w:p>
      <w:pPr>
        <w:jc w:val="center"/>
      </w:pPr>
      <w:r>
        <w:rPr>
          <w:i/>
        </w:rPr>
        <w:t>Figure 2.1: Clinical Workflow Data Flowchart</w:t>
      </w:r>
    </w:p>
    <w:p>
      <w:r>
        <w:br w:type="page"/>
      </w:r>
    </w:p>
    <w:p>
      <w:pPr>
        <w:pStyle w:val="Heading1"/>
      </w:pPr>
      <w:r>
        <w:t>Chapter 3: System Architecture</w:t>
      </w:r>
    </w:p>
    <w:p>
      <w:pPr>
        <w:pStyle w:val="Heading2"/>
      </w:pPr>
      <w:r>
        <w:t>3.1 Three-Tier Decoupled Infrastructure</w:t>
      </w:r>
    </w:p>
    <w:p>
      <w:r>
        <w:t>MediWise AI utilizes a decoupled web application architecture consisting of three discrete tiers:</w:t>
      </w:r>
    </w:p>
    <w:p>
      <w:pPr>
        <w:pStyle w:val="ListBullet"/>
      </w:pPr>
      <w:r>
        <w:t>Presentation Layer: A React.js SPA built with Vite and compiled under Node.js, hosted on Vercel.</w:t>
      </w:r>
    </w:p>
    <w:p>
      <w:pPr>
        <w:pStyle w:val="ListBullet"/>
      </w:pPr>
      <w:r>
        <w:t>Logic/Service Layer: A stateless FastAPI API built in Python, hosted on Render.com, handling model load and inference.</w:t>
      </w:r>
    </w:p>
    <w:p>
      <w:pPr>
        <w:pStyle w:val="ListBullet"/>
      </w:pPr>
      <w:r>
        <w:t>Persistence Layer: A cloud-based MongoDB Atlas cluster storing diagnostic logging entries.</w:t>
      </w:r>
    </w:p>
    <w:p>
      <w:pPr>
        <w:jc w:val="center"/>
      </w:pPr>
      <w:r>
        <w:drawing>
          <wp:inline xmlns:a="http://schemas.openxmlformats.org/drawingml/2006/main" xmlns:pic="http://schemas.openxmlformats.org/drawingml/2006/picture">
            <wp:extent cx="4572000" cy="4537753"/>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4572000" cy="4537753"/>
                    </a:xfrm>
                    <a:prstGeom prst="rect"/>
                  </pic:spPr>
                </pic:pic>
              </a:graphicData>
            </a:graphic>
          </wp:inline>
        </w:drawing>
      </w:r>
    </w:p>
    <w:p>
      <w:pPr>
        <w:jc w:val="center"/>
      </w:pPr>
      <w:r>
        <w:rPr>
          <w:i/>
        </w:rPr>
        <w:t>Figure 3.1: Decoupled Multi-Tier System Architecture</w:t>
      </w:r>
    </w:p>
    <w:p>
      <w:pPr>
        <w:pStyle w:val="Heading2"/>
      </w:pPr>
      <w:r>
        <w:t>3.2 Data Flow Logic</w:t>
      </w:r>
    </w:p>
    <w:p>
      <w:r>
        <w:t>Client requests dispatch JSON payloads or multipart FormData to the server. The FastAPI service executes inference in-memory (caching the models on startup to reduce response latency to &lt;100ms) and dispatches the raw diagnostic log to MongoDB Atlas asynchronously using the non-blocking 'motor' driver. This ensures the database transaction does not block the primary HTTP response pipeline, satisfying high availability constraints.</w:t>
      </w:r>
    </w:p>
    <w:p>
      <w:r>
        <w:br w:type="page"/>
      </w:r>
    </w:p>
    <w:p>
      <w:pPr>
        <w:pStyle w:val="Heading1"/>
      </w:pPr>
      <w:r>
        <w:t>Chapter 4: Testing, Evaluation &amp; Metrics</w:t>
      </w:r>
    </w:p>
    <w:p>
      <w:pPr>
        <w:pStyle w:val="Heading2"/>
      </w:pPr>
      <w:r>
        <w:t>4.1 Model Evaluation Matrix</w:t>
      </w:r>
    </w:p>
    <w:p>
      <w:r>
        <w:t>The following matrix summarizes the comparative performance metrics across all baseline and final deployed models:</w:t>
      </w:r>
    </w:p>
    <w:tbl>
      <w:tblPr>
        <w:tblStyle w:val="LightShading-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Model Architecture</w:t>
            </w:r>
          </w:p>
        </w:tc>
        <w:tc>
          <w:tcPr>
            <w:tcW w:type="dxa" w:w="1337"/>
          </w:tcPr>
          <w:p>
            <w:r>
              <w:t>Diagnosis Target</w:t>
            </w:r>
          </w:p>
        </w:tc>
        <w:tc>
          <w:tcPr>
            <w:tcW w:type="dxa" w:w="1337"/>
          </w:tcPr>
          <w:p>
            <w:r>
              <w:t>Parameters / Epochs</w:t>
            </w:r>
          </w:p>
        </w:tc>
        <w:tc>
          <w:tcPr>
            <w:tcW w:type="dxa" w:w="1337"/>
          </w:tcPr>
          <w:p>
            <w:r>
              <w:t>Accuracy</w:t>
            </w:r>
          </w:p>
        </w:tc>
        <w:tc>
          <w:tcPr>
            <w:tcW w:type="dxa" w:w="1337"/>
          </w:tcPr>
          <w:p>
            <w:r>
              <w:t>Precision</w:t>
            </w:r>
          </w:p>
        </w:tc>
        <w:tc>
          <w:tcPr>
            <w:tcW w:type="dxa" w:w="1337"/>
          </w:tcPr>
          <w:p>
            <w:r>
              <w:t>Recall</w:t>
            </w:r>
          </w:p>
        </w:tc>
        <w:tc>
          <w:tcPr>
            <w:tcW w:type="dxa" w:w="1337"/>
          </w:tcPr>
          <w:p>
            <w:r>
              <w:t>F1-Score</w:t>
            </w:r>
          </w:p>
        </w:tc>
      </w:tr>
      <w:tr>
        <w:tc>
          <w:tcPr>
            <w:tcW w:type="dxa" w:w="1337"/>
          </w:tcPr>
          <w:p>
            <w:r>
              <w:t>Decision Tree (Baseline)</w:t>
            </w:r>
          </w:p>
        </w:tc>
        <w:tc>
          <w:tcPr>
            <w:tcW w:type="dxa" w:w="1337"/>
          </w:tcPr>
          <w:p>
            <w:r>
              <w:t>Symptoms</w:t>
            </w:r>
          </w:p>
        </w:tc>
        <w:tc>
          <w:tcPr>
            <w:tcW w:type="dxa" w:w="1337"/>
          </w:tcPr>
          <w:p>
            <w:r>
              <w:t>Max Depth = 15</w:t>
            </w:r>
          </w:p>
        </w:tc>
        <w:tc>
          <w:tcPr>
            <w:tcW w:type="dxa" w:w="1337"/>
          </w:tcPr>
          <w:p>
            <w:r>
              <w:t>92.30%</w:t>
            </w:r>
          </w:p>
        </w:tc>
        <w:tc>
          <w:tcPr>
            <w:tcW w:type="dxa" w:w="1337"/>
          </w:tcPr>
          <w:p>
            <w:r>
              <w:t>92.45%</w:t>
            </w:r>
          </w:p>
        </w:tc>
        <w:tc>
          <w:tcPr>
            <w:tcW w:type="dxa" w:w="1337"/>
          </w:tcPr>
          <w:p>
            <w:r>
              <w:t>92.30%</w:t>
            </w:r>
          </w:p>
        </w:tc>
        <w:tc>
          <w:tcPr>
            <w:tcW w:type="dxa" w:w="1337"/>
          </w:tcPr>
          <w:p>
            <w:r>
              <w:t>92.31%</w:t>
            </w:r>
          </w:p>
        </w:tc>
      </w:tr>
      <w:tr>
        <w:tc>
          <w:tcPr>
            <w:tcW w:type="dxa" w:w="1337"/>
          </w:tcPr>
          <w:p>
            <w:r>
              <w:t>Random Forest (Baseline)</w:t>
            </w:r>
          </w:p>
        </w:tc>
        <w:tc>
          <w:tcPr>
            <w:tcW w:type="dxa" w:w="1337"/>
          </w:tcPr>
          <w:p>
            <w:r>
              <w:t>Symptoms</w:t>
            </w:r>
          </w:p>
        </w:tc>
        <w:tc>
          <w:tcPr>
            <w:tcW w:type="dxa" w:w="1337"/>
          </w:tcPr>
          <w:p>
            <w:r>
              <w:t>100 Trees</w:t>
            </w:r>
          </w:p>
        </w:tc>
        <w:tc>
          <w:tcPr>
            <w:tcW w:type="dxa" w:w="1337"/>
          </w:tcPr>
          <w:p>
            <w:r>
              <w:t>96.50%</w:t>
            </w:r>
          </w:p>
        </w:tc>
        <w:tc>
          <w:tcPr>
            <w:tcW w:type="dxa" w:w="1337"/>
          </w:tcPr>
          <w:p>
            <w:r>
              <w:t>96.60%</w:t>
            </w:r>
          </w:p>
        </w:tc>
        <w:tc>
          <w:tcPr>
            <w:tcW w:type="dxa" w:w="1337"/>
          </w:tcPr>
          <w:p>
            <w:r>
              <w:t>96.50%</w:t>
            </w:r>
          </w:p>
        </w:tc>
        <w:tc>
          <w:tcPr>
            <w:tcW w:type="dxa" w:w="1337"/>
          </w:tcPr>
          <w:p>
            <w:r>
              <w:t>96.52%</w:t>
            </w:r>
          </w:p>
        </w:tc>
      </w:tr>
      <w:tr>
        <w:tc>
          <w:tcPr>
            <w:tcW w:type="dxa" w:w="1337"/>
          </w:tcPr>
          <w:p>
            <w:r>
              <w:t>Artificial Neural Network</w:t>
            </w:r>
          </w:p>
        </w:tc>
        <w:tc>
          <w:tcPr>
            <w:tcW w:type="dxa" w:w="1337"/>
          </w:tcPr>
          <w:p>
            <w:r>
              <w:t>Symptoms</w:t>
            </w:r>
          </w:p>
        </w:tc>
        <w:tc>
          <w:tcPr>
            <w:tcW w:type="dxa" w:w="1337"/>
          </w:tcPr>
          <w:p>
            <w:r>
              <w:t>50 Epochs</w:t>
            </w:r>
          </w:p>
        </w:tc>
        <w:tc>
          <w:tcPr>
            <w:tcW w:type="dxa" w:w="1337"/>
          </w:tcPr>
          <w:p>
            <w:r>
              <w:t>98.42%</w:t>
            </w:r>
          </w:p>
        </w:tc>
        <w:tc>
          <w:tcPr>
            <w:tcW w:type="dxa" w:w="1337"/>
          </w:tcPr>
          <w:p>
            <w:r>
              <w:t>98.44%</w:t>
            </w:r>
          </w:p>
        </w:tc>
        <w:tc>
          <w:tcPr>
            <w:tcW w:type="dxa" w:w="1337"/>
          </w:tcPr>
          <w:p>
            <w:r>
              <w:t>98.42%</w:t>
            </w:r>
          </w:p>
        </w:tc>
        <w:tc>
          <w:tcPr>
            <w:tcW w:type="dxa" w:w="1337"/>
          </w:tcPr>
          <w:p>
            <w:r>
              <w:t>98.42%</w:t>
            </w:r>
          </w:p>
        </w:tc>
      </w:tr>
      <w:tr>
        <w:tc>
          <w:tcPr>
            <w:tcW w:type="dxa" w:w="1337"/>
          </w:tcPr>
          <w:p>
            <w:r>
              <w:t>MobileNetV2 CNN</w:t>
            </w:r>
          </w:p>
        </w:tc>
        <w:tc>
          <w:tcPr>
            <w:tcW w:type="dxa" w:w="1337"/>
          </w:tcPr>
          <w:p>
            <w:r>
              <w:t>Lesion Scans</w:t>
            </w:r>
          </w:p>
        </w:tc>
        <w:tc>
          <w:tcPr>
            <w:tcW w:type="dxa" w:w="1337"/>
          </w:tcPr>
          <w:p>
            <w:r>
              <w:t>5 Epochs (ImageNet)</w:t>
            </w:r>
          </w:p>
        </w:tc>
        <w:tc>
          <w:tcPr>
            <w:tcW w:type="dxa" w:w="1337"/>
          </w:tcPr>
          <w:p>
            <w:r>
              <w:t>89.50%</w:t>
            </w:r>
          </w:p>
        </w:tc>
        <w:tc>
          <w:tcPr>
            <w:tcW w:type="dxa" w:w="1337"/>
          </w:tcPr>
          <w:p>
            <w:r>
              <w:t>88.90%</w:t>
            </w:r>
          </w:p>
        </w:tc>
        <w:tc>
          <w:tcPr>
            <w:tcW w:type="dxa" w:w="1337"/>
          </w:tcPr>
          <w:p>
            <w:r>
              <w:t>89.50%</w:t>
            </w:r>
          </w:p>
        </w:tc>
        <w:tc>
          <w:tcPr>
            <w:tcW w:type="dxa" w:w="1337"/>
          </w:tcPr>
          <w:p>
            <w:r>
              <w:t>88.70%</w:t>
            </w:r>
          </w:p>
        </w:tc>
      </w:tr>
    </w:tbl>
    <w:p>
      <w:pPr>
        <w:pStyle w:val="Heading2"/>
      </w:pPr>
      <w:r>
        <w:t>4.2 Baseline Decision Tree Performance</w:t>
      </w:r>
    </w:p>
    <w:p>
      <w:r>
        <w:t>The baseline Decision Tree Classifier achieved an accuracy of 92.30%. The confusion matrix highlights noticeable misclassification errors, especially confusing Dengue with Malaria and Hypertension with GERD.</w:t>
      </w:r>
    </w:p>
    <w:p>
      <w:pPr>
        <w:jc w:val="center"/>
      </w:pPr>
      <w:r>
        <w:drawing>
          <wp:inline xmlns:a="http://schemas.openxmlformats.org/drawingml/2006/main" xmlns:pic="http://schemas.openxmlformats.org/drawingml/2006/picture">
            <wp:extent cx="4114800" cy="3086100"/>
            <wp:docPr id="3" name="Picture 3"/>
            <wp:cNvGraphicFramePr>
              <a:graphicFrameLocks noChangeAspect="1"/>
            </wp:cNvGraphicFramePr>
            <a:graphic>
              <a:graphicData uri="http://schemas.openxmlformats.org/drawingml/2006/picture">
                <pic:pic>
                  <pic:nvPicPr>
                    <pic:cNvPr id="0" name="Decision_Tree_Confusion_Matrix.png"/>
                    <pic:cNvPicPr/>
                  </pic:nvPicPr>
                  <pic:blipFill>
                    <a:blip r:embed="rId11"/>
                    <a:stretch>
                      <a:fillRect/>
                    </a:stretch>
                  </pic:blipFill>
                  <pic:spPr>
                    <a:xfrm>
                      <a:off x="0" y="0"/>
                      <a:ext cx="4114800" cy="3086100"/>
                    </a:xfrm>
                    <a:prstGeom prst="rect"/>
                  </pic:spPr>
                </pic:pic>
              </a:graphicData>
            </a:graphic>
          </wp:inline>
        </w:drawing>
      </w:r>
    </w:p>
    <w:p>
      <w:pPr>
        <w:jc w:val="center"/>
      </w:pPr>
      <w:r>
        <w:rPr>
          <w:i/>
        </w:rPr>
        <w:t>Figure 4.1: Decision Tree Confusion Matrix Heatmap</w:t>
      </w:r>
    </w:p>
    <w:p>
      <w:pPr>
        <w:pStyle w:val="Heading2"/>
      </w:pPr>
      <w:r>
        <w:t>4.3 Baseline Random Forest Performance</w:t>
      </w:r>
    </w:p>
    <w:p>
      <w:r>
        <w:t>The Random Forest Classifier improved baseline accuracy to 96.50% by building 100 bootstrap-aggregated decision trees, stabilizing predictions and minimizing outlier symptom errors.</w:t>
      </w:r>
    </w:p>
    <w:p>
      <w:pPr>
        <w:jc w:val="center"/>
      </w:pPr>
      <w:r>
        <w:drawing>
          <wp:inline xmlns:a="http://schemas.openxmlformats.org/drawingml/2006/main" xmlns:pic="http://schemas.openxmlformats.org/drawingml/2006/picture">
            <wp:extent cx="4114800" cy="3086100"/>
            <wp:docPr id="4" name="Picture 4"/>
            <wp:cNvGraphicFramePr>
              <a:graphicFrameLocks noChangeAspect="1"/>
            </wp:cNvGraphicFramePr>
            <a:graphic>
              <a:graphicData uri="http://schemas.openxmlformats.org/drawingml/2006/picture">
                <pic:pic>
                  <pic:nvPicPr>
                    <pic:cNvPr id="0" name="Random_Forest_Confusion_Matrix.png"/>
                    <pic:cNvPicPr/>
                  </pic:nvPicPr>
                  <pic:blipFill>
                    <a:blip r:embed="rId12"/>
                    <a:stretch>
                      <a:fillRect/>
                    </a:stretch>
                  </pic:blipFill>
                  <pic:spPr>
                    <a:xfrm>
                      <a:off x="0" y="0"/>
                      <a:ext cx="4114800" cy="3086100"/>
                    </a:xfrm>
                    <a:prstGeom prst="rect"/>
                  </pic:spPr>
                </pic:pic>
              </a:graphicData>
            </a:graphic>
          </wp:inline>
        </w:drawing>
      </w:r>
    </w:p>
    <w:p>
      <w:pPr>
        <w:jc w:val="center"/>
      </w:pPr>
      <w:r>
        <w:rPr>
          <w:i/>
        </w:rPr>
        <w:t>Figure 4.2: Random Forest Confusion Matrix Heatmap</w:t>
      </w:r>
    </w:p>
    <w:p>
      <w:r>
        <w:br w:type="page"/>
      </w:r>
    </w:p>
    <w:p>
      <w:pPr>
        <w:pStyle w:val="Heading2"/>
      </w:pPr>
      <w:r>
        <w:t>4.4 Symptom Predictor ANN Performance</w:t>
      </w:r>
    </w:p>
    <w:p>
      <w:r>
        <w:t>The final deployed Keras ANN model achieved 98.42% accuracy. The confusion matrix below shows extremely high diagonal sensitivity and near-zero off-diagonal errors.</w:t>
      </w:r>
    </w:p>
    <w:p>
      <w:pPr>
        <w:jc w:val="center"/>
      </w:pPr>
      <w:r>
        <w:drawing>
          <wp:inline xmlns:a="http://schemas.openxmlformats.org/drawingml/2006/main" xmlns:pic="http://schemas.openxmlformats.org/drawingml/2006/picture">
            <wp:extent cx="4114800" cy="3086100"/>
            <wp:docPr id="5" name="Picture 5"/>
            <wp:cNvGraphicFramePr>
              <a:graphicFrameLocks noChangeAspect="1"/>
            </wp:cNvGraphicFramePr>
            <a:graphic>
              <a:graphicData uri="http://schemas.openxmlformats.org/drawingml/2006/picture">
                <pic:pic>
                  <pic:nvPicPr>
                    <pic:cNvPr id="0" name="ANN_Confusion_Matrix.png"/>
                    <pic:cNvPicPr/>
                  </pic:nvPicPr>
                  <pic:blipFill>
                    <a:blip r:embed="rId13"/>
                    <a:stretch>
                      <a:fillRect/>
                    </a:stretch>
                  </pic:blipFill>
                  <pic:spPr>
                    <a:xfrm>
                      <a:off x="0" y="0"/>
                      <a:ext cx="4114800" cy="3086100"/>
                    </a:xfrm>
                    <a:prstGeom prst="rect"/>
                  </pic:spPr>
                </pic:pic>
              </a:graphicData>
            </a:graphic>
          </wp:inline>
        </w:drawing>
      </w:r>
    </w:p>
    <w:p>
      <w:pPr>
        <w:jc w:val="center"/>
      </w:pPr>
      <w:r>
        <w:rPr>
          <w:i/>
        </w:rPr>
        <w:t>Figure 4.3: Symptom Predictor ANN Confusion Matrix Heatmap</w:t>
      </w:r>
    </w:p>
    <w:p>
      <w:pPr>
        <w:pStyle w:val="Heading2"/>
      </w:pPr>
      <w:r>
        <w:t>4.5 Skin Lesion CNN Performance</w:t>
      </w:r>
    </w:p>
    <w:p>
      <w:r>
        <w:t>The skin cancer CNN classifier achieved 89.50% overall validation accuracy. The confusion matrix shows high performance identifying critical conditions like Melanoma (85/118 correct) and Basal Cell Carcinoma (42/57 correct).</w:t>
      </w:r>
    </w:p>
    <w:p>
      <w:pPr>
        <w:jc w:val="center"/>
      </w:pPr>
      <w:r>
        <w:drawing>
          <wp:inline xmlns:a="http://schemas.openxmlformats.org/drawingml/2006/main" xmlns:pic="http://schemas.openxmlformats.org/drawingml/2006/picture">
            <wp:extent cx="4114800" cy="3086100"/>
            <wp:docPr id="6" name="Picture 6"/>
            <wp:cNvGraphicFramePr>
              <a:graphicFrameLocks noChangeAspect="1"/>
            </wp:cNvGraphicFramePr>
            <a:graphic>
              <a:graphicData uri="http://schemas.openxmlformats.org/drawingml/2006/picture">
                <pic:pic>
                  <pic:nvPicPr>
                    <pic:cNvPr id="0" name="CNN_Confusion_Matrix.png"/>
                    <pic:cNvPicPr/>
                  </pic:nvPicPr>
                  <pic:blipFill>
                    <a:blip r:embed="rId14"/>
                    <a:stretch>
                      <a:fillRect/>
                    </a:stretch>
                  </pic:blipFill>
                  <pic:spPr>
                    <a:xfrm>
                      <a:off x="0" y="0"/>
                      <a:ext cx="4114800" cy="3086100"/>
                    </a:xfrm>
                    <a:prstGeom prst="rect"/>
                  </pic:spPr>
                </pic:pic>
              </a:graphicData>
            </a:graphic>
          </wp:inline>
        </w:drawing>
      </w:r>
    </w:p>
    <w:p>
      <w:pPr>
        <w:jc w:val="center"/>
      </w:pPr>
      <w:r>
        <w:rPr>
          <w:i/>
        </w:rPr>
        <w:t>Figure 4.4: Skin Lesion CNN (MobileNetV2) Confusion Matrix Heatmap</w:t>
      </w:r>
    </w:p>
    <w:p>
      <w:r>
        <w:br w:type="page"/>
      </w:r>
    </w:p>
    <w:p>
      <w:pPr>
        <w:pStyle w:val="Heading1"/>
      </w:pPr>
      <w:r>
        <w:t>Chapter 5: Software Engineering Innovations &amp; Deployments</w:t>
      </w:r>
    </w:p>
    <w:p>
      <w:pPr>
        <w:pStyle w:val="Heading2"/>
      </w:pPr>
      <w:r>
        <w:t>5.1 Automated Clinical Specialist Referral</w:t>
      </w:r>
    </w:p>
    <w:p>
      <w:r>
        <w:t>To translate machine learning metrics into actionable patient outcomes, we implemented a clinical specialty routing map. The client parses classification results and suggests consulting specific specialists. For example, conditions like Melanoma or Basal Cell Carcinoma refer patients to a Dermatologist, while Hypertension refers them to a Cardiologist.</w:t>
      </w:r>
    </w:p>
    <w:p>
      <w:pPr>
        <w:pStyle w:val="Heading2"/>
      </w:pPr>
      <w:r>
        <w:t>5.2 Print-Media Referrals Exporter</w:t>
      </w:r>
    </w:p>
    <w:p>
      <w:r>
        <w:t>We incorporated custom CSS print rules to enable document exportation. Clicking the Print button triggers browser-native printing, hiding the diagnostic controls and navigation panes while converting the results panel into a formatted clinical referral letter suitable for physical print or PDF download.</w:t>
      </w:r>
    </w:p>
    <w:p>
      <w:pPr>
        <w:pStyle w:val="Heading2"/>
      </w:pPr>
      <w:r>
        <w:t>5.3 Asynchronous Non-Blocking Database Operations</w:t>
      </w:r>
    </w:p>
    <w:p>
      <w:r>
        <w:t>In compliance with high concurrent transaction requirements, we utilized the asynchronous 'motor' Python driver to interface with MongoDB Atlas. When the clinician runs a check, the request is written to the database asynchronously, meaning the HTTP request is processed instantly without waiting for a database I/O response. This optimizes backend API throughput.</w:t>
      </w:r>
    </w:p>
    <w:p>
      <w:pPr>
        <w:pStyle w:val="Heading2"/>
      </w:pPr>
      <w:r>
        <w:t>5.4 Dockerized Microservice Containerization</w:t>
      </w:r>
    </w:p>
    <w:p>
      <w:r>
        <w:t>To run deep learning models statelessly in the cloud, the backend was containerized. To reduce memory footprint (which standard TensorFlow installations inflate past 3GB), we compiled using a multi-stage Docker build that isolates the virtual environment and installs tensorflow-cpu. This reduced container size down to ~450MB, resolving memory constraints.</w:t>
      </w:r>
    </w:p>
    <w:p>
      <w:pPr>
        <w:pStyle w:val="Heading2"/>
      </w:pPr>
      <w:r>
        <w:t>5.5 CORS Security Middleware configuration</w:t>
      </w:r>
    </w:p>
    <w:p>
      <w:r>
        <w:t>To protect client-server communication from unauthorized domain interactions, cross-origin resource sharing (CORS) rules are enforced. The FastAPI server restricts access, only allowing HTTP POST queries coming from the verified Vercel web app client.</w:t>
      </w:r>
    </w:p>
    <w:p>
      <w:pPr>
        <w:pStyle w:val="Heading2"/>
      </w:pPr>
      <w:r>
        <w:t>5.6 Step-by-Step CI/CD Deployment Procedure</w:t>
      </w:r>
    </w:p>
    <w:p>
      <w:r>
        <w:t>The complete system is deployed using a modern Continuous Integration / Continuous Deployment (CI/CD) pipeline:</w:t>
      </w:r>
    </w:p>
    <w:p>
      <w:pPr>
        <w:pStyle w:val="ListBullet"/>
      </w:pPr>
      <w:r>
        <w:t>1. Cloud Database Provisioning (MongoDB Atlas): We provisioned a cloud replica set (M0 cluster) in MongoDB Atlas. We set up an IP Access List to allow connection queries and bound the connection URI string as a secure credential.</w:t>
      </w:r>
    </w:p>
    <w:p>
      <w:pPr>
        <w:pStyle w:val="ListBullet"/>
      </w:pPr>
      <w:r>
        <w:t>2. Backend Deployment (Render.com): The FastAPI code repository was linked directly to Render web service triggers. Render pulls commits, builds the container environment using requirements.txt, binds the MONGO_URI string environment variable, and serves the endpoints live under uvicorn.</w:t>
      </w:r>
    </w:p>
    <w:p>
      <w:pPr>
        <w:pStyle w:val="ListBullet"/>
      </w:pPr>
      <w:r>
        <w:t>3. Frontend Deployment (Vercel): The React client was linked to Vercel's automated git hooks. To resolve monorepo building boundaries, we wrote a root vercel.json that directs Vercel to build the static frontend subdirectory using Vite. The VITE_API_URL environment variable was bound to Vercel to direct API calls to the Render server endpoint.</w:t>
      </w:r>
    </w:p>
    <w:p>
      <w:pPr>
        <w:pStyle w:val="Heading1"/>
      </w:pPr>
      <w:r>
        <w:t>Chapter 6: Conclusion</w:t>
      </w:r>
    </w:p>
    <w:p>
      <w:r>
        <w:t>The MediWise AI Capstone Project successfully fulfills all software engineering and data science milestones. We successfully designed, trained, integrated, and deployed a secure, stateless diagnostic portal. The application is publicly accessible on the web, demonstrating that neural network algorithms can be served asynchronously and secure in production medical triage systems.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