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br/>
        <w:br/>
        <w:t>Jayanth Thenepalle</w:t>
        <w:br/>
        <w:br/>
      </w:r>
      <w:r>
        <w:rPr>
          <w:b/>
          <w:sz w:val="28"/>
        </w:rPr>
        <w:t>MEDIWISE AI: AN INTELLIGENT CLINICAL DIAGNOSIS PORTAL FOR TRIAGE AND LESION CLASSIFICATION UNDER UNCERTAINTY</w:t>
        <w:br/>
        <w:br/>
      </w:r>
      <w:r>
        <w:rPr>
          <w:b/>
          <w:sz w:val="24"/>
        </w:rPr>
        <w:t>EBTM 881 CAPSTONE PROJECT</w:t>
        <w:br/>
        <w:br/>
      </w:r>
      <w:r>
        <w:rPr>
          <w:b/>
          <w:sz w:val="24"/>
        </w:rPr>
        <w:t>ADVISOR: Dr. Faculty Supervisor</w:t>
      </w:r>
    </w:p>
    <w:p>
      <w:r>
        <w:br w:type="page"/>
      </w:r>
    </w:p>
    <w:p>
      <w:pPr>
        <w:jc w:val="left"/>
      </w:pPr>
      <w:r>
        <w:rPr>
          <w:b/>
          <w:sz w:val="28"/>
        </w:rPr>
        <w:t>Table of Contents</w:t>
        <w:br/>
        <w:br/>
      </w:r>
    </w:p>
    <w:p>
      <w:r>
        <w:rPr>
          <w:rFonts w:ascii="Calibri" w:hAnsi="Calibri"/>
          <w:sz w:val="22"/>
        </w:rPr>
        <w:t>Table of Contents.........................................................................................................................................2</w:t>
      </w:r>
    </w:p>
    <w:p>
      <w:r>
        <w:rPr>
          <w:rFonts w:ascii="Calibri" w:hAnsi="Calibri"/>
          <w:sz w:val="22"/>
        </w:rPr>
        <w:t>1. Introduction &amp; Problem Motivation........................................................................................................3</w:t>
      </w:r>
    </w:p>
    <w:p>
      <w:r>
        <w:rPr>
          <w:rFonts w:ascii="Calibri" w:hAnsi="Calibri"/>
          <w:sz w:val="22"/>
        </w:rPr>
        <w:t xml:space="preserve">   1.1 Section Headings &amp; Bullets............................................................................................................3</w:t>
      </w:r>
    </w:p>
    <w:p>
      <w:r>
        <w:rPr>
          <w:rFonts w:ascii="Calibri" w:hAnsi="Calibri"/>
          <w:sz w:val="22"/>
        </w:rPr>
        <w:t xml:space="preserve">   1.2 Figures and Tables..........................................................................................................................4</w:t>
      </w:r>
    </w:p>
    <w:p>
      <w:r>
        <w:rPr>
          <w:rFonts w:ascii="Calibri" w:hAnsi="Calibri"/>
          <w:sz w:val="22"/>
        </w:rPr>
        <w:t>2. Problem Statement..................................................................................................................................4</w:t>
      </w:r>
    </w:p>
    <w:p>
      <w:r>
        <w:rPr>
          <w:rFonts w:ascii="Calibri" w:hAnsi="Calibri"/>
          <w:sz w:val="22"/>
        </w:rPr>
        <w:t>3. Background &amp; Literature Review.............................................................................................................5</w:t>
      </w:r>
    </w:p>
    <w:p>
      <w:r>
        <w:rPr>
          <w:rFonts w:ascii="Calibri" w:hAnsi="Calibri"/>
          <w:sz w:val="22"/>
        </w:rPr>
        <w:t>4. Data...........................................................................................................................................................5</w:t>
      </w:r>
    </w:p>
    <w:p>
      <w:r>
        <w:rPr>
          <w:rFonts w:ascii="Calibri" w:hAnsi="Calibri"/>
          <w:sz w:val="22"/>
        </w:rPr>
        <w:t>5. Model and Analysis..................................................................................................................................6</w:t>
      </w:r>
    </w:p>
    <w:p>
      <w:r>
        <w:rPr>
          <w:rFonts w:ascii="Calibri" w:hAnsi="Calibri"/>
          <w:sz w:val="22"/>
        </w:rPr>
        <w:t>6. Results and Recommendations...............................................................................................................7</w:t>
      </w:r>
    </w:p>
    <w:p>
      <w:r>
        <w:rPr>
          <w:rFonts w:ascii="Calibri" w:hAnsi="Calibri"/>
          <w:sz w:val="22"/>
        </w:rPr>
        <w:t>7. Conclusions...............................................................................................................................................9</w:t>
      </w:r>
    </w:p>
    <w:p>
      <w:r>
        <w:rPr>
          <w:rFonts w:ascii="Calibri" w:hAnsi="Calibri"/>
          <w:sz w:val="22"/>
        </w:rPr>
        <w:t>8. Acknowledgements..................................................................................................................................9</w:t>
      </w:r>
    </w:p>
    <w:p>
      <w:r>
        <w:rPr>
          <w:rFonts w:ascii="Calibri" w:hAnsi="Calibri"/>
          <w:sz w:val="22"/>
        </w:rPr>
        <w:t>9. References................................................................................................................................................9</w:t>
      </w:r>
    </w:p>
    <w:p>
      <w:r>
        <w:br w:type="page"/>
      </w:r>
    </w:p>
    <w:p>
      <w:pPr>
        <w:spacing w:before="240" w:after="240"/>
      </w:pPr>
      <w:r>
        <w:rPr>
          <w:rFonts w:ascii="Calibri" w:hAnsi="Calibri"/>
          <w:b/>
          <w:sz w:val="28"/>
          <w:u w:val="single"/>
        </w:rPr>
        <w:t>1. Introduction &amp; Problem Motivation</w:t>
      </w:r>
    </w:p>
    <w:p>
      <w:pPr>
        <w:spacing w:after="220" w:line="276" w:lineRule="auto"/>
        <w:jc w:val="both"/>
      </w:pPr>
      <w:r>
        <w:rPr>
          <w:rFonts w:ascii="Calibri" w:hAnsi="Calibri"/>
          <w:sz w:val="22"/>
        </w:rPr>
        <w:t>In modern healthcare systems, delayed or inaccessible preliminary diagnostic guidance represents a critical challenge, often leading to poor patient outcomes. This Capstone Project presents MediWise AI, a multi-tier, cloud-native web application designed to deliver secure, scalable, and interpretable clinical predictions under uncertainty. The system integrates a dynamic React.js frontend with an asynchronous FastAPI backend and a centralized MongoDB Atlas cloud database. The predictive core comprises two distinct machine learning models: a feedforward Artificial Neural Network (ANN) trained on 132 symptoms to classify 41 diseases with 98.42% accuracy, and a Convolutional Neural Network (CNN) employing MobileNetV2 transfer learning trained on 10,015 HAM10000 dermoscopy images to classify 7 lesion types with 89.5% accuracy.</w:t>
      </w:r>
    </w:p>
    <w:p>
      <w:pPr>
        <w:spacing w:after="220" w:line="276" w:lineRule="auto"/>
        <w:jc w:val="both"/>
      </w:pPr>
      <w:r>
        <w:rPr>
          <w:rFonts w:ascii="Calibri" w:hAnsi="Calibri"/>
          <w:sz w:val="22"/>
        </w:rPr>
        <w:t>The primary software engineering and machine learning objectives of this capstone include designing a stateless, horizontally scalable API architecture capable of processing parallel client requests while maintaining model security and cloud persistence. By deploying the core neural network models on a secured Python server rather than client-side, the system ensures model security, centralizes updates, and enables horizontal scaling.</w:t>
      </w:r>
    </w:p>
    <w:p>
      <w:pPr>
        <w:spacing w:before="240" w:after="240"/>
      </w:pPr>
      <w:r>
        <w:rPr>
          <w:rFonts w:ascii="Calibri" w:hAnsi="Calibri"/>
          <w:b/>
          <w:sz w:val="24"/>
        </w:rPr>
        <w:t>1.1 Section Headings &amp; Bullets</w:t>
      </w:r>
    </w:p>
    <w:p>
      <w:pPr>
        <w:spacing w:after="220" w:line="276" w:lineRule="auto"/>
        <w:jc w:val="both"/>
      </w:pPr>
      <w:r>
        <w:rPr>
          <w:rFonts w:ascii="Calibri" w:hAnsi="Calibri"/>
          <w:sz w:val="22"/>
        </w:rPr>
        <w:t>This subsection outlines the structural conventions applied to ensure consistency throughout this capstone document. Specific bullet guidelines are outlined below:</w:t>
      </w:r>
    </w:p>
    <w:p>
      <w:pPr>
        <w:pStyle w:val="ListBullet"/>
        <w:spacing w:after="120"/>
        <w:ind w:left="360"/>
      </w:pPr>
      <w:r>
        <w:rPr>
          <w:rFonts w:ascii="Calibri" w:hAnsi="Calibri"/>
          <w:sz w:val="22"/>
        </w:rPr>
        <w:t>First level bullet.</w:t>
      </w:r>
    </w:p>
    <w:p>
      <w:pPr>
        <w:pStyle w:val="ListBullet"/>
        <w:spacing w:after="120"/>
        <w:ind w:left="720"/>
      </w:pPr>
      <w:r>
        <w:rPr>
          <w:rFonts w:ascii="Calibri" w:hAnsi="Calibri"/>
          <w:sz w:val="22"/>
        </w:rPr>
        <w:t>Second level bullet.</w:t>
      </w:r>
    </w:p>
    <w:p>
      <w:pPr>
        <w:pStyle w:val="ListBullet"/>
        <w:spacing w:after="120"/>
        <w:ind w:left="1080"/>
      </w:pPr>
      <w:r>
        <w:rPr>
          <w:rFonts w:ascii="Calibri" w:hAnsi="Calibri"/>
          <w:sz w:val="22"/>
        </w:rPr>
        <w:t>Third level bullet.</w:t>
      </w:r>
    </w:p>
    <w:p>
      <w:pPr>
        <w:spacing w:before="240" w:after="240"/>
      </w:pPr>
      <w:r>
        <w:rPr>
          <w:rFonts w:ascii="Calibri" w:hAnsi="Calibri"/>
          <w:b/>
          <w:sz w:val="24"/>
        </w:rPr>
        <w:t>1.2 Figures and Tables</w:t>
      </w:r>
    </w:p>
    <w:p>
      <w:pPr>
        <w:spacing w:after="220" w:line="276" w:lineRule="auto"/>
        <w:jc w:val="both"/>
      </w:pPr>
      <w:r>
        <w:rPr>
          <w:rFonts w:ascii="Calibri" w:hAnsi="Calibri"/>
          <w:sz w:val="22"/>
        </w:rPr>
        <w:t>Figures and tables are integrated directly within the text flow to verify system layout implementations. Figure 1.1 illustrates the clinical data pipeline flowchart mapping symptom and image checker transactions. Figure 1.2 illustrates the decoupled three-tier system architecture.</w:t>
      </w:r>
    </w:p>
    <w:p>
      <w:pPr>
        <w:spacing w:after="120"/>
      </w:pPr>
    </w:p>
    <w:p>
      <w:pPr>
        <w:spacing w:after="120"/>
        <w:jc w:val="center"/>
      </w:pPr>
      <w:r>
        <w:drawing>
          <wp:inline xmlns:a="http://schemas.openxmlformats.org/drawingml/2006/main" xmlns:pic="http://schemas.openxmlformats.org/drawingml/2006/picture">
            <wp:extent cx="4114800" cy="6566535"/>
            <wp:docPr id="1" name="Picture 1"/>
            <wp:cNvGraphicFramePr>
              <a:graphicFrameLocks noChangeAspect="1"/>
            </wp:cNvGraphicFramePr>
            <a:graphic>
              <a:graphicData uri="http://schemas.openxmlformats.org/drawingml/2006/picture">
                <pic:pic>
                  <pic:nvPicPr>
                    <pic:cNvPr id="0" name="Clinical_Workflow.png"/>
                    <pic:cNvPicPr/>
                  </pic:nvPicPr>
                  <pic:blipFill>
                    <a:blip r:embed="rId9"/>
                    <a:stretch>
                      <a:fillRect/>
                    </a:stretch>
                  </pic:blipFill>
                  <pic:spPr>
                    <a:xfrm>
                      <a:off x="0" y="0"/>
                      <a:ext cx="4114800" cy="6566535"/>
                    </a:xfrm>
                    <a:prstGeom prst="rect"/>
                  </pic:spPr>
                </pic:pic>
              </a:graphicData>
            </a:graphic>
          </wp:inline>
        </w:drawing>
      </w:r>
    </w:p>
    <w:p>
      <w:pPr>
        <w:spacing w:after="240"/>
        <w:jc w:val="center"/>
      </w:pPr>
      <w:r>
        <w:rPr>
          <w:rFonts w:ascii="Calibri" w:hAnsi="Calibri"/>
          <w:sz w:val="20"/>
        </w:rPr>
        <w:t>Figure 1: Example clinical workflow data pipeline flowchart</w:t>
      </w:r>
    </w:p>
    <w:p>
      <w:pPr>
        <w:spacing w:after="120"/>
      </w:pPr>
    </w:p>
    <w:p>
      <w:pPr>
        <w:spacing w:after="120"/>
      </w:pPr>
    </w:p>
    <w:p>
      <w:pPr>
        <w:spacing w:after="120"/>
        <w:jc w:val="center"/>
      </w:pPr>
      <w:r>
        <w:drawing>
          <wp:inline xmlns:a="http://schemas.openxmlformats.org/drawingml/2006/main" xmlns:pic="http://schemas.openxmlformats.org/drawingml/2006/picture">
            <wp:extent cx="4114800" cy="408397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114800" cy="4083978"/>
                    </a:xfrm>
                    <a:prstGeom prst="rect"/>
                  </pic:spPr>
                </pic:pic>
              </a:graphicData>
            </a:graphic>
          </wp:inline>
        </w:drawing>
      </w:r>
    </w:p>
    <w:p>
      <w:pPr>
        <w:spacing w:after="240"/>
        <w:jc w:val="center"/>
      </w:pPr>
      <w:r>
        <w:rPr>
          <w:rFonts w:ascii="Calibri" w:hAnsi="Calibri"/>
          <w:sz w:val="20"/>
        </w:rPr>
        <w:t>Figure 2: Example system architecture layout</w:t>
      </w:r>
    </w:p>
    <w:p>
      <w:pPr>
        <w:spacing w:after="120"/>
      </w:pPr>
    </w:p>
    <w:p>
      <w:pPr>
        <w:spacing w:before="240" w:after="240"/>
      </w:pPr>
      <w:r>
        <w:rPr>
          <w:rFonts w:ascii="Calibri" w:hAnsi="Calibri"/>
          <w:b/>
          <w:sz w:val="28"/>
          <w:u w:val="single"/>
        </w:rPr>
        <w:t>2. Problem Statement</w:t>
      </w:r>
    </w:p>
    <w:p>
      <w:pPr>
        <w:spacing w:after="220" w:line="276" w:lineRule="auto"/>
        <w:jc w:val="both"/>
      </w:pPr>
      <w:r>
        <w:rPr>
          <w:rFonts w:ascii="Calibri" w:hAnsi="Calibri"/>
          <w:sz w:val="22"/>
        </w:rPr>
        <w:t>Medical triage systems frequently struggle to handle patient inputs under clinical uncertainty constraints. These constraints manifest as sparse or incomplete symptom checklists, clinical noise, and subjective patient descriptions. In addition, client-side model execution exposes proprietary network weights to security vulnerabilities and is restricted by local client computing resources.</w:t>
      </w:r>
    </w:p>
    <w:p>
      <w:pPr>
        <w:spacing w:after="220" w:line="276" w:lineRule="auto"/>
        <w:jc w:val="both"/>
      </w:pPr>
      <w:r>
        <w:rPr>
          <w:rFonts w:ascii="Calibri" w:hAnsi="Calibri"/>
          <w:sz w:val="22"/>
        </w:rPr>
        <w:t>To address these issues, this project implements a highly secure, server-side neural network inference engine integrated with a decoupled React client and MongoDB logging persistence. The scope of analysis covers: tabular symptom triaging across 41 classes, automated dermoscopic scan classification across 7 skin lesion types, asynchronous database logging, and clinical care specialist referrals.</w:t>
      </w:r>
    </w:p>
    <w:p>
      <w:pPr>
        <w:spacing w:before="240" w:after="240"/>
      </w:pPr>
      <w:r>
        <w:rPr>
          <w:rFonts w:ascii="Calibri" w:hAnsi="Calibri"/>
          <w:b/>
          <w:sz w:val="28"/>
          <w:u w:val="single"/>
        </w:rPr>
        <w:t>3. Background &amp; Literature Review</w:t>
      </w:r>
    </w:p>
    <w:p>
      <w:pPr>
        <w:spacing w:after="220" w:line="276" w:lineRule="auto"/>
        <w:jc w:val="both"/>
      </w:pPr>
      <w:r>
        <w:rPr>
          <w:rFonts w:ascii="Calibri" w:hAnsi="Calibri"/>
          <w:sz w:val="22"/>
        </w:rPr>
        <w:t>Prior research in healthcare automation highlights the utility of deep learning models for classification tasks. For tabular symptom mapping, feedforward Artificial Neural Networks (ANNs) have demonstrated superior precision compared to traditional decision trees due to their capacity to capture non-linear feature interactions. For image classification, MobileNetV2 stands out as an efficient Convolutional Neural Network (CNN) architecture, employing depthwise separable convolutions to maintain high performance with a low parameter footprint. This project builds on these models, deploying them statelessly using FastAPI to support scale.</w:t>
      </w:r>
    </w:p>
    <w:p>
      <w:pPr>
        <w:spacing w:after="220" w:line="276" w:lineRule="auto"/>
        <w:jc w:val="both"/>
      </w:pPr>
      <w:r>
        <w:rPr>
          <w:rFonts w:ascii="Calibri" w:hAnsi="Calibri"/>
          <w:sz w:val="22"/>
        </w:rPr>
        <w:t>Table 1 summarizes key literature reviewed to guide the design of the MediWise Intelligent Diagnosis portal:</w:t>
      </w:r>
    </w:p>
    <w:p>
      <w:pPr>
        <w:jc w:val="center"/>
      </w:pPr>
      <w:r>
        <w:rPr>
          <w:rFonts w:ascii="Calibri" w:hAnsi="Calibri"/>
          <w:sz w:val="20"/>
        </w:rPr>
        <w:t>Table 1: Literature Review Matrix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Author (Year)</w:t>
            </w:r>
          </w:p>
        </w:tc>
        <w:tc>
          <w:tcPr>
            <w:tcW w:type="dxa" w:w="2340"/>
          </w:tcPr>
          <w:p>
            <w:r>
              <w:t>Methodology</w:t>
            </w:r>
          </w:p>
        </w:tc>
        <w:tc>
          <w:tcPr>
            <w:tcW w:type="dxa" w:w="2340"/>
          </w:tcPr>
          <w:p>
            <w:r>
              <w:t>Key Findings</w:t>
            </w:r>
          </w:p>
        </w:tc>
        <w:tc>
          <w:tcPr>
            <w:tcW w:type="dxa" w:w="2340"/>
          </w:tcPr>
          <w:p>
            <w:r>
              <w:t>MediWise Integration / Improvement</w:t>
            </w:r>
          </w:p>
        </w:tc>
      </w:tr>
      <w:tr>
        <w:tc>
          <w:tcPr>
            <w:tcW w:type="dxa" w:w="2340"/>
          </w:tcPr>
          <w:p>
            <w:r>
              <w:t>Tschandl et al. (2018)</w:t>
            </w:r>
          </w:p>
        </w:tc>
        <w:tc>
          <w:tcPr>
            <w:tcW w:type="dxa" w:w="2340"/>
          </w:tcPr>
          <w:p>
            <w:r>
              <w:t>HAM10000 dataset collection &amp; SVM baseline.</w:t>
            </w:r>
          </w:p>
        </w:tc>
        <w:tc>
          <w:tcPr>
            <w:tcW w:type="dxa" w:w="2340"/>
          </w:tcPr>
          <w:p>
            <w:r>
              <w:t>10,015 pigmented skin lesion images for ML validation.</w:t>
            </w:r>
          </w:p>
        </w:tc>
        <w:tc>
          <w:tcPr>
            <w:tcW w:type="dxa" w:w="2340"/>
          </w:tcPr>
          <w:p>
            <w:r>
              <w:t>Extends classification using Transfer Learning MobileNetV2 CNN, improving baseline accuracy to 89.5%.</w:t>
            </w:r>
          </w:p>
        </w:tc>
      </w:tr>
      <w:tr>
        <w:tc>
          <w:tcPr>
            <w:tcW w:type="dxa" w:w="2340"/>
          </w:tcPr>
          <w:p>
            <w:r>
              <w:t>Sandler et al. (2018)</w:t>
            </w:r>
          </w:p>
        </w:tc>
        <w:tc>
          <w:tcPr>
            <w:tcW w:type="dxa" w:w="2340"/>
          </w:tcPr>
          <w:p>
            <w:r>
              <w:t>MobileNetV2 inverted residual block architecture.</w:t>
            </w:r>
          </w:p>
        </w:tc>
        <w:tc>
          <w:tcPr>
            <w:tcW w:type="dxa" w:w="2340"/>
          </w:tcPr>
          <w:p>
            <w:r>
              <w:t>Optimizes parameter count and memory usage for edge devices.</w:t>
            </w:r>
          </w:p>
        </w:tc>
        <w:tc>
          <w:tcPr>
            <w:tcW w:type="dxa" w:w="2340"/>
          </w:tcPr>
          <w:p>
            <w:r>
              <w:t>Leveraged MobileNetV2 to shrink model footprint in cloud server to ~340MB, enabling free-tier deployment.</w:t>
            </w:r>
          </w:p>
        </w:tc>
      </w:tr>
      <w:tr>
        <w:tc>
          <w:tcPr>
            <w:tcW w:type="dxa" w:w="2340"/>
          </w:tcPr>
          <w:p>
            <w:r>
              <w:t>Esteva et al. (2017)</w:t>
            </w:r>
          </w:p>
        </w:tc>
        <w:tc>
          <w:tcPr>
            <w:tcW w:type="dxa" w:w="2340"/>
          </w:tcPr>
          <w:p>
            <w:r>
              <w:t>Dermatologist-level skin cancer classification using deep CNNs.</w:t>
            </w:r>
          </w:p>
        </w:tc>
        <w:tc>
          <w:tcPr>
            <w:tcW w:type="dxa" w:w="2340"/>
          </w:tcPr>
          <w:p>
            <w:r>
              <w:t>Validated deep learning capability matching professional clinical sensitivity.</w:t>
            </w:r>
          </w:p>
        </w:tc>
        <w:tc>
          <w:tcPr>
            <w:tcW w:type="dxa" w:w="2340"/>
          </w:tcPr>
          <w:p>
            <w:r>
              <w:t>Translates deep neural scans into a web portal providing preliminary skin diagnostic screenings.</w:t>
            </w:r>
          </w:p>
        </w:tc>
      </w:tr>
      <w:tr>
        <w:tc>
          <w:tcPr>
            <w:tcW w:type="dxa" w:w="2340"/>
          </w:tcPr>
          <w:p>
            <w:r>
              <w:t>Chen et al. (2020)</w:t>
            </w:r>
          </w:p>
        </w:tc>
        <w:tc>
          <w:tcPr>
            <w:tcW w:type="dxa" w:w="2340"/>
          </w:tcPr>
          <w:p>
            <w:r>
              <w:t>Clinical Decision Support Systems (CDSS) built with Relational DBs.</w:t>
            </w:r>
          </w:p>
        </w:tc>
        <w:tc>
          <w:tcPr>
            <w:tcW w:type="dxa" w:w="2340"/>
          </w:tcPr>
          <w:p>
            <w:r>
              <w:t>Database locks bottleneck backend servers during concurrent sessions.</w:t>
            </w:r>
          </w:p>
        </w:tc>
        <w:tc>
          <w:tcPr>
            <w:tcW w:type="dxa" w:w="2340"/>
          </w:tcPr>
          <w:p>
            <w:r>
              <w:t>Implements asynchronous Motor client with MongoDB Atlas, removing I/O blocking from the HTTP thread.</w:t>
            </w:r>
          </w:p>
        </w:tc>
      </w:tr>
    </w:tbl>
    <w:p>
      <w:pPr>
        <w:spacing w:before="240" w:after="240"/>
      </w:pPr>
      <w:r>
        <w:rPr>
          <w:rFonts w:ascii="Calibri" w:hAnsi="Calibri"/>
          <w:b/>
          <w:sz w:val="28"/>
          <w:u w:val="single"/>
        </w:rPr>
        <w:t>4. Data</w:t>
      </w:r>
    </w:p>
    <w:p>
      <w:pPr>
        <w:spacing w:after="220" w:line="276" w:lineRule="auto"/>
        <w:jc w:val="both"/>
      </w:pPr>
      <w:r>
        <w:rPr>
          <w:rFonts w:ascii="Calibri" w:hAnsi="Calibri"/>
          <w:sz w:val="22"/>
        </w:rPr>
        <w:t>The Capstone Project leverages two clinical datasets for training and validation:</w:t>
      </w:r>
    </w:p>
    <w:p>
      <w:pPr>
        <w:pStyle w:val="ListBullet"/>
        <w:spacing w:after="120"/>
        <w:ind w:left="360"/>
      </w:pPr>
      <w:r>
        <w:rPr>
          <w:rFonts w:ascii="Calibri" w:hAnsi="Calibri"/>
          <w:sz w:val="22"/>
        </w:rPr>
        <w:t>Symptom Dataset: Ingested from the Columbia University / Kaggle Disease Prediction dataset. It comprises 49,200 observation rows mapping 132 sparse binary symptoms to 41 target diseases. Normalization is bypassed to preserve binary sparsity.</w:t>
      </w:r>
    </w:p>
    <w:p>
      <w:pPr>
        <w:pStyle w:val="ListBullet"/>
        <w:spacing w:after="120"/>
        <w:ind w:left="360"/>
      </w:pPr>
      <w:r>
        <w:rPr>
          <w:rFonts w:ascii="Calibri" w:hAnsi="Calibri"/>
          <w:sz w:val="22"/>
        </w:rPr>
        <w:t>Skin Lesion Dataset: Ingested from the HAM10000 (Human Against Machine) dataset hosted on Harvard Dataverse, containing 10,015 dermoscopy scans. Images are normalized to 224x224x3 resolutions and pixel intensities are rescaled from [0, 255] to [0.0, 1.0].</w:t>
      </w:r>
    </w:p>
    <w:p>
      <w:pPr>
        <w:spacing w:after="220" w:line="276" w:lineRule="auto"/>
        <w:jc w:val="both"/>
      </w:pPr>
      <w:r>
        <w:rPr>
          <w:rFonts w:ascii="Calibri" w:hAnsi="Calibri"/>
          <w:sz w:val="22"/>
        </w:rPr>
        <w:t>Image augmentations (rotations, shifts, flips, and shear/zoom) are applied in real-time to prevent model overfitting. A 20% holdout validation partition is utilized to monitor accuracy during training.</w:t>
      </w:r>
    </w:p>
    <w:p>
      <w:pPr>
        <w:spacing w:before="240" w:after="240"/>
      </w:pPr>
      <w:r>
        <w:rPr>
          <w:rFonts w:ascii="Calibri" w:hAnsi="Calibri"/>
          <w:b/>
          <w:sz w:val="28"/>
          <w:u w:val="single"/>
        </w:rPr>
        <w:t>5. Model and Analysis</w:t>
      </w:r>
    </w:p>
    <w:p>
      <w:pPr>
        <w:spacing w:after="220" w:line="276" w:lineRule="auto"/>
        <w:jc w:val="both"/>
      </w:pPr>
      <w:r>
        <w:rPr>
          <w:rFonts w:ascii="Calibri" w:hAnsi="Calibri"/>
          <w:sz w:val="22"/>
        </w:rPr>
        <w:t>The clinical application is engineered using a three-tier decoupled structure. The frontend is a React.js SPA utilizing state hooks and animated SVGs to present a clinic-ready console. The FastAPI backend loads trained model weights into RAM during startup to execute inference in-memory, avoiding I/O bottlenecks. Database operations utilize the asynchronous 'motor' driver to log clinician records directly to MongoDB Atlas. Security middleware enforces strict CORS origin constraints to protect model endpoints.</w:t>
      </w:r>
    </w:p>
    <w:p>
      <w:pPr>
        <w:spacing w:after="120"/>
      </w:pPr>
    </w:p>
    <w:p>
      <w:pPr>
        <w:spacing w:after="120"/>
        <w:jc w:val="center"/>
      </w:pPr>
      <w:r>
        <w:drawing>
          <wp:inline xmlns:a="http://schemas.openxmlformats.org/drawingml/2006/main" xmlns:pic="http://schemas.openxmlformats.org/drawingml/2006/picture">
            <wp:extent cx="4114800" cy="377482"/>
            <wp:docPr id="3" name="Picture 3"/>
            <wp:cNvGraphicFramePr>
              <a:graphicFrameLocks noChangeAspect="1"/>
            </wp:cNvGraphicFramePr>
            <a:graphic>
              <a:graphicData uri="http://schemas.openxmlformats.org/drawingml/2006/picture">
                <pic:pic>
                  <pic:nvPicPr>
                    <pic:cNvPr id="0" name="System_Integration_Workflow.png"/>
                    <pic:cNvPicPr/>
                  </pic:nvPicPr>
                  <pic:blipFill>
                    <a:blip r:embed="rId11"/>
                    <a:stretch>
                      <a:fillRect/>
                    </a:stretch>
                  </pic:blipFill>
                  <pic:spPr>
                    <a:xfrm>
                      <a:off x="0" y="0"/>
                      <a:ext cx="4114800" cy="377482"/>
                    </a:xfrm>
                    <a:prstGeom prst="rect"/>
                  </pic:spPr>
                </pic:pic>
              </a:graphicData>
            </a:graphic>
          </wp:inline>
        </w:drawing>
      </w:r>
    </w:p>
    <w:p>
      <w:pPr>
        <w:spacing w:after="240"/>
        <w:jc w:val="center"/>
      </w:pPr>
      <w:r>
        <w:rPr>
          <w:rFonts w:ascii="Calibri" w:hAnsi="Calibri"/>
          <w:sz w:val="20"/>
        </w:rPr>
        <w:t>Figure 3: System integration workflow data flow diagram (DFD)</w:t>
      </w:r>
    </w:p>
    <w:p>
      <w:pPr>
        <w:spacing w:after="120"/>
      </w:pPr>
    </w:p>
    <w:p>
      <w:pPr>
        <w:spacing w:before="240" w:after="240"/>
      </w:pPr>
      <w:r>
        <w:rPr>
          <w:rFonts w:ascii="Calibri" w:hAnsi="Calibri"/>
          <w:b/>
          <w:sz w:val="28"/>
          <w:u w:val="single"/>
        </w:rPr>
        <w:t>6. Results and Recommendations</w:t>
      </w:r>
    </w:p>
    <w:p>
      <w:pPr>
        <w:spacing w:after="220" w:line="276" w:lineRule="auto"/>
        <w:jc w:val="both"/>
      </w:pPr>
      <w:r>
        <w:rPr>
          <w:rFonts w:ascii="Calibri" w:hAnsi="Calibri"/>
          <w:sz w:val="22"/>
        </w:rPr>
        <w:t>Model testing confirms that the proposed deep learning models significantly outperform classical baselines. The Keras ANN achieved 98.42% accuracy, compared to the Decision Tree (92.30%) and Random Forest (96.50%). The MobileNetV2 CNN classifier achieved 89.50% validation accuracy. Comparative performance metrics are detailed in Table 2 below:</w:t>
      </w:r>
    </w:p>
    <w:p>
      <w:pPr>
        <w:jc w:val="center"/>
      </w:pPr>
      <w:r>
        <w:rPr>
          <w:rFonts w:ascii="Calibri" w:hAnsi="Calibri"/>
          <w:sz w:val="20"/>
        </w:rPr>
        <w:t>Table 2: Comparative Model Evaluation Metrics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Architecture</w:t>
            </w:r>
          </w:p>
        </w:tc>
        <w:tc>
          <w:tcPr>
            <w:tcW w:type="dxa" w:w="1560"/>
          </w:tcPr>
          <w:p>
            <w:r>
              <w:t>Task Target</w:t>
            </w:r>
          </w:p>
        </w:tc>
        <w:tc>
          <w:tcPr>
            <w:tcW w:type="dxa" w:w="1560"/>
          </w:tcPr>
          <w:p>
            <w:r>
              <w:t>Accuracy</w:t>
            </w:r>
          </w:p>
        </w:tc>
        <w:tc>
          <w:tcPr>
            <w:tcW w:type="dxa" w:w="1560"/>
          </w:tcPr>
          <w:p>
            <w:r>
              <w:t>Precision</w:t>
            </w:r>
          </w:p>
        </w:tc>
        <w:tc>
          <w:tcPr>
            <w:tcW w:type="dxa" w:w="1560"/>
          </w:tcPr>
          <w:p>
            <w:r>
              <w:t>Recall</w:t>
            </w:r>
          </w:p>
        </w:tc>
        <w:tc>
          <w:tcPr>
            <w:tcW w:type="dxa" w:w="1560"/>
          </w:tcPr>
          <w:p>
            <w:r>
              <w:t>F1-Score</w:t>
            </w:r>
          </w:p>
        </w:tc>
      </w:tr>
      <w:tr>
        <w:tc>
          <w:tcPr>
            <w:tcW w:type="dxa" w:w="1560"/>
          </w:tcPr>
          <w:p>
            <w:r>
              <w:t>Decision Tree (Baseline)</w:t>
            </w:r>
          </w:p>
        </w:tc>
        <w:tc>
          <w:tcPr>
            <w:tcW w:type="dxa" w:w="1560"/>
          </w:tcPr>
          <w:p>
            <w:r>
              <w:t>Symptoms</w:t>
            </w:r>
          </w:p>
        </w:tc>
        <w:tc>
          <w:tcPr>
            <w:tcW w:type="dxa" w:w="1560"/>
          </w:tcPr>
          <w:p>
            <w:r>
              <w:t>92.30%</w:t>
            </w:r>
          </w:p>
        </w:tc>
        <w:tc>
          <w:tcPr>
            <w:tcW w:type="dxa" w:w="1560"/>
          </w:tcPr>
          <w:p>
            <w:r>
              <w:t>92.45%</w:t>
            </w:r>
          </w:p>
        </w:tc>
        <w:tc>
          <w:tcPr>
            <w:tcW w:type="dxa" w:w="1560"/>
          </w:tcPr>
          <w:p>
            <w:r>
              <w:t>92.30%</w:t>
            </w:r>
          </w:p>
        </w:tc>
        <w:tc>
          <w:tcPr>
            <w:tcW w:type="dxa" w:w="1560"/>
          </w:tcPr>
          <w:p>
            <w:r>
              <w:t>92.31%</w:t>
            </w:r>
          </w:p>
        </w:tc>
      </w:tr>
      <w:tr>
        <w:tc>
          <w:tcPr>
            <w:tcW w:type="dxa" w:w="1560"/>
          </w:tcPr>
          <w:p>
            <w:r>
              <w:t>Random Forest (Baseline)</w:t>
            </w:r>
          </w:p>
        </w:tc>
        <w:tc>
          <w:tcPr>
            <w:tcW w:type="dxa" w:w="1560"/>
          </w:tcPr>
          <w:p>
            <w:r>
              <w:t>Symptoms</w:t>
            </w:r>
          </w:p>
        </w:tc>
        <w:tc>
          <w:tcPr>
            <w:tcW w:type="dxa" w:w="1560"/>
          </w:tcPr>
          <w:p>
            <w:r>
              <w:t>96.50%</w:t>
            </w:r>
          </w:p>
        </w:tc>
        <w:tc>
          <w:tcPr>
            <w:tcW w:type="dxa" w:w="1560"/>
          </w:tcPr>
          <w:p>
            <w:r>
              <w:t>96.60%</w:t>
            </w:r>
          </w:p>
        </w:tc>
        <w:tc>
          <w:tcPr>
            <w:tcW w:type="dxa" w:w="1560"/>
          </w:tcPr>
          <w:p>
            <w:r>
              <w:t>96.50%</w:t>
            </w:r>
          </w:p>
        </w:tc>
        <w:tc>
          <w:tcPr>
            <w:tcW w:type="dxa" w:w="1560"/>
          </w:tcPr>
          <w:p>
            <w:r>
              <w:t>96.52%</w:t>
            </w:r>
          </w:p>
        </w:tc>
      </w:tr>
      <w:tr>
        <w:tc>
          <w:tcPr>
            <w:tcW w:type="dxa" w:w="1560"/>
          </w:tcPr>
          <w:p>
            <w:r>
              <w:t>Artificial Neural Network</w:t>
            </w:r>
          </w:p>
        </w:tc>
        <w:tc>
          <w:tcPr>
            <w:tcW w:type="dxa" w:w="1560"/>
          </w:tcPr>
          <w:p>
            <w:r>
              <w:t>Symptoms</w:t>
            </w:r>
          </w:p>
        </w:tc>
        <w:tc>
          <w:tcPr>
            <w:tcW w:type="dxa" w:w="1560"/>
          </w:tcPr>
          <w:p>
            <w:r>
              <w:t>98.42%</w:t>
            </w:r>
          </w:p>
        </w:tc>
        <w:tc>
          <w:tcPr>
            <w:tcW w:type="dxa" w:w="1560"/>
          </w:tcPr>
          <w:p>
            <w:r>
              <w:t>98.44%</w:t>
            </w:r>
          </w:p>
        </w:tc>
        <w:tc>
          <w:tcPr>
            <w:tcW w:type="dxa" w:w="1560"/>
          </w:tcPr>
          <w:p>
            <w:r>
              <w:t>98.42%</w:t>
            </w:r>
          </w:p>
        </w:tc>
        <w:tc>
          <w:tcPr>
            <w:tcW w:type="dxa" w:w="1560"/>
          </w:tcPr>
          <w:p>
            <w:r>
              <w:t>98.42%</w:t>
            </w:r>
          </w:p>
        </w:tc>
      </w:tr>
      <w:tr>
        <w:tc>
          <w:tcPr>
            <w:tcW w:type="dxa" w:w="1560"/>
          </w:tcPr>
          <w:p>
            <w:r>
              <w:t>MobileNetV2 CNN</w:t>
            </w:r>
          </w:p>
        </w:tc>
        <w:tc>
          <w:tcPr>
            <w:tcW w:type="dxa" w:w="1560"/>
          </w:tcPr>
          <w:p>
            <w:r>
              <w:t>Lesion Scans</w:t>
            </w:r>
          </w:p>
        </w:tc>
        <w:tc>
          <w:tcPr>
            <w:tcW w:type="dxa" w:w="1560"/>
          </w:tcPr>
          <w:p>
            <w:r>
              <w:t>89.50%</w:t>
            </w:r>
          </w:p>
        </w:tc>
        <w:tc>
          <w:tcPr>
            <w:tcW w:type="dxa" w:w="1560"/>
          </w:tcPr>
          <w:p>
            <w:r>
              <w:t>88.90%</w:t>
            </w:r>
          </w:p>
        </w:tc>
        <w:tc>
          <w:tcPr>
            <w:tcW w:type="dxa" w:w="1560"/>
          </w:tcPr>
          <w:p>
            <w:r>
              <w:t>89.50%</w:t>
            </w:r>
          </w:p>
        </w:tc>
        <w:tc>
          <w:tcPr>
            <w:tcW w:type="dxa" w:w="1560"/>
          </w:tcPr>
          <w:p>
            <w:r>
              <w:t>88.70%</w:t>
            </w:r>
          </w:p>
        </w:tc>
      </w:tr>
    </w:tbl>
    <w:p>
      <w:pPr>
        <w:spacing w:after="220" w:line="276" w:lineRule="auto"/>
        <w:jc w:val="both"/>
      </w:pPr>
      <w:r>
        <w:rPr>
          <w:rFonts w:ascii="Calibri" w:hAnsi="Calibri"/>
          <w:sz w:val="22"/>
        </w:rPr>
        <w:t>Table 3 lists a subset of the target diagnostic classification output classes mapped by the models during prediction execution:</w:t>
      </w:r>
    </w:p>
    <w:p>
      <w:pPr>
        <w:jc w:val="center"/>
      </w:pPr>
      <w:r>
        <w:rPr>
          <w:rFonts w:ascii="Calibri" w:hAnsi="Calibri"/>
          <w:sz w:val="20"/>
        </w:rPr>
        <w:t>Table 3: Deployed AI Models Diagnostic Output Mappings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Model Modality</w:t>
            </w:r>
          </w:p>
        </w:tc>
        <w:tc>
          <w:tcPr>
            <w:tcW w:type="dxa" w:w="3120"/>
          </w:tcPr>
          <w:p>
            <w:r>
              <w:t>Target Diagnosis Output</w:t>
            </w:r>
          </w:p>
        </w:tc>
        <w:tc>
          <w:tcPr>
            <w:tcW w:type="dxa" w:w="3120"/>
          </w:tcPr>
          <w:p>
            <w:r>
              <w:t>Specialist Referral Assignment</w:t>
            </w:r>
          </w:p>
        </w:tc>
      </w:tr>
      <w:tr>
        <w:tc>
          <w:tcPr>
            <w:tcW w:type="dxa" w:w="3120"/>
          </w:tcPr>
          <w:p>
            <w:r>
              <w:t>Symptom ANN</w:t>
            </w:r>
          </w:p>
        </w:tc>
        <w:tc>
          <w:tcPr>
            <w:tcW w:type="dxa" w:w="3120"/>
          </w:tcPr>
          <w:p>
            <w:r>
              <w:t>Fungal infection</w:t>
            </w:r>
          </w:p>
        </w:tc>
        <w:tc>
          <w:tcPr>
            <w:tcW w:type="dxa" w:w="3120"/>
          </w:tcPr>
          <w:p>
            <w:r>
              <w:t>Dermatologist</w:t>
            </w:r>
          </w:p>
        </w:tc>
      </w:tr>
      <w:tr>
        <w:tc>
          <w:tcPr>
            <w:tcW w:type="dxa" w:w="3120"/>
          </w:tcPr>
          <w:p>
            <w:r>
              <w:t>Symptom ANN</w:t>
            </w:r>
          </w:p>
        </w:tc>
        <w:tc>
          <w:tcPr>
            <w:tcW w:type="dxa" w:w="3120"/>
          </w:tcPr>
          <w:p>
            <w:r>
              <w:t>Malaria / Dengue</w:t>
            </w:r>
          </w:p>
        </w:tc>
        <w:tc>
          <w:tcPr>
            <w:tcW w:type="dxa" w:w="3120"/>
          </w:tcPr>
          <w:p>
            <w:r>
              <w:t>Infectious Disease Specialist</w:t>
            </w:r>
          </w:p>
        </w:tc>
      </w:tr>
      <w:tr>
        <w:tc>
          <w:tcPr>
            <w:tcW w:type="dxa" w:w="3120"/>
          </w:tcPr>
          <w:p>
            <w:r>
              <w:t>Symptom ANN</w:t>
            </w:r>
          </w:p>
        </w:tc>
        <w:tc>
          <w:tcPr>
            <w:tcW w:type="dxa" w:w="3120"/>
          </w:tcPr>
          <w:p>
            <w:r>
              <w:t>GERD</w:t>
            </w:r>
          </w:p>
        </w:tc>
        <w:tc>
          <w:tcPr>
            <w:tcW w:type="dxa" w:w="3120"/>
          </w:tcPr>
          <w:p>
            <w:r>
              <w:t>Gastroenterologist</w:t>
            </w:r>
          </w:p>
        </w:tc>
      </w:tr>
      <w:tr>
        <w:tc>
          <w:tcPr>
            <w:tcW w:type="dxa" w:w="3120"/>
          </w:tcPr>
          <w:p>
            <w:r>
              <w:t>Symptom ANN</w:t>
            </w:r>
          </w:p>
        </w:tc>
        <w:tc>
          <w:tcPr>
            <w:tcW w:type="dxa" w:w="3120"/>
          </w:tcPr>
          <w:p>
            <w:r>
              <w:t>Hypertension</w:t>
            </w:r>
          </w:p>
        </w:tc>
        <w:tc>
          <w:tcPr>
            <w:tcW w:type="dxa" w:w="3120"/>
          </w:tcPr>
          <w:p>
            <w:r>
              <w:t>Cardiologist</w:t>
            </w:r>
          </w:p>
        </w:tc>
      </w:tr>
      <w:tr>
        <w:tc>
          <w:tcPr>
            <w:tcW w:type="dxa" w:w="3120"/>
          </w:tcPr>
          <w:p>
            <w:r>
              <w:t>Symptom ANN</w:t>
            </w:r>
          </w:p>
        </w:tc>
        <w:tc>
          <w:tcPr>
            <w:tcW w:type="dxa" w:w="3120"/>
          </w:tcPr>
          <w:p>
            <w:r>
              <w:t>Migraine</w:t>
            </w:r>
          </w:p>
        </w:tc>
        <w:tc>
          <w:tcPr>
            <w:tcW w:type="dxa" w:w="3120"/>
          </w:tcPr>
          <w:p>
            <w:r>
              <w:t>Neurologist</w:t>
            </w:r>
          </w:p>
        </w:tc>
      </w:tr>
      <w:tr>
        <w:tc>
          <w:tcPr>
            <w:tcW w:type="dxa" w:w="3120"/>
          </w:tcPr>
          <w:p>
            <w:r>
              <w:t>Skin Lesion CNN</w:t>
            </w:r>
          </w:p>
        </w:tc>
        <w:tc>
          <w:tcPr>
            <w:tcW w:type="dxa" w:w="3120"/>
          </w:tcPr>
          <w:p>
            <w:r>
              <w:t>Melanoma (mel)</w:t>
            </w:r>
          </w:p>
        </w:tc>
        <w:tc>
          <w:tcPr>
            <w:tcW w:type="dxa" w:w="3120"/>
          </w:tcPr>
          <w:p>
            <w:r>
              <w:t>Dermatologist / Oncologist</w:t>
            </w:r>
          </w:p>
        </w:tc>
      </w:tr>
      <w:tr>
        <w:tc>
          <w:tcPr>
            <w:tcW w:type="dxa" w:w="3120"/>
          </w:tcPr>
          <w:p>
            <w:r>
              <w:t>Skin Lesion CNN</w:t>
            </w:r>
          </w:p>
        </w:tc>
        <w:tc>
          <w:tcPr>
            <w:tcW w:type="dxa" w:w="3120"/>
          </w:tcPr>
          <w:p>
            <w:r>
              <w:t>Basal Cell Carcinoma (bcc)</w:t>
            </w:r>
          </w:p>
        </w:tc>
        <w:tc>
          <w:tcPr>
            <w:tcW w:type="dxa" w:w="3120"/>
          </w:tcPr>
          <w:p>
            <w:r>
              <w:t>Dermatologist / Surgeon</w:t>
            </w:r>
          </w:p>
        </w:tc>
      </w:tr>
      <w:tr>
        <w:tc>
          <w:tcPr>
            <w:tcW w:type="dxa" w:w="3120"/>
          </w:tcPr>
          <w:p>
            <w:r>
              <w:t>Skin Lesion CNN</w:t>
            </w:r>
          </w:p>
        </w:tc>
        <w:tc>
          <w:tcPr>
            <w:tcW w:type="dxa" w:w="3120"/>
          </w:tcPr>
          <w:p>
            <w:r>
              <w:t>Melanocytic Nevi (nv)</w:t>
            </w:r>
          </w:p>
        </w:tc>
        <w:tc>
          <w:tcPr>
            <w:tcW w:type="dxa" w:w="3120"/>
          </w:tcPr>
          <w:p>
            <w:r>
              <w:t>Dermatologist</w:t>
            </w:r>
          </w:p>
        </w:tc>
      </w:tr>
    </w:tbl>
    <w:p>
      <w:pPr>
        <w:spacing w:after="220" w:line="276" w:lineRule="auto"/>
        <w:jc w:val="both"/>
      </w:pPr>
      <w:r>
        <w:rPr>
          <w:rFonts w:ascii="Calibri" w:hAnsi="Calibri"/>
          <w:sz w:val="22"/>
        </w:rPr>
        <w:t>Visual confusion matrix heatmaps and training history curves are embedded below to verify model performance:</w:t>
      </w:r>
    </w:p>
    <w:p>
      <w:pPr>
        <w:spacing w:after="120"/>
      </w:pPr>
    </w:p>
    <w:p>
      <w:pPr>
        <w:spacing w:after="120"/>
        <w:jc w:val="center"/>
      </w:pPr>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Decision_Tree_Confusion_Matrix.png"/>
                    <pic:cNvPicPr/>
                  </pic:nvPicPr>
                  <pic:blipFill>
                    <a:blip r:embed="rId12"/>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4: Decision Tree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Random_Forest_Confusion_Matrix.png"/>
                    <pic:cNvPicPr/>
                  </pic:nvPicPr>
                  <pic:blipFill>
                    <a:blip r:embed="rId13"/>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5: Random Forest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ANN_Confusion_Matrix.png"/>
                    <pic:cNvPicPr/>
                  </pic:nvPicPr>
                  <pic:blipFill>
                    <a:blip r:embed="rId14"/>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6: Symptom Predictor ANN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1779622"/>
            <wp:docPr id="7" name="Picture 7"/>
            <wp:cNvGraphicFramePr>
              <a:graphicFrameLocks noChangeAspect="1"/>
            </wp:cNvGraphicFramePr>
            <a:graphic>
              <a:graphicData uri="http://schemas.openxmlformats.org/drawingml/2006/picture">
                <pic:pic>
                  <pic:nvPicPr>
                    <pic:cNvPr id="0" name="ANN_Training_History.png"/>
                    <pic:cNvPicPr/>
                  </pic:nvPicPr>
                  <pic:blipFill>
                    <a:blip r:embed="rId15"/>
                    <a:stretch>
                      <a:fillRect/>
                    </a:stretch>
                  </pic:blipFill>
                  <pic:spPr>
                    <a:xfrm>
                      <a:off x="0" y="0"/>
                      <a:ext cx="4114800" cy="1779622"/>
                    </a:xfrm>
                    <a:prstGeom prst="rect"/>
                  </pic:spPr>
                </pic:pic>
              </a:graphicData>
            </a:graphic>
          </wp:inline>
        </w:drawing>
      </w:r>
    </w:p>
    <w:p>
      <w:pPr>
        <w:spacing w:after="240"/>
        <w:jc w:val="center"/>
      </w:pPr>
      <w:r>
        <w:rPr>
          <w:rFonts w:ascii="Calibri" w:hAnsi="Calibri"/>
          <w:sz w:val="20"/>
        </w:rPr>
        <w:t>Figure 7: Symptom Predictor ANN training history curves</w:t>
      </w:r>
    </w:p>
    <w:p>
      <w:pPr>
        <w:spacing w:after="120"/>
      </w:pPr>
    </w:p>
    <w:p>
      <w:pPr>
        <w:spacing w:after="120"/>
      </w:pPr>
    </w:p>
    <w:p>
      <w:pPr>
        <w:spacing w:after="120"/>
        <w:jc w:val="center"/>
      </w:pPr>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CNN_Confusion_Matrix.png"/>
                    <pic:cNvPicPr/>
                  </pic:nvPicPr>
                  <pic:blipFill>
                    <a:blip r:embed="rId16"/>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8: Skin Lesion CNN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1779622"/>
            <wp:docPr id="9" name="Picture 9"/>
            <wp:cNvGraphicFramePr>
              <a:graphicFrameLocks noChangeAspect="1"/>
            </wp:cNvGraphicFramePr>
            <a:graphic>
              <a:graphicData uri="http://schemas.openxmlformats.org/drawingml/2006/picture">
                <pic:pic>
                  <pic:nvPicPr>
                    <pic:cNvPr id="0" name="CNN_Training_History.png"/>
                    <pic:cNvPicPr/>
                  </pic:nvPicPr>
                  <pic:blipFill>
                    <a:blip r:embed="rId17"/>
                    <a:stretch>
                      <a:fillRect/>
                    </a:stretch>
                  </pic:blipFill>
                  <pic:spPr>
                    <a:xfrm>
                      <a:off x="0" y="0"/>
                      <a:ext cx="4114800" cy="1779622"/>
                    </a:xfrm>
                    <a:prstGeom prst="rect"/>
                  </pic:spPr>
                </pic:pic>
              </a:graphicData>
            </a:graphic>
          </wp:inline>
        </w:drawing>
      </w:r>
    </w:p>
    <w:p>
      <w:pPr>
        <w:spacing w:after="240"/>
        <w:jc w:val="center"/>
      </w:pPr>
      <w:r>
        <w:rPr>
          <w:rFonts w:ascii="Calibri" w:hAnsi="Calibri"/>
          <w:sz w:val="20"/>
        </w:rPr>
        <w:t>Figure 9: Skin Lesion CNN training history curves</w:t>
      </w:r>
    </w:p>
    <w:p>
      <w:pPr>
        <w:spacing w:after="120"/>
      </w:pPr>
    </w:p>
    <w:p>
      <w:pPr>
        <w:spacing w:after="220" w:line="276" w:lineRule="auto"/>
        <w:jc w:val="both"/>
      </w:pPr>
      <w:r>
        <w:rPr>
          <w:rFonts w:ascii="Calibri" w:hAnsi="Calibri"/>
          <w:sz w:val="22"/>
        </w:rPr>
        <w:t>Production verification testing on the deployed system confirms healthy operations. The Vercel frontend has a load latency of &lt;200ms. The Render backend container memory remains stable at ~340MB, with average model response latencies of 85ms for the ANN and 120ms for the CNN. Asynchronous log handshakes succeed on MongoDB Atlas.</w:t>
      </w:r>
    </w:p>
    <w:p>
      <w:pPr>
        <w:spacing w:before="240" w:after="240"/>
      </w:pPr>
      <w:r>
        <w:rPr>
          <w:rFonts w:ascii="Calibri" w:hAnsi="Calibri"/>
          <w:b/>
          <w:sz w:val="28"/>
          <w:u w:val="single"/>
        </w:rPr>
        <w:t>7. Conclusions</w:t>
      </w:r>
    </w:p>
    <w:p>
      <w:pPr>
        <w:spacing w:after="220" w:line="276" w:lineRule="auto"/>
        <w:jc w:val="both"/>
      </w:pPr>
      <w:r>
        <w:rPr>
          <w:rFonts w:ascii="Calibri" w:hAnsi="Calibri"/>
          <w:sz w:val="22"/>
        </w:rPr>
        <w:t>The MediWise AI Capstone Project successfully designs, trains, integrates, and deploys a stateless clinical triage and lesion scanner portal. Deep learning neural networks are served securely on a python server, ensuring intellectual property protection and scalable database operations. The platform is fully online and compliant with capstone constraints.</w:t>
      </w:r>
    </w:p>
    <w:p>
      <w:pPr>
        <w:spacing w:before="240" w:after="240"/>
      </w:pPr>
      <w:r>
        <w:rPr>
          <w:rFonts w:ascii="Calibri" w:hAnsi="Calibri"/>
          <w:b/>
          <w:sz w:val="28"/>
          <w:u w:val="single"/>
        </w:rPr>
        <w:t>8. Acknowledgements</w:t>
      </w:r>
    </w:p>
    <w:p>
      <w:pPr>
        <w:spacing w:after="220" w:line="276" w:lineRule="auto"/>
        <w:jc w:val="both"/>
      </w:pPr>
      <w:r>
        <w:rPr>
          <w:rFonts w:ascii="Calibri" w:hAnsi="Calibri"/>
          <w:sz w:val="22"/>
        </w:rPr>
        <w:t>This project was completed as part of the M.Sc. Software Engineering curriculum. The author acknowledges the support of the academic advisors and faculty at the University of Europe for Applied Sciences for their guidance throughout this capstone.</w:t>
      </w:r>
    </w:p>
    <w:p>
      <w:pPr>
        <w:spacing w:before="240" w:after="240"/>
      </w:pPr>
      <w:r>
        <w:rPr>
          <w:rFonts w:ascii="Calibri" w:hAnsi="Calibri"/>
          <w:b/>
          <w:sz w:val="28"/>
          <w:u w:val="single"/>
        </w:rPr>
        <w:t>9. References</w:t>
      </w:r>
    </w:p>
    <w:p>
      <w:pPr>
        <w:spacing w:after="220" w:line="276" w:lineRule="auto"/>
        <w:jc w:val="both"/>
      </w:pPr>
      <w:r>
        <w:rPr>
          <w:rFonts w:ascii="Calibri" w:hAnsi="Calibri"/>
          <w:sz w:val="22"/>
        </w:rPr>
        <w:t>1. Keras &amp; TensorFlow APIs. (2025). Keras API Reference. Retrieved from https://keras.io/api/</w:t>
      </w:r>
    </w:p>
    <w:p>
      <w:pPr>
        <w:spacing w:after="220" w:line="276" w:lineRule="auto"/>
        <w:jc w:val="both"/>
      </w:pPr>
      <w:r>
        <w:rPr>
          <w:rFonts w:ascii="Calibri" w:hAnsi="Calibri"/>
          <w:sz w:val="22"/>
        </w:rPr>
        <w:t>2. Sandler, M., Howard, A., Zhu, M., Zhmoginov, A., &amp; Chen, L. C. (2018). MobileNetV2: Inverted Residuals and Linear Bottlenecks. CVPR.</w:t>
      </w:r>
    </w:p>
    <w:p>
      <w:pPr>
        <w:spacing w:after="220" w:line="276" w:lineRule="auto"/>
        <w:jc w:val="both"/>
      </w:pPr>
      <w:r>
        <w:rPr>
          <w:rFonts w:ascii="Calibri" w:hAnsi="Calibri"/>
          <w:sz w:val="22"/>
        </w:rPr>
        <w:t>3. Tschandl, P., Rosendahl, C., &amp; Kittler, H. (2018). The HAM10000 dataset, a large collection of multi-source dermatoscopic images of common pigmented skin lesions. Scientific Data, 5.</w:t>
      </w:r>
    </w:p>
    <w:p>
      <w:pPr>
        <w:spacing w:after="220" w:line="276" w:lineRule="auto"/>
        <w:jc w:val="both"/>
      </w:pPr>
      <w:r>
        <w:rPr>
          <w:rFonts w:ascii="Calibri" w:hAnsi="Calibri"/>
          <w:sz w:val="22"/>
        </w:rPr>
        <w:t>4. FastAPI Python Web Framework. (2026). Documentation. Retrieved from https://fastapi.tiangolo.com/</w:t>
      </w:r>
    </w:p>
    <w:p>
      <w:pPr>
        <w:spacing w:after="220" w:line="276" w:lineRule="auto"/>
        <w:jc w:val="both"/>
      </w:pPr>
      <w:r>
        <w:rPr>
          <w:rFonts w:ascii="Calibri" w:hAnsi="Calibri"/>
          <w:sz w:val="22"/>
        </w:rPr>
        <w:t>5. Esteva, A., Kuprel, B., Novoa, R. A., Ko, J., Swetter, S. M., Blau, H. M., &amp; Thrun, S. (2017). Dermatologist-level classification of skin cancer with deep neural networks. Nature, 542(7639), 115-118.</w:t>
      </w:r>
    </w:p>
    <w:p>
      <w:pPr>
        <w:spacing w:after="220" w:line="276" w:lineRule="auto"/>
        <w:jc w:val="both"/>
      </w:pPr>
      <w:r>
        <w:rPr>
          <w:rFonts w:ascii="Calibri" w:hAnsi="Calibri"/>
          <w:sz w:val="22"/>
        </w:rPr>
        <w:t>6. Chen, J., Li, K., Rong, H., Bilal, K., Yang, N., &amp; Li, K. (2020). A disease diagnosis and treatment recommendation system based on big data. IEEE Transactions on Industrial Informatics, 16(2), 1241-1252.</w:t>
      </w:r>
    </w:p>
    <w:p>
      <w:pPr>
        <w:spacing w:after="220" w:line="276" w:lineRule="auto"/>
        <w:jc w:val="both"/>
      </w:pPr>
      <w:r>
        <w:rPr>
          <w:rFonts w:ascii="Calibri" w:hAnsi="Calibri"/>
          <w:sz w:val="22"/>
        </w:rPr>
        <w:t>7. Pedregosa, F., Varoquaux, G., Gramfort, A., Michel, V., Oselot, B., Grisel, O., ... &amp; Duchesnay, E. (2011). Scikit-learn: Machine learning in Python. Journal of Machine Learning Research, 12, 2825-2830.</w:t>
      </w:r>
    </w:p>
    <w:p>
      <w:pPr>
        <w:spacing w:after="220" w:line="276" w:lineRule="auto"/>
        <w:jc w:val="both"/>
      </w:pPr>
      <w:r>
        <w:rPr>
          <w:rFonts w:ascii="Calibri" w:hAnsi="Calibri"/>
          <w:sz w:val="22"/>
        </w:rPr>
        <w:t>8. Abadi, M., Barham, P., Chen, J., Chen, Z., Davis, A., Dean, J., ... &amp; Kudlur, M. (2016). TensorFlow: A system for large-scale machine learning. 12th USENIX Symposium on Operating Systems Design and Implementation, 265-283.</w:t>
      </w:r>
    </w:p>
    <w:p>
      <w:pPr>
        <w:spacing w:after="220" w:line="276" w:lineRule="auto"/>
        <w:jc w:val="both"/>
      </w:pPr>
      <w:r>
        <w:rPr>
          <w:rFonts w:ascii="Calibri" w:hAnsi="Calibri"/>
          <w:sz w:val="22"/>
        </w:rPr>
        <w:t>9. Bano, G., Khan, A. S., &amp; Latif, M. (2021). A review of web-based clinical decision support systems for general physicians. Journal of Medical Systems, 45(4), 1-12.</w:t>
      </w:r>
    </w:p>
    <w:p>
      <w:pPr>
        <w:spacing w:after="220" w:line="276" w:lineRule="auto"/>
        <w:jc w:val="both"/>
      </w:pPr>
      <w:r>
        <w:rPr>
          <w:rFonts w:ascii="Calibri" w:hAnsi="Calibri"/>
          <w:sz w:val="22"/>
        </w:rPr>
        <w:t>10. MongoDB Inc. (2026). MongoDB Atlas: Cloud-Hosted Database Service. Retrieved from https://www.mongodb.com/cloud/atlas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