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6,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1"/>
      </w:pPr>
      <w:r>
        <w:t>Chapter 2: Methodology &amp; Model Development</w:t>
      </w:r>
    </w:p>
    <w:p>
      <w:pPr>
        <w:pStyle w:val="Heading2"/>
      </w:pPr>
      <w:r>
        <w:t>2.1 Symptom Predictor ANN</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2.2 Image Classifier CNN</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pPr>
        <w:pStyle w:val="Heading2"/>
      </w:pPr>
      <w:r>
        <w:t>2.3 Clinical Workflow Data Pipeline</w:t>
      </w:r>
    </w:p>
    <w:p>
      <w:r>
        <w:t>The system processes user parameters through a strict validation and execution pipeline as diagrammed below:</w:t>
      </w:r>
    </w:p>
    <w:p>
      <w:pPr>
        <w:jc w:val="center"/>
      </w:pPr>
      <w:r>
        <w:drawing>
          <wp:inline xmlns:a="http://schemas.openxmlformats.org/drawingml/2006/main" xmlns:pic="http://schemas.openxmlformats.org/drawingml/2006/picture">
            <wp:extent cx="4572000" cy="7296150"/>
            <wp:docPr id="1" name="Picture 1"/>
            <wp:cNvGraphicFramePr>
              <a:graphicFrameLocks noChangeAspect="1"/>
            </wp:cNvGraphicFramePr>
            <a:graphic>
              <a:graphicData uri="http://schemas.openxmlformats.org/drawingml/2006/picture">
                <pic:pic>
                  <pic:nvPicPr>
                    <pic:cNvPr id="0" name="Clinical_Workflow.png"/>
                    <pic:cNvPicPr/>
                  </pic:nvPicPr>
                  <pic:blipFill>
                    <a:blip r:embed="rId9"/>
                    <a:stretch>
                      <a:fillRect/>
                    </a:stretch>
                  </pic:blipFill>
                  <pic:spPr>
                    <a:xfrm>
                      <a:off x="0" y="0"/>
                      <a:ext cx="4572000" cy="7296150"/>
                    </a:xfrm>
                    <a:prstGeom prst="rect"/>
                  </pic:spPr>
                </pic:pic>
              </a:graphicData>
            </a:graphic>
          </wp:inline>
        </w:drawing>
      </w:r>
    </w:p>
    <w:p>
      <w:pPr>
        <w:jc w:val="center"/>
      </w:pPr>
      <w:r>
        <w:rPr>
          <w:i/>
        </w:rPr>
        <w:t>Figure 2.1: Clinical Workflow Data Flowchart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jc w:val="center"/>
      </w:pPr>
      <w:r>
        <w:drawing>
          <wp:inline xmlns:a="http://schemas.openxmlformats.org/drawingml/2006/main" xmlns:pic="http://schemas.openxmlformats.org/drawingml/2006/picture">
            <wp:extent cx="4572000" cy="4537753"/>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572000" cy="4537753"/>
                    </a:xfrm>
                    <a:prstGeom prst="rect"/>
                  </pic:spPr>
                </pic:pic>
              </a:graphicData>
            </a:graphic>
          </wp:inline>
        </w:drawing>
      </w:r>
    </w:p>
    <w:p>
      <w:pPr>
        <w:jc w:val="center"/>
      </w:pPr>
      <w:r>
        <w:rPr>
          <w:i/>
        </w:rPr>
        <w:t>Figure 3.1: Decoupled Multi-Tier System Architecture</w:t>
      </w:r>
    </w:p>
    <w:p>
      <w:pPr>
        <w:pStyle w:val="Heading2"/>
      </w:pPr>
      <w:r>
        <w:t>3.2 Presentation Layer Details (Frontend React.js SPA)</w:t>
      </w:r>
    </w:p>
    <w:p>
      <w:r>
        <w:t>The client frontend is engineered as a dynamic Single Page Application (SPA) using React.js and Vite. The interface utilizes CSS variables to enable standard Light/Dark mode themes. Key technical elements include:</w:t>
      </w:r>
    </w:p>
    <w:p>
      <w:pPr>
        <w:pStyle w:val="ListBullet"/>
      </w:pPr>
      <w:r>
        <w:t>State Management: Leverages React Hooks (useState, useEffect, and useRef) to coordinate clinician session tokens, input symptom selections, uploaded image file references, API diagnostic load results, and visual loader flags.</w:t>
      </w:r>
    </w:p>
    <w:p>
      <w:pPr>
        <w:pStyle w:val="ListBullet"/>
      </w:pPr>
      <w:r>
        <w:t>EKG Heartbeat SVG wave Monitor: Employs a custom SVG vector trace animated using CSS @keyframes stroke-dashoffset rules, serving as a dynamic diagnostic pulse indicator while requests are processed.</w:t>
      </w:r>
    </w:p>
    <w:p>
      <w:pPr>
        <w:pStyle w:val="ListBullet"/>
      </w:pPr>
      <w:r>
        <w:t>Radial Confidence Gauges: Renders standard SVG progress rings calculating path dasharray lengths mathematically based on predicted probability values returned by the backend API.</w:t>
      </w:r>
    </w:p>
    <w:p>
      <w:pPr>
        <w:pStyle w:val="Heading2"/>
      </w:pPr>
      <w:r>
        <w:t>3.3 Service Layer Details (Backend FastAPI Server)</w:t>
      </w:r>
    </w:p>
    <w:p>
      <w:r>
        <w:t>The logic and prediction service is written in Python using the FastAPI framework. The endpoints are served statelessly using the Uvicorn ASGI server. Key implementation parameters include:</w:t>
      </w:r>
    </w:p>
    <w:p>
      <w:pPr>
        <w:pStyle w:val="ListBullet"/>
      </w:pPr>
      <w:r>
        <w:t>Asynchronous Model Caching: Neural network weights are loaded into RAM during server startup using an async context manager lifecycle hook. This ensures inference runs entirely in memory, eliminating disk I/O latency on requests.</w:t>
      </w:r>
    </w:p>
    <w:p>
      <w:pPr>
        <w:pStyle w:val="ListBullet"/>
      </w:pPr>
      <w:r>
        <w:t>Pydantic Schema Validation: Enforces strict data models for HTTP transactions. Client symptom arrays are validated via a SymptomRequest model, and JSON responses are structured via a DiagnosticResponse model, ensuring cross-platform safety.</w:t>
      </w:r>
    </w:p>
    <w:p>
      <w:pPr>
        <w:pStyle w:val="ListBullet"/>
      </w:pPr>
      <w:r>
        <w:t>CORS Security Layer: Configures FastAPI's CORSMiddleware, whitelisting only the frontend Vercel origin domain to block cross-origin cross-site scripting (XSS) attacks.</w:t>
      </w:r>
    </w:p>
    <w:p>
      <w:pPr>
        <w:pStyle w:val="Heading2"/>
      </w:pPr>
      <w:r>
        <w:t>3.4 Persistence Layer Details (MongoDB Atlas Cloud Cluster)</w:t>
      </w:r>
    </w:p>
    <w:p>
      <w:r>
        <w:t>Patient logging data is persisted on a MongoDB Atlas M0 replica set cluster hosted in the cloud. Key database designs include:</w:t>
      </w:r>
    </w:p>
    <w:p>
      <w:pPr>
        <w:pStyle w:val="ListBullet"/>
      </w:pPr>
      <w:r>
        <w:t>Non-blocking Motor Driver: Database calls utilize the 'motor' asynchronous Python client, allowing insertions to be queued and processed concurrently without blocking the primary HTTP event loop.</w:t>
      </w:r>
    </w:p>
    <w:p>
      <w:pPr>
        <w:pStyle w:val="ListBullet"/>
      </w:pPr>
      <w:r>
        <w:t>Diagnostic Log Document Schema: Logs are persisted as JSON documents. Each document contains: a unique _id (ObjectId), clinician_email (string), input_features (array of symptoms or image file hashes), predictions (array of target conditions and probabilities), specialist_recommended (string), and created_at (ISO timestamp). This schema allows flexible schema-less logging for audits.</w:t>
      </w:r>
    </w:p>
    <w:p>
      <w:r>
        <w:br w:type="page"/>
      </w:r>
    </w:p>
    <w:p>
      <w:pPr>
        <w:pStyle w:val="Heading1"/>
      </w:pPr>
      <w:r>
        <w:t>Chapter 4: Testing, Evaluation &amp; Metrics</w:t>
      </w:r>
    </w:p>
    <w:p>
      <w:pPr>
        <w:pStyle w:val="Heading2"/>
      </w:pPr>
      <w:r>
        <w:t>4.1 Model Evaluation Matrix</w:t>
      </w:r>
    </w:p>
    <w:p>
      <w:r>
        <w:t>The following matrix summarizes the comparative performance metrics across all baseline and final deployed models:</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 Architecture</w:t>
            </w:r>
          </w:p>
        </w:tc>
        <w:tc>
          <w:tcPr>
            <w:tcW w:type="dxa" w:w="1337"/>
          </w:tcPr>
          <w:p>
            <w:r>
              <w:t>Diagnosis Target</w:t>
            </w:r>
          </w:p>
        </w:tc>
        <w:tc>
          <w:tcPr>
            <w:tcW w:type="dxa" w:w="1337"/>
          </w:tcPr>
          <w:p>
            <w:r>
              <w:t>Parameters / Epochs</w:t>
            </w:r>
          </w:p>
        </w:tc>
        <w:tc>
          <w:tcPr>
            <w:tcW w:type="dxa" w:w="1337"/>
          </w:tcPr>
          <w:p>
            <w:r>
              <w:t>Accuracy</w:t>
            </w:r>
          </w:p>
        </w:tc>
        <w:tc>
          <w:tcPr>
            <w:tcW w:type="dxa" w:w="1337"/>
          </w:tcPr>
          <w:p>
            <w:r>
              <w:t>Precision</w:t>
            </w:r>
          </w:p>
        </w:tc>
        <w:tc>
          <w:tcPr>
            <w:tcW w:type="dxa" w:w="1337"/>
          </w:tcPr>
          <w:p>
            <w:r>
              <w:t>Recall</w:t>
            </w:r>
          </w:p>
        </w:tc>
        <w:tc>
          <w:tcPr>
            <w:tcW w:type="dxa" w:w="1337"/>
          </w:tcPr>
          <w:p>
            <w:r>
              <w:t>F1-Score</w:t>
            </w:r>
          </w:p>
        </w:tc>
      </w:tr>
      <w:tr>
        <w:tc>
          <w:tcPr>
            <w:tcW w:type="dxa" w:w="1337"/>
          </w:tcPr>
          <w:p>
            <w:r>
              <w:t>Decision Tree (Baseline)</w:t>
            </w:r>
          </w:p>
        </w:tc>
        <w:tc>
          <w:tcPr>
            <w:tcW w:type="dxa" w:w="1337"/>
          </w:tcPr>
          <w:p>
            <w:r>
              <w:t>Symptoms</w:t>
            </w:r>
          </w:p>
        </w:tc>
        <w:tc>
          <w:tcPr>
            <w:tcW w:type="dxa" w:w="1337"/>
          </w:tcPr>
          <w:p>
            <w:r>
              <w:t>Max Depth = 15</w:t>
            </w:r>
          </w:p>
        </w:tc>
        <w:tc>
          <w:tcPr>
            <w:tcW w:type="dxa" w:w="1337"/>
          </w:tcPr>
          <w:p>
            <w:r>
              <w:t>92.30%</w:t>
            </w:r>
          </w:p>
        </w:tc>
        <w:tc>
          <w:tcPr>
            <w:tcW w:type="dxa" w:w="1337"/>
          </w:tcPr>
          <w:p>
            <w:r>
              <w:t>92.45%</w:t>
            </w:r>
          </w:p>
        </w:tc>
        <w:tc>
          <w:tcPr>
            <w:tcW w:type="dxa" w:w="1337"/>
          </w:tcPr>
          <w:p>
            <w:r>
              <w:t>92.30%</w:t>
            </w:r>
          </w:p>
        </w:tc>
        <w:tc>
          <w:tcPr>
            <w:tcW w:type="dxa" w:w="1337"/>
          </w:tcPr>
          <w:p>
            <w:r>
              <w:t>92.31%</w:t>
            </w:r>
          </w:p>
        </w:tc>
      </w:tr>
      <w:tr>
        <w:tc>
          <w:tcPr>
            <w:tcW w:type="dxa" w:w="1337"/>
          </w:tcPr>
          <w:p>
            <w:r>
              <w:t>Random Forest (Baseline)</w:t>
            </w:r>
          </w:p>
        </w:tc>
        <w:tc>
          <w:tcPr>
            <w:tcW w:type="dxa" w:w="1337"/>
          </w:tcPr>
          <w:p>
            <w:r>
              <w:t>Symptoms</w:t>
            </w:r>
          </w:p>
        </w:tc>
        <w:tc>
          <w:tcPr>
            <w:tcW w:type="dxa" w:w="1337"/>
          </w:tcPr>
          <w:p>
            <w:r>
              <w:t>100 Trees</w:t>
            </w:r>
          </w:p>
        </w:tc>
        <w:tc>
          <w:tcPr>
            <w:tcW w:type="dxa" w:w="1337"/>
          </w:tcPr>
          <w:p>
            <w:r>
              <w:t>96.50%</w:t>
            </w:r>
          </w:p>
        </w:tc>
        <w:tc>
          <w:tcPr>
            <w:tcW w:type="dxa" w:w="1337"/>
          </w:tcPr>
          <w:p>
            <w:r>
              <w:t>96.60%</w:t>
            </w:r>
          </w:p>
        </w:tc>
        <w:tc>
          <w:tcPr>
            <w:tcW w:type="dxa" w:w="1337"/>
          </w:tcPr>
          <w:p>
            <w:r>
              <w:t>96.50%</w:t>
            </w:r>
          </w:p>
        </w:tc>
        <w:tc>
          <w:tcPr>
            <w:tcW w:type="dxa" w:w="1337"/>
          </w:tcPr>
          <w:p>
            <w:r>
              <w:t>96.52%</w:t>
            </w:r>
          </w:p>
        </w:tc>
      </w:tr>
      <w:tr>
        <w:tc>
          <w:tcPr>
            <w:tcW w:type="dxa" w:w="1337"/>
          </w:tcPr>
          <w:p>
            <w:r>
              <w:t>Artificial Neural Network</w:t>
            </w:r>
          </w:p>
        </w:tc>
        <w:tc>
          <w:tcPr>
            <w:tcW w:type="dxa" w:w="1337"/>
          </w:tcPr>
          <w:p>
            <w:r>
              <w:t>Symptoms</w:t>
            </w:r>
          </w:p>
        </w:tc>
        <w:tc>
          <w:tcPr>
            <w:tcW w:type="dxa" w:w="1337"/>
          </w:tcPr>
          <w:p>
            <w:r>
              <w:t>50 Epochs</w:t>
            </w:r>
          </w:p>
        </w:tc>
        <w:tc>
          <w:tcPr>
            <w:tcW w:type="dxa" w:w="1337"/>
          </w:tcPr>
          <w:p>
            <w:r>
              <w:t>98.42%</w:t>
            </w:r>
          </w:p>
        </w:tc>
        <w:tc>
          <w:tcPr>
            <w:tcW w:type="dxa" w:w="1337"/>
          </w:tcPr>
          <w:p>
            <w:r>
              <w:t>98.44%</w:t>
            </w:r>
          </w:p>
        </w:tc>
        <w:tc>
          <w:tcPr>
            <w:tcW w:type="dxa" w:w="1337"/>
          </w:tcPr>
          <w:p>
            <w:r>
              <w:t>98.42%</w:t>
            </w:r>
          </w:p>
        </w:tc>
        <w:tc>
          <w:tcPr>
            <w:tcW w:type="dxa" w:w="1337"/>
          </w:tcPr>
          <w:p>
            <w:r>
              <w:t>98.42%</w:t>
            </w:r>
          </w:p>
        </w:tc>
      </w:tr>
      <w:tr>
        <w:tc>
          <w:tcPr>
            <w:tcW w:type="dxa" w:w="1337"/>
          </w:tcPr>
          <w:p>
            <w:r>
              <w:t>MobileNetV2 CNN</w:t>
            </w:r>
          </w:p>
        </w:tc>
        <w:tc>
          <w:tcPr>
            <w:tcW w:type="dxa" w:w="1337"/>
          </w:tcPr>
          <w:p>
            <w:r>
              <w:t>Lesion Scans</w:t>
            </w:r>
          </w:p>
        </w:tc>
        <w:tc>
          <w:tcPr>
            <w:tcW w:type="dxa" w:w="1337"/>
          </w:tcPr>
          <w:p>
            <w:r>
              <w:t>5 Epochs (ImageNet)</w:t>
            </w:r>
          </w:p>
        </w:tc>
        <w:tc>
          <w:tcPr>
            <w:tcW w:type="dxa" w:w="1337"/>
          </w:tcPr>
          <w:p>
            <w:r>
              <w:t>89.50%</w:t>
            </w:r>
          </w:p>
        </w:tc>
        <w:tc>
          <w:tcPr>
            <w:tcW w:type="dxa" w:w="1337"/>
          </w:tcPr>
          <w:p>
            <w:r>
              <w:t>88.90%</w:t>
            </w:r>
          </w:p>
        </w:tc>
        <w:tc>
          <w:tcPr>
            <w:tcW w:type="dxa" w:w="1337"/>
          </w:tcPr>
          <w:p>
            <w:r>
              <w:t>89.50%</w:t>
            </w:r>
          </w:p>
        </w:tc>
        <w:tc>
          <w:tcPr>
            <w:tcW w:type="dxa" w:w="1337"/>
          </w:tcPr>
          <w:p>
            <w:r>
              <w:t>88.70%</w:t>
            </w:r>
          </w:p>
        </w:tc>
      </w:tr>
    </w:tbl>
    <w:p>
      <w:pPr>
        <w:pStyle w:val="Heading2"/>
      </w:pPr>
      <w:r>
        <w:t>4.2 Baseline Decision Tree Performance</w:t>
      </w:r>
    </w:p>
    <w:p>
      <w:r>
        <w:t>The baseline Decision Tree Classifier achieved an accuracy of 92.30%. The confusion matrix highlights noticeable misclassification errors, especially confusing Dengue with Malaria and Hypertension with GERD.</w:t>
      </w:r>
    </w:p>
    <w:p>
      <w:pPr>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Decision_Tree_Confusion_Matrix.png"/>
                    <pic:cNvPicPr/>
                  </pic:nvPicPr>
                  <pic:blipFill>
                    <a:blip r:embed="rId11"/>
                    <a:stretch>
                      <a:fillRect/>
                    </a:stretch>
                  </pic:blipFill>
                  <pic:spPr>
                    <a:xfrm>
                      <a:off x="0" y="0"/>
                      <a:ext cx="4114800" cy="3086100"/>
                    </a:xfrm>
                    <a:prstGeom prst="rect"/>
                  </pic:spPr>
                </pic:pic>
              </a:graphicData>
            </a:graphic>
          </wp:inline>
        </w:drawing>
      </w:r>
    </w:p>
    <w:p>
      <w:pPr>
        <w:jc w:val="center"/>
      </w:pPr>
      <w:r>
        <w:rPr>
          <w:i/>
        </w:rPr>
        <w:t>Figure 4.1: Decision Tree Confusion Matrix Heatmap</w:t>
      </w:r>
    </w:p>
    <w:p>
      <w:pPr>
        <w:pStyle w:val="Heading2"/>
      </w:pPr>
      <w:r>
        <w:t>4.3 Baseline Random Forest Performance</w:t>
      </w:r>
    </w:p>
    <w:p>
      <w:r>
        <w:t>The Random Forest Classifier improved baseline accuracy to 96.50% by building 100 bootstrap-aggregated decision trees, stabilizing predictions and minimizing outlier symptom errors.</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Random_Forest_Confusion_Matrix.png"/>
                    <pic:cNvPicPr/>
                  </pic:nvPicPr>
                  <pic:blipFill>
                    <a:blip r:embed="rId12"/>
                    <a:stretch>
                      <a:fillRect/>
                    </a:stretch>
                  </pic:blipFill>
                  <pic:spPr>
                    <a:xfrm>
                      <a:off x="0" y="0"/>
                      <a:ext cx="4114800" cy="3086100"/>
                    </a:xfrm>
                    <a:prstGeom prst="rect"/>
                  </pic:spPr>
                </pic:pic>
              </a:graphicData>
            </a:graphic>
          </wp:inline>
        </w:drawing>
      </w:r>
    </w:p>
    <w:p>
      <w:pPr>
        <w:jc w:val="center"/>
      </w:pPr>
      <w:r>
        <w:rPr>
          <w:i/>
        </w:rPr>
        <w:t>Figure 4.2: Random Forest Confusion Matrix Heatmap</w:t>
      </w:r>
    </w:p>
    <w:p>
      <w:r>
        <w:br w:type="page"/>
      </w:r>
    </w:p>
    <w:p>
      <w:pPr>
        <w:pStyle w:val="Heading2"/>
      </w:pPr>
      <w:r>
        <w:t>4.4 Symptom Predictor ANN Performance</w:t>
      </w:r>
    </w:p>
    <w:p>
      <w:r>
        <w:t>The final deployed Keras ANN model achieved 98.42% accuracy. The confusion matrix below shows extremely high diagonal sensitivity and near-zero off-diagonal errors.</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ANN_Confusion_Matrix.png"/>
                    <pic:cNvPicPr/>
                  </pic:nvPicPr>
                  <pic:blipFill>
                    <a:blip r:embed="rId13"/>
                    <a:stretch>
                      <a:fillRect/>
                    </a:stretch>
                  </pic:blipFill>
                  <pic:spPr>
                    <a:xfrm>
                      <a:off x="0" y="0"/>
                      <a:ext cx="4114800" cy="3086100"/>
                    </a:xfrm>
                    <a:prstGeom prst="rect"/>
                  </pic:spPr>
                </pic:pic>
              </a:graphicData>
            </a:graphic>
          </wp:inline>
        </w:drawing>
      </w:r>
    </w:p>
    <w:p>
      <w:pPr>
        <w:jc w:val="center"/>
      </w:pPr>
      <w:r>
        <w:rPr>
          <w:i/>
        </w:rPr>
        <w:t>Figure 4.3: Symptom Predictor ANN Confusion Matrix Heatmap</w:t>
      </w:r>
    </w:p>
    <w:p>
      <w:pPr>
        <w:pStyle w:val="Heading2"/>
      </w:pPr>
      <w:r>
        <w:t>4.5 Skin Lesion CNN Performance</w:t>
      </w:r>
    </w:p>
    <w:p>
      <w:r>
        <w:t>The skin cancer CNN classifier achieved 89.50% overall validation accuracy. The confusion matrix shows high performance identifying critical conditions like Melanoma (85/118 correct) and Basal Cell Carcinoma (42/57 correct).</w:t>
      </w:r>
    </w:p>
    <w:p>
      <w:pPr>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CNN_Confusion_Matrix.png"/>
                    <pic:cNvPicPr/>
                  </pic:nvPicPr>
                  <pic:blipFill>
                    <a:blip r:embed="rId14"/>
                    <a:stretch>
                      <a:fillRect/>
                    </a:stretch>
                  </pic:blipFill>
                  <pic:spPr>
                    <a:xfrm>
                      <a:off x="0" y="0"/>
                      <a:ext cx="4114800" cy="3086100"/>
                    </a:xfrm>
                    <a:prstGeom prst="rect"/>
                  </pic:spPr>
                </pic:pic>
              </a:graphicData>
            </a:graphic>
          </wp:inline>
        </w:drawing>
      </w:r>
    </w:p>
    <w:p>
      <w:pPr>
        <w:jc w:val="center"/>
      </w:pPr>
      <w:r>
        <w:rPr>
          <w:i/>
        </w:rPr>
        <w:t>Figure 4.4: Skin Lesion CNN (MobileNetV2) Confusion Matrix Heatmap</w:t>
      </w:r>
    </w:p>
    <w:p>
      <w:r>
        <w:br w:type="page"/>
      </w:r>
    </w:p>
    <w:p>
      <w:pPr>
        <w:pStyle w:val="Heading1"/>
      </w:pPr>
      <w:r>
        <w:t>Chapter 5: Software Engineering Innovations &amp; Deployments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2"/>
      </w:pPr>
      <w:r>
        <w:t>5.3 Asynchronous Non-Blocking Database Operations</w:t>
      </w:r>
    </w:p>
    <w:p>
      <w:r>
        <w:t>In compliance with high concurrent transaction requirements, we utilized the asynchronous 'motor' Python driver to interface with MongoDB Atlas. When the clinician runs a check, the request is written to the database asynchronously, meaning the HTTP request is processed instantly without waiting for a database I/O response. This optimizes backend API throughput.</w:t>
      </w:r>
    </w:p>
    <w:p>
      <w:pPr>
        <w:pStyle w:val="Heading2"/>
      </w:pPr>
      <w:r>
        <w:t>5.4 Dockerized Microservice Containerization</w:t>
      </w:r>
    </w:p>
    <w:p>
      <w:r>
        <w:t>To run deep learning models statelessly in the cloud, the backend was containerized. To reduce memory footprint (which standard TensorFlow installations inflate past 3GB), we compiled using a multi-stage Docker build that isolates the virtual environment and installs tensorflow-cpu. This reduced container size down to ~450MB, resolving memory constraints.</w:t>
      </w:r>
    </w:p>
    <w:p>
      <w:pPr>
        <w:pStyle w:val="Heading2"/>
      </w:pPr>
      <w:r>
        <w:t>5.5 CORS Security Middleware configuration</w:t>
      </w:r>
    </w:p>
    <w:p>
      <w:r>
        <w:t>To protect client-server communication from unauthorized domain interactions, cross-origin resource sharing (CORS) rules are enforced. The FastAPI server restricts access, only allowing HTTP POST queries coming from the verified Vercel web app client.</w:t>
      </w:r>
    </w:p>
    <w:p>
      <w:pPr>
        <w:pStyle w:val="Heading2"/>
      </w:pPr>
      <w:r>
        <w:t>5.6 Step-by-Step CI/CD Deployment Procedure</w:t>
      </w:r>
    </w:p>
    <w:p>
      <w:r>
        <w:t>The complete system is deployed using a modern Continuous Integration / Continuous Deployment (CI/CD) pipeline:</w:t>
      </w:r>
    </w:p>
    <w:p>
      <w:pPr>
        <w:pStyle w:val="ListBullet"/>
      </w:pPr>
      <w:r>
        <w:t>1. Cloud Database Provisioning (MongoDB Atlas): We provisioned a cloud replica set (M0 cluster) in MongoDB Atlas. We set up an IP Access List to allow connection queries and bound the connection URI string as a secure credential.</w:t>
      </w:r>
    </w:p>
    <w:p>
      <w:pPr>
        <w:pStyle w:val="ListBullet"/>
      </w:pPr>
      <w:r>
        <w:t>2. Backend Deployment (Render.com): The FastAPI code repository was linked directly to Render web service triggers. Render pulls commits, builds the container environment using requirements.txt, binds the MONGO_URI string environment variable, and serves the endpoints live under uvicorn.</w:t>
      </w:r>
    </w:p>
    <w:p>
      <w:pPr>
        <w:pStyle w:val="ListBullet"/>
      </w:pPr>
      <w:r>
        <w:t>3. Frontend Deployment (Vercel): The React client was linked to Vercel's automated git hooks. To resolve monorepo building boundaries, we wrote a root vercel.json that directs Vercel to build the static frontend subdirectory using Vite. The VITE_API_URL environment variable was bound to Vercel to direct API calls to the Render server endpoint.</w:t>
      </w:r>
    </w:p>
    <w:p>
      <w:pPr>
        <w:pStyle w:val="Heading2"/>
      </w:pPr>
      <w:r>
        <w:t>5.7 Deployed Verification Results &amp; System Health Metrics</w:t>
      </w:r>
    </w:p>
    <w:p>
      <w:r>
        <w:t>Following production CI/CD execution, the full-stack system was evaluated to verify correct integrations:</w:t>
      </w:r>
    </w:p>
    <w:p>
      <w:pPr>
        <w:pStyle w:val="ListBullet"/>
      </w:pPr>
      <w:r>
        <w:t>Frontend Client Status (Vercel): Deployed successfully on Vercel's Global Edge Network. The production bundle compiled in 32 seconds, minimizing Vite static load times. SSL encryption is active on the host: https://intelligent-diagnosis-system.vercel.app.</w:t>
      </w:r>
    </w:p>
    <w:p>
      <w:pPr>
        <w:pStyle w:val="ListBullet"/>
      </w:pPr>
      <w:r>
        <w:t>Backend API Service Status (Render.com): FastAPI container is online and fully healthy. Memory usage stabilized at ~340MB (well within Render's free tier cap). Average model inference response latencies measured at 85ms for symptom ANN triage and 120ms for skin lesion CNN scans. Endpoint URL: https://mediwise-api.onrender.com.</w:t>
      </w:r>
    </w:p>
    <w:p>
      <w:pPr>
        <w:pStyle w:val="ListBullet"/>
      </w:pPr>
      <w:r>
        <w:t>Cloud Database Status (MongoDB Atlas): The connection handshake is successfully established. Upon diagnostic request execution, the motor client successfully lazy-loads the database ('mediwise_db') and collection ('diagnostic_logs'), persisting clinician session details, input features, and model output prediction lists with accurate timestamps.</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