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F172A"/>
          <w:sz w:val="28"/>
        </w:rPr>
        <w:t>CONFIDENCE-AWARE PEER-RELATIVE DEGRADATION TRAJECTORY ANALYSIS FOR EARLY END-OF-LIFE RISK PREDICTION IN LITHIUM-ION BATTERIES</w:t>
      </w:r>
    </w:p>
    <w:p>
      <w:pPr>
        <w:spacing w:after="80"/>
      </w:pPr>
      <w:r>
        <w:rPr>
          <w:b/>
        </w:rPr>
        <w:t xml:space="preserve">Keywords: </w:t>
      </w:r>
      <w:r>
        <w:t>Lithium-ion battery; battery degradation trajectory; peer-relative analysis; end-of-life risk screening; peer matching; Peer-Match Reliability Index (PMRI); probability calibration; domain-shift robustness; early warning.</w:t>
      </w:r>
    </w:p>
    <w:p>
      <w:pPr>
        <w:spacing w:before="280" w:after="80"/>
      </w:pPr>
      <w:r>
        <w:rPr>
          <w:b/>
          <w:color w:val="0F172A"/>
          <w:sz w:val="24"/>
        </w:rPr>
        <w:t>FIELD OF THE INVENTION</w:t>
      </w:r>
    </w:p>
    <w:p>
      <w:pPr>
        <w:spacing w:after="80"/>
      </w:pPr>
      <w:r>
        <w:t>The present invention relates generally to the technical fields of electrochemical energy storage, battery health monitoring, degradation trajectory analysis, and machine-learning-based risk screening. More particularly, the invention relates to a computer-implemented technical system and method for non-destructive, early end-of-life (EOL) risk screening of lithium-ion battery cells by coupling physical cycling sensor signals with similarity-based reference peer matching, domain-shift-invariant peer-relative trajectory analysis, and an explicit Peer-Match Reliability Index (PMRI) that confidence-gates automated decision making.</w:t>
      </w:r>
    </w:p>
    <w:p>
      <w:pPr>
        <w:spacing w:after="80"/>
      </w:pPr>
      <w:r>
        <w:t>The invention specifically concerns extracting operating-protocol stress parameters and initial electrochemical health features from physical voltage, current, and temperature sensor measurements available up to a predefined early observation cutoff cycle (e.g., 40, 70, or 100 cycles); identifying comparable historical reference battery cells from a sequestered training reference pool using standardized weighted Euclidean distance; calculating a set of eight peer-relative degradation trajectory features that normalize operating-condition variations across cells; and computing a multi-component Peer-Match Reliability Index (PMRI) utilizing non-linear exponential decay kernels to quantify peer cohort similarity and degradation agreement.</w:t>
      </w:r>
    </w:p>
    <w:p>
      <w:pPr>
        <w:spacing w:after="80"/>
      </w:pPr>
      <w:r>
        <w:t>The invention further relates to generating a horizon-specific end-of-life failure risk estimate by providing the engineered feature representations to a trained and calibrated classification model, and generating physical protective or advisory control outputs, including automated battery pack derating, cell sorting, or human-inspection alerts when peer reference support is sparse or inconsistent.</w:t>
      </w:r>
    </w:p>
    <w:p>
      <w:pPr>
        <w:spacing w:before="280" w:after="80"/>
      </w:pPr>
      <w:r>
        <w:rPr>
          <w:b/>
          <w:color w:val="0F172A"/>
          <w:sz w:val="24"/>
        </w:rPr>
        <w:t>BACKGROUND OF THE PRESENT INVENTION</w:t>
      </w:r>
    </w:p>
    <w:p>
      <w:pPr>
        <w:spacing w:after="80"/>
      </w:pPr>
      <w:r>
        <w:t>Lithium-ion batteries are widely utilized as rechargeable energy storage devices in electric vehicles, grid energy storage, consumer electronics, and aerospace applications. During repeated cycling (charging and discharging), lithium-ion cells undergo irreversible physical and chemical degradation, including loss of active lithium inventory through solid-electrolyte interphase (SEI) growth, loss of active electrode material, particle cracking, transition metal dissolution, and internal impedance growth. The rate and pattern of degradation vary widely between individual cells as a function of manufacturing variations, operating temperature, and charging protocol stress regimes.</w:t>
      </w:r>
    </w:p>
    <w:p>
      <w:pPr>
        <w:spacing w:after="80"/>
      </w:pPr>
      <w:r>
        <w:t>Early identification of battery cells exhibiting an elevated risk of premature end-of-life (EOL)—typically defined as discharge capacity degrading to 80% of nominal rating—is critical for battery manufacturing quality control, second-life cell grading, and warranty liability mitigation. However, during the initial cycles of cell operation (e.g., the first 40 to 100 cycles, representing under 5% to 10% of total lifetime), capacity loss is subtle and often masked by measurement noise or electrochemical stabilization transients. Consequently, unassisted raw measurements of an individual cell do not readily reveal whether its degradation trajectory is anomalous.</w:t>
      </w:r>
    </w:p>
    <w:p>
      <w:pPr>
        <w:spacing w:after="80"/>
      </w:pPr>
      <w:r>
        <w:t>Conventional data-driven battery degradation assessment approaches predominantly rely on absolute individual-cell measurements, such as fitting curve statistics or training regression models directly on single-cell discharge voltage curves (e.g., as disclosed by Severson et al., Nature Energy 2019). While such methods achieve high accuracy when evaluated on homogeneous laboratory test batches, they suffer from two fundamental technical limitations:</w:t>
      </w:r>
    </w:p>
    <w:p>
      <w:pPr>
        <w:pStyle w:val="ListBullet"/>
        <w:spacing w:after="40"/>
      </w:pPr>
      <w:r>
        <w:rPr>
          <w:b/>
        </w:rPr>
        <w:t xml:space="preserve">1. </w:t>
      </w:r>
      <w:r>
        <w:t>Severe Vulnerability to Operating Domain Shifts: Absolute degradation features are heavily coupled to specific charging protocols (e.g., fast-charging C-rates, charging duration). When evaluated on cells operating under differing charging regimes or structural designs, absolute baseline models suffer catastrophic performance collapse because the model cannot distinguish between stress induced by aggressive charging and genuine internal cell pathology.</w:t>
      </w:r>
    </w:p>
    <w:p>
      <w:pPr>
        <w:pStyle w:val="ListBullet"/>
        <w:spacing w:after="40"/>
      </w:pPr>
      <w:r>
        <w:rPr>
          <w:b/>
        </w:rPr>
        <w:t xml:space="preserve">2. </w:t>
      </w:r>
      <w:r>
        <w:t>Silent Failure Without Reliability Indication: Existing machine-learning models generate point predictions regardless of whether the target cell resembles the training distribution. When a cell operates in an atypical regime lacking close historical analogs, conventional models produce overconfident false predictions without indicating that reference support is lacking.</w:t>
      </w:r>
    </w:p>
    <w:p>
      <w:pPr>
        <w:spacing w:after="80"/>
      </w:pPr>
      <w:r>
        <w:t>Peer-based comparative analysis provides a potential mechanism to assess a battery cell relative to other cells operating under similar stress regimes. However, peer comparisons in prior-art systems (such as intra-pack vehicle fleet comparisons) compare concurrent cells operating under identical real-time loads and do not solve the problem of early-cycle life forecasting against historical reference libraries. Furthermore, peer comparisons become unreliable if the selected reference cells are dissimilar, if their degradation trajectories diverge, or if key measurements are missing.</w:t>
      </w:r>
    </w:p>
    <w:p>
      <w:pPr>
        <w:spacing w:after="80"/>
      </w:pPr>
      <w:r>
        <w:t>Accordingly, there is an unmet industrial need for a battery degradation monitoring system that couples physical sensor measurements with protocol-weighted peer matching, extracts domain-shift-invariant peer-relative trajectory deviations, and computes an independent Peer-Match Reliability Index (PMRI) that explicitly confidence-gates automated predictions, alerting operators when peer support is insufficient.</w:t>
      </w:r>
    </w:p>
    <w:p>
      <w:pPr>
        <w:spacing w:before="280" w:after="80"/>
      </w:pPr>
      <w:r>
        <w:rPr>
          <w:b/>
          <w:color w:val="0F172A"/>
          <w:sz w:val="24"/>
        </w:rPr>
        <w:t>OBJECTIVES OF THE INVENTION</w:t>
      </w:r>
    </w:p>
    <w:p>
      <w:pPr>
        <w:spacing w:after="80"/>
      </w:pPr>
      <w:r>
        <w:t>The principal objective of the present invention is to provide a computer-implemented technical system and method for early end-of-life risk screening of lithium-ion battery cells by combining individual-cell electrochemical analysis with domain-shift-invariant peer-relative comparison and explicit peer-match reliability gating.</w:t>
      </w:r>
    </w:p>
    <w:p>
      <w:pPr>
        <w:spacing w:after="80"/>
      </w:pPr>
      <w:r>
        <w:t>Specific further technical objectives of the invention are as follows:</w:t>
      </w:r>
    </w:p>
    <w:p>
      <w:pPr>
        <w:pStyle w:val="ListBullet"/>
        <w:spacing w:after="40"/>
      </w:pPr>
      <w:r>
        <w:t>To extract physically grounded initial-condition features, charging-protocol parameters, snapshot measurements, individual degradation slopes, and differential voltage curve variance statistics strictly from sensor measurements available up to a predefined observation cutoff cycle (40, 70, or 100 cycles).</w:t>
      </w:r>
    </w:p>
    <w:p>
      <w:pPr>
        <w:pStyle w:val="ListBullet"/>
        <w:spacing w:after="40"/>
      </w:pPr>
      <w:r>
        <w:t>To select comparable reference battery cells from a sequestered training reference pool using a standardized weighted Euclidean distance metric prioritizing fast-charging current rates, state-of-charge switch thresholds, and baseline impedance.</w:t>
      </w:r>
    </w:p>
    <w:p>
      <w:pPr>
        <w:pStyle w:val="ListBullet"/>
        <w:spacing w:after="40"/>
      </w:pPr>
      <w:r>
        <w:t>To strictly enforce training-test anti-leakage isolation by fitting standardization scalers exclusively on the training reference pool and enforcing leave-one-out self-exclusion for training cells.</w:t>
      </w:r>
    </w:p>
    <w:p>
      <w:pPr>
        <w:pStyle w:val="ListBullet"/>
        <w:spacing w:after="40"/>
      </w:pPr>
      <w:r>
        <w:t>To derive a set of eight peer-relative degradation features over an aligned early observation interval [2, N_obs], capturing relative capacity deviations, degradation slope deviations, capacity fade deviations, internal resistance deviations, and peer group dispersion.</w:t>
      </w:r>
    </w:p>
    <w:p>
      <w:pPr>
        <w:pStyle w:val="ListBullet"/>
        <w:spacing w:after="40"/>
      </w:pPr>
      <w:r>
        <w:t>To compute a composite Peer-Match Reliability Index (PMRI) bounded in [0.0, 1.0] from four bounded sub-components: peer similarity via exponential distance decay, trajectory agreement via exponential slope dispersion decay, peer availability, and feature completeness.</w:t>
      </w:r>
    </w:p>
    <w:p>
      <w:pPr>
        <w:pStyle w:val="ListBullet"/>
        <w:spacing w:after="40"/>
      </w:pPr>
      <w:r>
        <w:t>To generate diagnostic reliability warnings whenever peer availability is below target, mean distance exceeds a characteristic scale, peer slope dispersion exceeds an agreement threshold, or the composite PMRI score falls below 0.50.</w:t>
      </w:r>
    </w:p>
    <w:p>
      <w:pPr>
        <w:pStyle w:val="ListBullet"/>
        <w:spacing w:after="40"/>
      </w:pPr>
      <w:r>
        <w:t>To predict a calibrated probability of the target cell reaching an 80% nominal capacity end-of-life threshold within a 500-cycle horizon using an L2-regularized logistic regression classifier with Platt scaling.</w:t>
      </w:r>
    </w:p>
    <w:p>
      <w:pPr>
        <w:pStyle w:val="ListBullet"/>
        <w:spacing w:after="40"/>
      </w:pPr>
      <w:r>
        <w:t>To achieve domain-shift robustness across differing charging policies and cell structural modifications, maintaining high discriminative performance (&gt; 0.90 AUROC) under distribution shifts where un-normalized baseline models collapse.</w:t>
      </w:r>
    </w:p>
    <w:p>
      <w:pPr>
        <w:pStyle w:val="ListBullet"/>
        <w:spacing w:after="40"/>
      </w:pPr>
      <w:r>
        <w:t>To provide an interactive dashboard dynamically rendering the target cell trajectory against its top-5 peers and a point-by-point mean peer centroid curve, coupled with a multi-component PMRI reliability gauge.</w:t>
      </w:r>
    </w:p>
    <w:p>
      <w:pPr>
        <w:pStyle w:val="ListBullet"/>
        <w:spacing w:after="40"/>
      </w:pPr>
      <w:r>
        <w:t>To generate physical control outputs for battery management systems, automated cell grading equipment, and predictive maintenance controllers, triggering protective current derating, cell balancing, or decision abstention when PMRI flags peer unreliability.</w:t>
      </w:r>
    </w:p>
    <w:p>
      <w:pPr>
        <w:spacing w:before="280" w:after="80"/>
      </w:pPr>
      <w:r>
        <w:rPr>
          <w:b/>
          <w:color w:val="0F172A"/>
          <w:sz w:val="24"/>
        </w:rPr>
        <w:t>SUMMARY OF THE INVENTION</w:t>
      </w:r>
    </w:p>
    <w:p>
      <w:pPr>
        <w:spacing w:after="80"/>
      </w:pPr>
      <w:r>
        <w:t>The present invention provides a computer-implemented system and method for early end-of-life risk screening of lithium-ion battery cells using peer-relative degradation trajectory analysis and a confidence-aware predictive framework. The system processes physical cycle-indexed measurements (voltage, current, temperature, internal resistance) from a target cell up to a selected observation cutoff cycle N_obs (40, 70, or 100 cycles).</w:t>
      </w:r>
    </w:p>
    <w:p>
      <w:pPr>
        <w:spacing w:after="80"/>
      </w:pPr>
      <w:r>
        <w:t>In accordance with the invention, an initial operating vector is extracted capturing charging protocol parameters (first fast-charge rate C1, SOC switch threshold, second fast-charge rate C2) and baseline Cycle 2 health (discharge capacity, internal resistance, average temperature). An instantaneous snapshot is extracted at cycle N_obs, along with historical capacity slopes dQ/dn, curvature, and differential discharge voltage curve variance Delta Q_{N_obs - 10}(V). Measurements from cycles beyond N_obs are strictly sequestered to prevent temporal data leakage.</w:t>
      </w:r>
    </w:p>
    <w:p>
      <w:pPr>
        <w:spacing w:after="80"/>
      </w:pPr>
      <w:r>
        <w:t>A peer-matching module standardizes the initial operating vector using scaling parameters (mean mu_j, standard deviation sigma_j) fitted exclusively on a designated training reference pool (41 historical cells). A weighted Euclidean distance is calculated between the target cell and eligible reference cells, applying physically motivated weights: 50% to charging protocol stress (C1: 0.20, SOC: 0.15, C2: 0.15), 35% to baseline health (Q_d(2): 0.15, IR(2): 0.15, T_avg(2): 0.10), and 15% to cutoff internal resistance (IR(N_obs): 0.10). The nearest reference cells are ranked, and up to k=5 nearest peers are selected, subject to a minimum availability requirement of k_min=3. The target cell is strictly excluded from its own candidate set.</w:t>
      </w:r>
    </w:p>
    <w:p>
      <w:pPr>
        <w:spacing w:after="80"/>
      </w:pPr>
      <w:r>
        <w:t>A peer-relative degradation analysis module compares the target cell against median and dispersion statistics of the selected peer cohort over an aligned observation window [2, N_obs]. Eight peer-relative features are derived: relative capacity deviation, relative slope deviation, relative capacity ratio, relative fade deviation, relative internal resistance deviation, peer trajectory dispersion, peer slope dispersion, and standardized capacity z-score. These relative features isolate cell-specific anomalous fade by normalizing out the shared baseline degradation induced by the charging protocol.</w:t>
      </w:r>
    </w:p>
    <w:p>
      <w:pPr>
        <w:spacing w:after="80"/>
      </w:pPr>
      <w:r>
        <w:t>The invention further provides a Peer-Match Reliability Index (PMRI) module that calculates a composite score bounded strictly in [0.0, 1.0]:</w:t>
      </w:r>
    </w:p>
    <w:p>
      <w:pPr>
        <w:spacing w:after="80"/>
      </w:pPr>
      <w:r>
        <w:rPr>
          <w:b/>
        </w:rPr>
        <w:t xml:space="preserve">PMRI Governing Equation: </w:t>
      </w:r>
      <w:r>
        <w:t>PMRI = 0.35 S_similarity + 0.30 S_agreement + 0.20 S_availability + 0.15 S_completeness</w:t>
      </w:r>
    </w:p>
    <w:p>
      <w:pPr>
        <w:spacing w:after="80"/>
      </w:pPr>
      <w:r>
        <w:t>where peer similarity S_similarity = exp(-d_bar / 2.0) with characteristic distance scale d0=2.0; trajectory agreement S_agreement = exp(-sigma_slope / 5e-5) with characteristic slope dispersion scale sigma0=5e-5 Ah/cycle; peer availability S_availability = min(1.0, k/5) if k &gt;= 3 else 0.0; and feature completeness S_completeness is the fraction of valid matching features. Diagnostic warnings are generated when k &lt; 5, d_bar &gt; 2.0, sigma_slope &gt; 1e-4 Ah/cycle, or PMRI &lt; 0.50. PMRI measures reference match quality and operates as an orthogonal confidence gate, not a battery failure probability.</w:t>
      </w:r>
    </w:p>
    <w:p>
      <w:pPr>
        <w:spacing w:after="80"/>
      </w:pPr>
      <w:r>
        <w:t>An end-of-life risk prediction module supplies the engineered features to a standardized L2-regularized logistic regression classifier with balanced class weighting and out-of-fold Platt scaling probability calibration. The primary classification target predicts whether the cell reaches EOL (discharge capacity degrading to 80% of nominal capacity, or 0.88 Ah for a 1.1 Ah LFP cell) within 500 cycles following the observation cutoff N_obs.</w:t>
      </w:r>
    </w:p>
    <w:p>
      <w:pPr>
        <w:spacing w:after="80"/>
      </w:pPr>
      <w:r>
        <w:t>The invention includes an interactive dashboard providing dynamic rendering of target and peer trajectories, an overlaid mean peer centroid curve, categorical risk classifications, and a radial PMRI gauge. When PMRI falls below 0.50, the system generates an advisory warning signal advising engineering abstention, thereby preventing overconfident automated misclassifications.</w:t>
      </w:r>
    </w:p>
    <w:p>
      <w:pPr>
        <w:spacing w:before="280" w:after="80"/>
      </w:pPr>
      <w:r>
        <w:rPr>
          <w:b/>
          <w:color w:val="0F172A"/>
          <w:sz w:val="24"/>
        </w:rPr>
        <w:t>BRIEF DESCRIPTION OF THE DRAWINGS</w:t>
      </w:r>
    </w:p>
    <w:p>
      <w:pPr>
        <w:spacing w:after="80"/>
      </w:pPr>
      <w:r>
        <w:t>The accompanying drawings illustrate the technical architecture, operational procedures, subsystem details, and verified experimental performance of the present invention. Reference numerals are consistently utilized across all drawings and the Detailed Description.</w:t>
      </w:r>
    </w:p>
    <w:p>
      <w:pPr>
        <w:spacing w:after="80"/>
      </w:pPr>
      <w:r>
        <w:rPr>
          <w:b/>
        </w:rPr>
        <w:t xml:space="preserve">FIG. 1 — </w:t>
      </w:r>
      <w:r>
        <w:t>FIG. 1 illustrates the overall system architecture and data flow, including the battery sensor interface 100, data preprocessing unit 102, observation cutoff controller 104, feature extraction subsystem 106/108, sequestered training reference pool 110, peer-matching subsystem 112, selected peer cohort 114, peer-relative degradation analysis subsystem 116, PMRI subsystem 118, diagnostic warning generator 120, EOL risk prediction engine 122, and controller output/visualization interface 124.</w:t>
      </w:r>
    </w:p>
    <w:p>
      <w:pPr>
        <w:spacing w:after="80"/>
      </w:pPr>
      <w:r>
        <w:rPr>
          <w:b/>
        </w:rPr>
        <w:t xml:space="preserve">FIG. 2 — </w:t>
      </w:r>
      <w:r>
        <w:t>FIG. 2 illustrates the operational flow for early end-of-life risk screening, depicting the processing sequence from physical signal acquisition 200, cutoff selection 204, feature standardization 208, peer distance computation 210, peer availability branching 212/214/216, peer-relative feature computation 218, calibrated EOL risk estimation 220, to controller output generation 222.</w:t>
      </w:r>
    </w:p>
    <w:p>
      <w:pPr>
        <w:spacing w:after="80"/>
      </w:pPr>
      <w:r>
        <w:rPr>
          <w:b/>
        </w:rPr>
        <w:t xml:space="preserve">FIG. 3 — </w:t>
      </w:r>
      <w:r>
        <w:t>FIG. 3 illustrates the peer-matching and reference-pool selection subsystem, detailing target input vector 300, sequestered reference database 302, training-only scaler module 304, self-match filter 306, weighted Euclidean distance engine 308, and top-k selection logic 310.</w:t>
      </w:r>
    </w:p>
    <w:p>
      <w:pPr>
        <w:spacing w:after="80"/>
      </w:pPr>
      <w:r>
        <w:rPr>
          <w:b/>
        </w:rPr>
        <w:t xml:space="preserve">FIG. 4 — </w:t>
      </w:r>
      <w:r>
        <w:t>FIG. 4 illustrates the Peer-Match Reliability Index (PMRI) and warning subsystem, detailing the exponential distance decay similarity calculator 400, exponential dispersion decay agreement calculator 402, availability calculator 404, completeness calculator 406, linear composition aggregator 408, diagnostic warning evaluator 410, and advisory gating output 420.</w:t>
      </w:r>
    </w:p>
    <w:p>
      <w:pPr>
        <w:spacing w:after="80"/>
      </w:pPr>
      <w:r>
        <w:rPr>
          <w:b/>
        </w:rPr>
        <w:t xml:space="preserve">FIG. 5 — </w:t>
      </w:r>
      <w:r>
        <w:t>FIG. 5 illustrates the prediction and model-evaluation workflow, detailing the progressive feature hierarchy 500 (M1 to M4), 5-fold cross-validation engine 502, Youden's J threshold selector 504, Platt probability calibrator 506, and dual-cohort evaluation modules 510/512.</w:t>
      </w:r>
    </w:p>
    <w:p>
      <w:pPr>
        <w:spacing w:after="80"/>
      </w:pPr>
      <w:r>
        <w:rPr>
          <w:b/>
        </w:rPr>
        <w:t xml:space="preserve">FIG. 6 — </w:t>
      </w:r>
      <w:r>
        <w:t>FIG. 6 illustrates verified experimental performance comparisons across observation cutoffs (40, 70, 100 cycles) for models M1–M4 on the primary test partition, plotting AUROC (left panel), AUPRC (middle panel), and Brier score loss (right panel).</w:t>
      </w:r>
    </w:p>
    <w:p>
      <w:pPr>
        <w:spacing w:after="80"/>
      </w:pPr>
      <w:r>
        <w:rPr>
          <w:b/>
        </w:rPr>
        <w:t xml:space="preserve">FIG. 7 — </w:t>
      </w:r>
      <w:r>
        <w:t>FIG. 7 illustrates paired model difference forest plots with 95% bootstrap confidence intervals (B=1000 resamples), displaying delta AUROC (left panel) and delta Brier score (right panel) across all model comparisons and cutoffs.</w:t>
      </w:r>
    </w:p>
    <w:p>
      <w:pPr>
        <w:spacing w:after="80"/>
      </w:pPr>
      <w:r>
        <w:rPr>
          <w:b/>
        </w:rPr>
        <w:t xml:space="preserve">FIG. 8 — </w:t>
      </w:r>
      <w:r>
        <w:t>FIG. 8 illustrates PMRI reliability stratification and error analysis across observation cutoffs, displaying Brier score loss (left panel) and mean absolute error (right panel) for High PMRI vs Moderate/Low PMRI cohorts.</w:t>
      </w:r>
    </w:p>
    <w:p>
      <w:pPr>
        <w:spacing w:after="80"/>
      </w:pPr>
      <w:r>
        <w:rPr>
          <w:b/>
        </w:rPr>
        <w:t xml:space="preserve">FIG. 9 — </w:t>
      </w:r>
      <w:r>
        <w:t>FIG. 9 illustrates empirical probability calibration reliability diagrams across observation cutoffs 40, 70, and 100 cycles, plotting mean predicted probability against observed fraction of positive EOL events for models M1–M4.</w:t>
      </w:r>
    </w:p>
    <w:p>
      <w:pPr>
        <w:spacing w:before="160" w:after="40"/>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3526971"/>
                    </a:xfrm>
                    <a:prstGeom prst="rect"/>
                  </pic:spPr>
                </pic:pic>
              </a:graphicData>
            </a:graphic>
          </wp:inline>
        </w:drawing>
      </w:r>
    </w:p>
    <w:p>
      <w:pPr>
        <w:spacing w:before="0" w:after="200"/>
        <w:jc w:val="center"/>
      </w:pPr>
      <w:r>
        <w:rPr>
          <w:b/>
          <w:color w:val="334155"/>
          <w:sz w:val="19"/>
        </w:rPr>
        <w:t>FIG. 1 — System Architecture and Data Flow Diagram</w:t>
      </w:r>
    </w:p>
    <w:p>
      <w:pPr>
        <w:spacing w:before="160" w:after="40"/>
        <w:jc w:val="center"/>
      </w:pPr>
      <w:r>
        <w:drawing>
          <wp:inline xmlns:a="http://schemas.openxmlformats.org/drawingml/2006/main" xmlns:pic="http://schemas.openxmlformats.org/drawingml/2006/picture">
            <wp:extent cx="5486400" cy="6982691"/>
            <wp:docPr id="2" name="Picture 2"/>
            <wp:cNvGraphicFramePr>
              <a:graphicFrameLocks noChangeAspect="1"/>
            </wp:cNvGraphicFramePr>
            <a:graphic>
              <a:graphicData uri="http://schemas.openxmlformats.org/drawingml/2006/picture">
                <pic:pic>
                  <pic:nvPicPr>
                    <pic:cNvPr id="0" name="fig2_operational_flow.png"/>
                    <pic:cNvPicPr/>
                  </pic:nvPicPr>
                  <pic:blipFill>
                    <a:blip r:embed="rId10"/>
                    <a:stretch>
                      <a:fillRect/>
                    </a:stretch>
                  </pic:blipFill>
                  <pic:spPr>
                    <a:xfrm>
                      <a:off x="0" y="0"/>
                      <a:ext cx="5486400" cy="6982691"/>
                    </a:xfrm>
                    <a:prstGeom prst="rect"/>
                  </pic:spPr>
                </pic:pic>
              </a:graphicData>
            </a:graphic>
          </wp:inline>
        </w:drawing>
      </w:r>
    </w:p>
    <w:p>
      <w:pPr>
        <w:spacing w:before="0" w:after="200"/>
        <w:jc w:val="center"/>
      </w:pPr>
      <w:r>
        <w:rPr>
          <w:b/>
          <w:color w:val="334155"/>
          <w:sz w:val="19"/>
        </w:rPr>
        <w:t>FIG. 2 — Operational Flow for Early End-of-Life Risk Screening</w:t>
      </w:r>
    </w:p>
    <w:p>
      <w:pPr>
        <w:spacing w:before="160" w:after="40"/>
        <w:jc w:val="center"/>
      </w:pPr>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fig3_peer_matching.png"/>
                    <pic:cNvPicPr/>
                  </pic:nvPicPr>
                  <pic:blipFill>
                    <a:blip r:embed="rId11"/>
                    <a:stretch>
                      <a:fillRect/>
                    </a:stretch>
                  </pic:blipFill>
                  <pic:spPr>
                    <a:xfrm>
                      <a:off x="0" y="0"/>
                      <a:ext cx="5486400" cy="3376246"/>
                    </a:xfrm>
                    <a:prstGeom prst="rect"/>
                  </pic:spPr>
                </pic:pic>
              </a:graphicData>
            </a:graphic>
          </wp:inline>
        </w:drawing>
      </w:r>
    </w:p>
    <w:p>
      <w:pPr>
        <w:spacing w:before="0" w:after="200"/>
        <w:jc w:val="center"/>
      </w:pPr>
      <w:r>
        <w:rPr>
          <w:b/>
          <w:color w:val="334155"/>
          <w:sz w:val="19"/>
        </w:rPr>
        <w:t>FIG. 3 — Peer Matching and Reference-Pool Selection Subsystem</w:t>
      </w:r>
    </w:p>
    <w:p>
      <w:pPr>
        <w:spacing w:before="160" w:after="40"/>
        <w:jc w:val="center"/>
      </w:pPr>
      <w:r>
        <w:drawing>
          <wp:inline xmlns:a="http://schemas.openxmlformats.org/drawingml/2006/main" xmlns:pic="http://schemas.openxmlformats.org/drawingml/2006/picture">
            <wp:extent cx="5486400" cy="3376246"/>
            <wp:docPr id="4" name="Picture 4"/>
            <wp:cNvGraphicFramePr>
              <a:graphicFrameLocks noChangeAspect="1"/>
            </wp:cNvGraphicFramePr>
            <a:graphic>
              <a:graphicData uri="http://schemas.openxmlformats.org/drawingml/2006/picture">
                <pic:pic>
                  <pic:nvPicPr>
                    <pic:cNvPr id="0" name="fig4_pmri_subsystem.png"/>
                    <pic:cNvPicPr/>
                  </pic:nvPicPr>
                  <pic:blipFill>
                    <a:blip r:embed="rId12"/>
                    <a:stretch>
                      <a:fillRect/>
                    </a:stretch>
                  </pic:blipFill>
                  <pic:spPr>
                    <a:xfrm>
                      <a:off x="0" y="0"/>
                      <a:ext cx="5486400" cy="3376246"/>
                    </a:xfrm>
                    <a:prstGeom prst="rect"/>
                  </pic:spPr>
                </pic:pic>
              </a:graphicData>
            </a:graphic>
          </wp:inline>
        </w:drawing>
      </w:r>
    </w:p>
    <w:p>
      <w:pPr>
        <w:spacing w:before="0" w:after="200"/>
        <w:jc w:val="center"/>
      </w:pPr>
      <w:r>
        <w:rPr>
          <w:b/>
          <w:color w:val="334155"/>
          <w:sz w:val="19"/>
        </w:rPr>
        <w:t>FIG. 4 — Peer-Match Reliability Index (PMRI) and Warning Subsystem</w:t>
      </w:r>
    </w:p>
    <w:p>
      <w:pPr>
        <w:spacing w:before="160" w:after="40"/>
        <w:jc w:val="center"/>
      </w:pPr>
      <w:r>
        <w:drawing>
          <wp:inline xmlns:a="http://schemas.openxmlformats.org/drawingml/2006/main" xmlns:pic="http://schemas.openxmlformats.org/drawingml/2006/picture">
            <wp:extent cx="5486400" cy="3376246"/>
            <wp:docPr id="5" name="Picture 5"/>
            <wp:cNvGraphicFramePr>
              <a:graphicFrameLocks noChangeAspect="1"/>
            </wp:cNvGraphicFramePr>
            <a:graphic>
              <a:graphicData uri="http://schemas.openxmlformats.org/drawingml/2006/picture">
                <pic:pic>
                  <pic:nvPicPr>
                    <pic:cNvPr id="0" name="fig5_model_architecture.png"/>
                    <pic:cNvPicPr/>
                  </pic:nvPicPr>
                  <pic:blipFill>
                    <a:blip r:embed="rId13"/>
                    <a:stretch>
                      <a:fillRect/>
                    </a:stretch>
                  </pic:blipFill>
                  <pic:spPr>
                    <a:xfrm>
                      <a:off x="0" y="0"/>
                      <a:ext cx="5486400" cy="3376246"/>
                    </a:xfrm>
                    <a:prstGeom prst="rect"/>
                  </pic:spPr>
                </pic:pic>
              </a:graphicData>
            </a:graphic>
          </wp:inline>
        </w:drawing>
      </w:r>
    </w:p>
    <w:p>
      <w:pPr>
        <w:spacing w:before="0" w:after="200"/>
        <w:jc w:val="center"/>
      </w:pPr>
      <w:r>
        <w:rPr>
          <w:b/>
          <w:color w:val="334155"/>
          <w:sz w:val="19"/>
        </w:rPr>
        <w:t>FIG. 5 — Prediction and Model-Evaluation Workflow</w:t>
      </w:r>
    </w:p>
    <w:p>
      <w:pPr>
        <w:spacing w:before="160" w:after="40"/>
        <w:jc w:val="center"/>
      </w:pPr>
      <w:r>
        <w:drawing>
          <wp:inline xmlns:a="http://schemas.openxmlformats.org/drawingml/2006/main" xmlns:pic="http://schemas.openxmlformats.org/drawingml/2006/picture">
            <wp:extent cx="5486400" cy="1714500"/>
            <wp:docPr id="6" name="Picture 6"/>
            <wp:cNvGraphicFramePr>
              <a:graphicFrameLocks noChangeAspect="1"/>
            </wp:cNvGraphicFramePr>
            <a:graphic>
              <a:graphicData uri="http://schemas.openxmlformats.org/drawingml/2006/picture">
                <pic:pic>
                  <pic:nvPicPr>
                    <pic:cNvPr id="0" name="fig6_cutoff_comparison.png"/>
                    <pic:cNvPicPr/>
                  </pic:nvPicPr>
                  <pic:blipFill>
                    <a:blip r:embed="rId14"/>
                    <a:stretch>
                      <a:fillRect/>
                    </a:stretch>
                  </pic:blipFill>
                  <pic:spPr>
                    <a:xfrm>
                      <a:off x="0" y="0"/>
                      <a:ext cx="5486400" cy="1714500"/>
                    </a:xfrm>
                    <a:prstGeom prst="rect"/>
                  </pic:spPr>
                </pic:pic>
              </a:graphicData>
            </a:graphic>
          </wp:inline>
        </w:drawing>
      </w:r>
    </w:p>
    <w:p>
      <w:pPr>
        <w:spacing w:before="0" w:after="200"/>
        <w:jc w:val="center"/>
      </w:pPr>
      <w:r>
        <w:rPr>
          <w:b/>
          <w:color w:val="334155"/>
          <w:sz w:val="19"/>
        </w:rPr>
        <w:t>FIG. 6 — Experimental Performance across Observation Cutoffs (Primary Test)</w:t>
      </w:r>
    </w:p>
    <w:p>
      <w:pPr>
        <w:spacing w:before="160" w:after="40"/>
        <w:jc w:val="center"/>
      </w:pPr>
      <w:r>
        <w:drawing>
          <wp:inline xmlns:a="http://schemas.openxmlformats.org/drawingml/2006/main" xmlns:pic="http://schemas.openxmlformats.org/drawingml/2006/picture">
            <wp:extent cx="5486400" cy="2155371"/>
            <wp:docPr id="7" name="Picture 7"/>
            <wp:cNvGraphicFramePr>
              <a:graphicFrameLocks noChangeAspect="1"/>
            </wp:cNvGraphicFramePr>
            <a:graphic>
              <a:graphicData uri="http://schemas.openxmlformats.org/drawingml/2006/picture">
                <pic:pic>
                  <pic:nvPicPr>
                    <pic:cNvPr id="0" name="fig7_model_differences.png"/>
                    <pic:cNvPicPr/>
                  </pic:nvPicPr>
                  <pic:blipFill>
                    <a:blip r:embed="rId15"/>
                    <a:stretch>
                      <a:fillRect/>
                    </a:stretch>
                  </pic:blipFill>
                  <pic:spPr>
                    <a:xfrm>
                      <a:off x="0" y="0"/>
                      <a:ext cx="5486400" cy="2155371"/>
                    </a:xfrm>
                    <a:prstGeom prst="rect"/>
                  </pic:spPr>
                </pic:pic>
              </a:graphicData>
            </a:graphic>
          </wp:inline>
        </w:drawing>
      </w:r>
    </w:p>
    <w:p>
      <w:pPr>
        <w:spacing w:before="0" w:after="200"/>
        <w:jc w:val="center"/>
      </w:pPr>
      <w:r>
        <w:rPr>
          <w:b/>
          <w:color w:val="334155"/>
          <w:sz w:val="19"/>
        </w:rPr>
        <w:t>FIG. 7 — Paired Model Difference Forest Plot with 95% Bootstrap CIs</w:t>
      </w:r>
    </w:p>
    <w:p>
      <w:pPr>
        <w:spacing w:before="160" w:after="40"/>
        <w:jc w:val="center"/>
      </w:pPr>
      <w:r>
        <w:drawing>
          <wp:inline xmlns:a="http://schemas.openxmlformats.org/drawingml/2006/main" xmlns:pic="http://schemas.openxmlformats.org/drawingml/2006/picture">
            <wp:extent cx="5486400" cy="2110154"/>
            <wp:docPr id="8" name="Picture 8"/>
            <wp:cNvGraphicFramePr>
              <a:graphicFrameLocks noChangeAspect="1"/>
            </wp:cNvGraphicFramePr>
            <a:graphic>
              <a:graphicData uri="http://schemas.openxmlformats.org/drawingml/2006/picture">
                <pic:pic>
                  <pic:nvPicPr>
                    <pic:cNvPr id="0" name="fig8_pmri_stratification.png"/>
                    <pic:cNvPicPr/>
                  </pic:nvPicPr>
                  <pic:blipFill>
                    <a:blip r:embed="rId16"/>
                    <a:stretch>
                      <a:fillRect/>
                    </a:stretch>
                  </pic:blipFill>
                  <pic:spPr>
                    <a:xfrm>
                      <a:off x="0" y="0"/>
                      <a:ext cx="5486400" cy="2110154"/>
                    </a:xfrm>
                    <a:prstGeom prst="rect"/>
                  </pic:spPr>
                </pic:pic>
              </a:graphicData>
            </a:graphic>
          </wp:inline>
        </w:drawing>
      </w:r>
    </w:p>
    <w:p>
      <w:pPr>
        <w:spacing w:before="0" w:after="200"/>
        <w:jc w:val="center"/>
      </w:pPr>
      <w:r>
        <w:rPr>
          <w:b/>
          <w:color w:val="334155"/>
          <w:sz w:val="19"/>
        </w:rPr>
        <w:t>FIG. 8 — PMRI Reliability Stratification and Prediction Error Analysis</w:t>
      </w:r>
    </w:p>
    <w:p>
      <w:pPr>
        <w:spacing w:before="160" w:after="40"/>
        <w:jc w:val="center"/>
      </w:pPr>
      <w:r>
        <w:drawing>
          <wp:inline xmlns:a="http://schemas.openxmlformats.org/drawingml/2006/main" xmlns:pic="http://schemas.openxmlformats.org/drawingml/2006/picture">
            <wp:extent cx="5486400" cy="1714500"/>
            <wp:docPr id="9" name="Picture 9"/>
            <wp:cNvGraphicFramePr>
              <a:graphicFrameLocks noChangeAspect="1"/>
            </wp:cNvGraphicFramePr>
            <a:graphic>
              <a:graphicData uri="http://schemas.openxmlformats.org/drawingml/2006/picture">
                <pic:pic>
                  <pic:nvPicPr>
                    <pic:cNvPr id="0" name="fig9_calibration_diagrams.png"/>
                    <pic:cNvPicPr/>
                  </pic:nvPicPr>
                  <pic:blipFill>
                    <a:blip r:embed="rId17"/>
                    <a:stretch>
                      <a:fillRect/>
                    </a:stretch>
                  </pic:blipFill>
                  <pic:spPr>
                    <a:xfrm>
                      <a:off x="0" y="0"/>
                      <a:ext cx="5486400" cy="1714500"/>
                    </a:xfrm>
                    <a:prstGeom prst="rect"/>
                  </pic:spPr>
                </pic:pic>
              </a:graphicData>
            </a:graphic>
          </wp:inline>
        </w:drawing>
      </w:r>
    </w:p>
    <w:p>
      <w:pPr>
        <w:spacing w:before="0" w:after="200"/>
        <w:jc w:val="center"/>
      </w:pPr>
      <w:r>
        <w:rPr>
          <w:b/>
          <w:color w:val="334155"/>
          <w:sz w:val="19"/>
        </w:rPr>
        <w:t>FIG. 9 — Probability Calibration Reliability Diagrams across Cutoffs</w:t>
      </w:r>
    </w:p>
    <w:p>
      <w:pPr>
        <w:spacing w:before="280" w:after="80"/>
      </w:pPr>
      <w:r>
        <w:rPr>
          <w:b/>
          <w:color w:val="0F172A"/>
          <w:sz w:val="24"/>
        </w:rPr>
        <w:t>DETAILED DESCRIPTION OF THE INVENTION</w:t>
      </w:r>
    </w:p>
    <w:p>
      <w:pPr>
        <w:spacing w:after="80"/>
      </w:pPr>
      <w:r>
        <w:t>The present invention operates through a plurality of interconnected hardware and software subsystems that process cycle-level battery measurements, extract degradation characteristics, identify comparable reference cells, evaluate peer-relative degradation, assess peer comparison reliability, and generate calibrated end-of-life risk estimates. Reference is made to FIGS. 1 through 9 for component arrangements, operational flows, and verified experimental characteristics.</w:t>
      </w:r>
    </w:p>
    <w:p>
      <w:pPr>
        <w:spacing w:before="180" w:after="60"/>
      </w:pPr>
      <w:r>
        <w:rPr>
          <w:b/>
          <w:color w:val="1E293B"/>
          <w:sz w:val="22"/>
        </w:rPr>
        <w:t>1. Battery Sensor Interface and Data Acquisition (100):</w:t>
      </w:r>
    </w:p>
    <w:p>
      <w:pPr>
        <w:spacing w:after="80"/>
      </w:pPr>
      <w:r>
        <w:t>The battery sensor interface 100 is coupled to physical sensors monitoring an electrochemical lithium-ion cell undergoing repeated charging and discharging. The physical sensors include voltage sense taps measuring cell terminal voltage V(t), current shunts or Hall-effect sensors measuring charge current I_c(t) and discharge current I_d(t), surface thermocouples measuring cell skin temperature T(t), and an internal resistance estimation circuit or high-frequency impedance measurement unit measuring internal resistance IR. The system receives time-series measurements indexed by cycle number n.</w:t>
      </w:r>
    </w:p>
    <w:p>
      <w:pPr>
        <w:spacing w:after="80"/>
      </w:pPr>
      <w:r>
        <w:t>In the primary experimental embodiment, the cell chemistry comprises commercial cylindrical A123 Systems APR18650M1A lithium-iron-phosphate (LFP/graphite) cells having a nominal manufacturer-rated capacity of 1.1 Ah and a nominal voltage of 3.3 V. The cycling protocol comprises fast charging under multi-stage constant-current constant-voltage policies (e.g., C1(SOC)-C2) followed by 4C discharging to 2.0 V at 24°C ambient chamber temperature.</w:t>
      </w:r>
    </w:p>
    <w:p>
      <w:pPr>
        <w:spacing w:after="80"/>
      </w:pPr>
      <w:r>
        <w:t>Cycle 1 is conducted under an unmonitored diagnostic protocol where discharge capacity is zero. In accordance with the invention, data acquisition strictly ignores Cycle 1, and physical baselining commences at Cycle 2.</w:t>
      </w:r>
    </w:p>
    <w:p>
      <w:pPr>
        <w:spacing w:before="180" w:after="60"/>
      </w:pPr>
      <w:r>
        <w:rPr>
          <w:b/>
          <w:color w:val="1E293B"/>
          <w:sz w:val="22"/>
        </w:rPr>
        <w:t>2. Data Preprocessing and Observation Cutoff Module (102, 104):</w:t>
      </w:r>
    </w:p>
    <w:p>
      <w:pPr>
        <w:spacing w:after="80"/>
      </w:pPr>
      <w:r>
        <w:t>The data preprocessing unit 102 aligns cycle records, verifies monotonicity of cycle counters, and handles missing sensor samples. The observation cutoff controller 104 restricts all subsequent feature extraction strictly to measurements collected between Cycle 2 and a predefined observation cutoff cycle N_obs, where N_obs is selected from 40, 70, or 100 cycles.</w:t>
      </w:r>
    </w:p>
    <w:p>
      <w:pPr>
        <w:spacing w:after="80"/>
      </w:pPr>
      <w:r>
        <w:t>Strict Anti-Leakage Provision: Measurements from cycles n &gt; N_obs are completely sequestered and unavailable to the feature engineering and peer-matching modules. Normalization parameters (means and standard deviations) are computed exclusively on the designated training partition, preventing held-out test cell measurements from influencing data transformations.</w:t>
      </w:r>
    </w:p>
    <w:p>
      <w:pPr>
        <w:spacing w:before="180" w:after="60"/>
      </w:pPr>
      <w:r>
        <w:rPr>
          <w:b/>
          <w:color w:val="1E293B"/>
          <w:sz w:val="22"/>
        </w:rPr>
        <w:t>3. Battery Feature Engineering Subsystem (106, 108):</w:t>
      </w:r>
    </w:p>
    <w:p>
      <w:pPr>
        <w:spacing w:after="80"/>
      </w:pPr>
      <w:r>
        <w:t>The feature extraction subsystem 106/108 transforms the cycle-indexed measurements into structured numerical feature groups organized into four progressive model configurations: M1 (18 features), M2 (34 features), M3 (42 features), and M4 (46 features). The complete definitions, formulas, and units are specified in Table 1.</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80" w:type="dxa"/>
              <w:bottom w:w="80" w:type="dxa"/>
              <w:left w:w="120" w:type="dxa"/>
              <w:right w:w="120" w:type="dxa"/>
            </w:tcMar>
            <w:vAlign w:val="center"/>
            <w:shd w:fill="E2E8F0"/>
          </w:tcPr>
          <w:p>
            <w:pPr>
              <w:spacing w:after="40" w:before="40"/>
            </w:pPr>
            <w:r>
              <w:rPr>
                <w:b/>
                <w:sz w:val="18"/>
              </w:rPr>
              <w:t>Group</w:t>
            </w:r>
          </w:p>
        </w:tc>
        <w:tc>
          <w:tcPr>
            <w:tcW w:type="dxa" w:w="1872"/>
            <w:tcMar>
              <w:top w:w="80" w:type="dxa"/>
              <w:bottom w:w="80" w:type="dxa"/>
              <w:left w:w="120" w:type="dxa"/>
              <w:right w:w="120" w:type="dxa"/>
            </w:tcMar>
            <w:vAlign w:val="center"/>
            <w:shd w:fill="E2E8F0"/>
          </w:tcPr>
          <w:p>
            <w:pPr>
              <w:spacing w:after="40" w:before="40"/>
            </w:pPr>
            <w:r>
              <w:rPr>
                <w:b/>
                <w:sz w:val="18"/>
              </w:rPr>
              <w:t>Feature Name</w:t>
            </w:r>
          </w:p>
        </w:tc>
        <w:tc>
          <w:tcPr>
            <w:tcW w:type="dxa" w:w="1872"/>
            <w:tcMar>
              <w:top w:w="80" w:type="dxa"/>
              <w:bottom w:w="80" w:type="dxa"/>
              <w:left w:w="120" w:type="dxa"/>
              <w:right w:w="120" w:type="dxa"/>
            </w:tcMar>
            <w:vAlign w:val="center"/>
            <w:shd w:fill="E2E8F0"/>
          </w:tcPr>
          <w:p>
            <w:pPr>
              <w:spacing w:after="40" w:before="40"/>
            </w:pPr>
            <w:r>
              <w:rPr>
                <w:b/>
                <w:sz w:val="18"/>
              </w:rPr>
              <w:t>Physical Definition / Formula</w:t>
            </w:r>
          </w:p>
        </w:tc>
        <w:tc>
          <w:tcPr>
            <w:tcW w:type="dxa" w:w="1872"/>
            <w:tcMar>
              <w:top w:w="80" w:type="dxa"/>
              <w:bottom w:w="80" w:type="dxa"/>
              <w:left w:w="120" w:type="dxa"/>
              <w:right w:w="120" w:type="dxa"/>
            </w:tcMar>
            <w:vAlign w:val="center"/>
            <w:shd w:fill="E2E8F0"/>
          </w:tcPr>
          <w:p>
            <w:pPr>
              <w:spacing w:after="40" w:before="40"/>
            </w:pPr>
            <w:r>
              <w:rPr>
                <w:b/>
                <w:sz w:val="18"/>
              </w:rPr>
              <w:t>Units</w:t>
            </w:r>
          </w:p>
        </w:tc>
        <w:tc>
          <w:tcPr>
            <w:tcW w:type="dxa" w:w="1872"/>
            <w:tcMar>
              <w:top w:w="80" w:type="dxa"/>
              <w:bottom w:w="80" w:type="dxa"/>
              <w:left w:w="120" w:type="dxa"/>
              <w:right w:w="120" w:type="dxa"/>
            </w:tcMar>
            <w:vAlign w:val="center"/>
            <w:shd w:fill="E2E8F0"/>
          </w:tcPr>
          <w:p>
            <w:pPr>
              <w:spacing w:after="40" w:before="40"/>
            </w:pPr>
            <w:r>
              <w:rPr>
                <w:b/>
                <w:sz w:val="18"/>
              </w:rPr>
              <w:t>Window</w:t>
            </w:r>
          </w:p>
        </w:tc>
      </w:tr>
      <w:tr>
        <w:trPr>
          <w:cantSplit/>
        </w:trPr>
        <w:tc>
          <w:tcPr>
            <w:tcW w:type="dxa" w:w="1872"/>
            <w:tcMar>
              <w:top w:w="80" w:type="dxa"/>
              <w:bottom w:w="80" w:type="dxa"/>
              <w:left w:w="120" w:type="dxa"/>
              <w:right w:w="120" w:type="dxa"/>
            </w:tcMar>
            <w:vAlign w:val="center"/>
          </w:tcPr>
          <w:p>
            <w:pPr>
              <w:spacing w:after="20" w:before="20"/>
            </w:pPr>
            <w:r>
              <w:rPr>
                <w:sz w:val="17"/>
              </w:rPr>
              <w:t>init (11)</w:t>
            </w:r>
          </w:p>
        </w:tc>
        <w:tc>
          <w:tcPr>
            <w:tcW w:type="dxa" w:w="1872"/>
            <w:tcMar>
              <w:top w:w="80" w:type="dxa"/>
              <w:bottom w:w="80" w:type="dxa"/>
              <w:left w:w="120" w:type="dxa"/>
              <w:right w:w="120" w:type="dxa"/>
            </w:tcMar>
            <w:vAlign w:val="center"/>
          </w:tcPr>
          <w:p>
            <w:pPr>
              <w:spacing w:after="20" w:before="20"/>
            </w:pPr>
            <w:r>
              <w:rPr>
                <w:sz w:val="17"/>
              </w:rPr>
              <w:t>init_policy_c1</w:t>
            </w:r>
          </w:p>
        </w:tc>
        <w:tc>
          <w:tcPr>
            <w:tcW w:type="dxa" w:w="1872"/>
            <w:tcMar>
              <w:top w:w="80" w:type="dxa"/>
              <w:bottom w:w="80" w:type="dxa"/>
              <w:left w:w="120" w:type="dxa"/>
              <w:right w:w="120" w:type="dxa"/>
            </w:tcMar>
            <w:vAlign w:val="center"/>
          </w:tcPr>
          <w:p>
            <w:pPr>
              <w:spacing w:after="20" w:before="20"/>
            </w:pPr>
            <w:r>
              <w:rPr>
                <w:sz w:val="17"/>
              </w:rPr>
              <w:t>First fast-charge current rate C1</w:t>
            </w:r>
          </w:p>
        </w:tc>
        <w:tc>
          <w:tcPr>
            <w:tcW w:type="dxa" w:w="1872"/>
            <w:tcMar>
              <w:top w:w="80" w:type="dxa"/>
              <w:bottom w:w="80" w:type="dxa"/>
              <w:left w:w="120" w:type="dxa"/>
              <w:right w:w="120" w:type="dxa"/>
            </w:tcMar>
            <w:vAlign w:val="center"/>
          </w:tcPr>
          <w:p>
            <w:pPr>
              <w:spacing w:after="20" w:before="20"/>
            </w:pPr>
            <w:r>
              <w:rPr>
                <w:sz w:val="17"/>
              </w:rPr>
              <w:t>C-rate</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init_policy_soc</w:t>
            </w:r>
          </w:p>
        </w:tc>
        <w:tc>
          <w:tcPr>
            <w:tcW w:type="dxa" w:w="1872"/>
            <w:tcMar>
              <w:top w:w="80" w:type="dxa"/>
              <w:bottom w:w="80" w:type="dxa"/>
              <w:left w:w="120" w:type="dxa"/>
              <w:right w:w="120" w:type="dxa"/>
            </w:tcMar>
            <w:vAlign w:val="center"/>
          </w:tcPr>
          <w:p>
            <w:pPr>
              <w:spacing w:after="20" w:before="20"/>
            </w:pPr>
            <w:r>
              <w:rPr>
                <w:sz w:val="17"/>
              </w:rPr>
              <w:t>State-of-charge current switch threshold</w:t>
            </w:r>
          </w:p>
        </w:tc>
        <w:tc>
          <w:tcPr>
            <w:tcW w:type="dxa" w:w="1872"/>
            <w:tcMar>
              <w:top w:w="80" w:type="dxa"/>
              <w:bottom w:w="80" w:type="dxa"/>
              <w:left w:w="120" w:type="dxa"/>
              <w:right w:w="120" w:type="dxa"/>
            </w:tcMar>
            <w:vAlign w:val="center"/>
          </w:tcPr>
          <w:p>
            <w:pPr>
              <w:spacing w:after="20" w:before="20"/>
            </w:pPr>
            <w:r>
              <w:rPr>
                <w:sz w:val="17"/>
              </w:rPr>
              <w:t>%</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init_policy_c2</w:t>
            </w:r>
          </w:p>
        </w:tc>
        <w:tc>
          <w:tcPr>
            <w:tcW w:type="dxa" w:w="1872"/>
            <w:tcMar>
              <w:top w:w="80" w:type="dxa"/>
              <w:bottom w:w="80" w:type="dxa"/>
              <w:left w:w="120" w:type="dxa"/>
              <w:right w:w="120" w:type="dxa"/>
            </w:tcMar>
            <w:vAlign w:val="center"/>
          </w:tcPr>
          <w:p>
            <w:pPr>
              <w:spacing w:after="20" w:before="20"/>
            </w:pPr>
            <w:r>
              <w:rPr>
                <w:sz w:val="17"/>
              </w:rPr>
              <w:t>Second fast-charge current rate C2</w:t>
            </w:r>
          </w:p>
        </w:tc>
        <w:tc>
          <w:tcPr>
            <w:tcW w:type="dxa" w:w="1872"/>
            <w:tcMar>
              <w:top w:w="80" w:type="dxa"/>
              <w:bottom w:w="80" w:type="dxa"/>
              <w:left w:w="120" w:type="dxa"/>
              <w:right w:w="120" w:type="dxa"/>
            </w:tcMar>
            <w:vAlign w:val="center"/>
          </w:tcPr>
          <w:p>
            <w:pPr>
              <w:spacing w:after="20" w:before="20"/>
            </w:pPr>
            <w:r>
              <w:rPr>
                <w:sz w:val="17"/>
              </w:rPr>
              <w:t>C-rate</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init_q_discharge</w:t>
            </w:r>
          </w:p>
        </w:tc>
        <w:tc>
          <w:tcPr>
            <w:tcW w:type="dxa" w:w="1872"/>
            <w:tcMar>
              <w:top w:w="80" w:type="dxa"/>
              <w:bottom w:w="80" w:type="dxa"/>
              <w:left w:w="120" w:type="dxa"/>
              <w:right w:w="120" w:type="dxa"/>
            </w:tcMar>
            <w:vAlign w:val="center"/>
          </w:tcPr>
          <w:p>
            <w:pPr>
              <w:spacing w:after="20" w:before="20"/>
            </w:pPr>
            <w:r>
              <w:rPr>
                <w:sz w:val="17"/>
              </w:rPr>
              <w:t>Baseline discharge capacity Q_d(2)</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init_q_charge</w:t>
            </w:r>
          </w:p>
        </w:tc>
        <w:tc>
          <w:tcPr>
            <w:tcW w:type="dxa" w:w="1872"/>
            <w:tcMar>
              <w:top w:w="80" w:type="dxa"/>
              <w:bottom w:w="80" w:type="dxa"/>
              <w:left w:w="120" w:type="dxa"/>
              <w:right w:w="120" w:type="dxa"/>
            </w:tcMar>
            <w:vAlign w:val="center"/>
          </w:tcPr>
          <w:p>
            <w:pPr>
              <w:spacing w:after="20" w:before="20"/>
            </w:pPr>
            <w:r>
              <w:rPr>
                <w:sz w:val="17"/>
              </w:rPr>
              <w:t>Baseline charge capacity Q_c(2)</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init_coulombic_eff</w:t>
            </w:r>
          </w:p>
        </w:tc>
        <w:tc>
          <w:tcPr>
            <w:tcW w:type="dxa" w:w="1872"/>
            <w:tcMar>
              <w:top w:w="80" w:type="dxa"/>
              <w:bottom w:w="80" w:type="dxa"/>
              <w:left w:w="120" w:type="dxa"/>
              <w:right w:w="120" w:type="dxa"/>
            </w:tcMar>
            <w:vAlign w:val="center"/>
          </w:tcPr>
          <w:p>
            <w:pPr>
              <w:spacing w:after="20" w:before="20"/>
            </w:pPr>
            <w:r>
              <w:rPr>
                <w:sz w:val="17"/>
              </w:rPr>
              <w:t>Coulombic efficiency Q_d(2) / Q_c(2)</w:t>
            </w:r>
          </w:p>
        </w:tc>
        <w:tc>
          <w:tcPr>
            <w:tcW w:type="dxa" w:w="1872"/>
            <w:tcMar>
              <w:top w:w="80" w:type="dxa"/>
              <w:bottom w:w="80" w:type="dxa"/>
              <w:left w:w="120" w:type="dxa"/>
              <w:right w:w="120" w:type="dxa"/>
            </w:tcMar>
            <w:vAlign w:val="center"/>
          </w:tcPr>
          <w:p>
            <w:pPr>
              <w:spacing w:after="20" w:before="20"/>
            </w:pPr>
            <w:r>
              <w:rPr>
                <w:sz w:val="17"/>
              </w:rPr>
              <w:t>fraction</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init_internal_resistance</w:t>
            </w:r>
          </w:p>
        </w:tc>
        <w:tc>
          <w:tcPr>
            <w:tcW w:type="dxa" w:w="1872"/>
            <w:tcMar>
              <w:top w:w="80" w:type="dxa"/>
              <w:bottom w:w="80" w:type="dxa"/>
              <w:left w:w="120" w:type="dxa"/>
              <w:right w:w="120" w:type="dxa"/>
            </w:tcMar>
            <w:vAlign w:val="center"/>
          </w:tcPr>
          <w:p>
            <w:pPr>
              <w:spacing w:after="20" w:before="20"/>
            </w:pPr>
            <w:r>
              <w:rPr>
                <w:sz w:val="17"/>
              </w:rPr>
              <w:t>Baseline internal resistance IR(2)</w:t>
            </w:r>
          </w:p>
        </w:tc>
        <w:tc>
          <w:tcPr>
            <w:tcW w:type="dxa" w:w="1872"/>
            <w:tcMar>
              <w:top w:w="80" w:type="dxa"/>
              <w:bottom w:w="80" w:type="dxa"/>
              <w:left w:w="120" w:type="dxa"/>
              <w:right w:w="120" w:type="dxa"/>
            </w:tcMar>
            <w:vAlign w:val="center"/>
          </w:tcPr>
          <w:p>
            <w:pPr>
              <w:spacing w:after="20" w:before="20"/>
            </w:pPr>
            <w:r>
              <w:rPr>
                <w:sz w:val="17"/>
              </w:rPr>
              <w:t>Ohm</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init_temp_max</w:t>
            </w:r>
          </w:p>
        </w:tc>
        <w:tc>
          <w:tcPr>
            <w:tcW w:type="dxa" w:w="1872"/>
            <w:tcMar>
              <w:top w:w="80" w:type="dxa"/>
              <w:bottom w:w="80" w:type="dxa"/>
              <w:left w:w="120" w:type="dxa"/>
              <w:right w:w="120" w:type="dxa"/>
            </w:tcMar>
            <w:vAlign w:val="center"/>
          </w:tcPr>
          <w:p>
            <w:pPr>
              <w:spacing w:after="20" w:before="20"/>
            </w:pPr>
            <w:r>
              <w:rPr>
                <w:sz w:val="17"/>
              </w:rPr>
              <w:t>Peak surface temperature in cycle</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init_temp_avg</w:t>
            </w:r>
          </w:p>
        </w:tc>
        <w:tc>
          <w:tcPr>
            <w:tcW w:type="dxa" w:w="1872"/>
            <w:tcMar>
              <w:top w:w="80" w:type="dxa"/>
              <w:bottom w:w="80" w:type="dxa"/>
              <w:left w:w="120" w:type="dxa"/>
              <w:right w:w="120" w:type="dxa"/>
            </w:tcMar>
            <w:vAlign w:val="center"/>
          </w:tcPr>
          <w:p>
            <w:pPr>
              <w:spacing w:after="20" w:before="20"/>
            </w:pPr>
            <w:r>
              <w:rPr>
                <w:sz w:val="17"/>
              </w:rPr>
              <w:t>Average surface temperature in cycle</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init_temp_min</w:t>
            </w:r>
          </w:p>
        </w:tc>
        <w:tc>
          <w:tcPr>
            <w:tcW w:type="dxa" w:w="1872"/>
            <w:tcMar>
              <w:top w:w="80" w:type="dxa"/>
              <w:bottom w:w="80" w:type="dxa"/>
              <w:left w:w="120" w:type="dxa"/>
              <w:right w:w="120" w:type="dxa"/>
            </w:tcMar>
            <w:vAlign w:val="center"/>
          </w:tcPr>
          <w:p>
            <w:pPr>
              <w:spacing w:after="20" w:before="20"/>
            </w:pPr>
            <w:r>
              <w:rPr>
                <w:sz w:val="17"/>
              </w:rPr>
              <w:t>Minimum surface temperature in cycle</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init</w:t>
            </w:r>
          </w:p>
        </w:tc>
        <w:tc>
          <w:tcPr>
            <w:tcW w:type="dxa" w:w="1872"/>
            <w:tcMar>
              <w:top w:w="80" w:type="dxa"/>
              <w:bottom w:w="80" w:type="dxa"/>
              <w:left w:w="120" w:type="dxa"/>
              <w:right w:w="120" w:type="dxa"/>
            </w:tcMar>
            <w:vAlign w:val="center"/>
          </w:tcPr>
          <w:p>
            <w:pPr>
              <w:spacing w:after="20" w:before="20"/>
            </w:pPr>
            <w:r>
              <w:rPr>
                <w:sz w:val="17"/>
              </w:rPr>
              <w:t>init_charge_time</w:t>
            </w:r>
          </w:p>
        </w:tc>
        <w:tc>
          <w:tcPr>
            <w:tcW w:type="dxa" w:w="1872"/>
            <w:tcMar>
              <w:top w:w="80" w:type="dxa"/>
              <w:bottom w:w="80" w:type="dxa"/>
              <w:left w:w="120" w:type="dxa"/>
              <w:right w:w="120" w:type="dxa"/>
            </w:tcMar>
            <w:vAlign w:val="center"/>
          </w:tcPr>
          <w:p>
            <w:pPr>
              <w:spacing w:after="20" w:before="20"/>
            </w:pPr>
            <w:r>
              <w:rPr>
                <w:sz w:val="17"/>
              </w:rPr>
              <w:t>Time to complete charging cycle</w:t>
            </w:r>
          </w:p>
        </w:tc>
        <w:tc>
          <w:tcPr>
            <w:tcW w:type="dxa" w:w="1872"/>
            <w:tcMar>
              <w:top w:w="80" w:type="dxa"/>
              <w:bottom w:w="80" w:type="dxa"/>
              <w:left w:w="120" w:type="dxa"/>
              <w:right w:w="120" w:type="dxa"/>
            </w:tcMar>
            <w:vAlign w:val="center"/>
          </w:tcPr>
          <w:p>
            <w:pPr>
              <w:spacing w:after="20" w:before="20"/>
            </w:pPr>
            <w:r>
              <w:rPr>
                <w:sz w:val="17"/>
              </w:rPr>
              <w:t>minutes</w:t>
            </w:r>
          </w:p>
        </w:tc>
        <w:tc>
          <w:tcPr>
            <w:tcW w:type="dxa" w:w="1872"/>
            <w:tcMar>
              <w:top w:w="80" w:type="dxa"/>
              <w:bottom w:w="80" w:type="dxa"/>
              <w:left w:w="120" w:type="dxa"/>
              <w:right w:w="120" w:type="dxa"/>
            </w:tcMar>
            <w:vAlign w:val="center"/>
          </w:tcPr>
          <w:p>
            <w:pPr>
              <w:spacing w:after="20" w:before="20"/>
            </w:pPr>
            <w:r>
              <w:rPr>
                <w:sz w:val="17"/>
              </w:rPr>
              <w:t>Cycle 2</w:t>
            </w:r>
          </w:p>
        </w:tc>
      </w:tr>
      <w:tr>
        <w:trPr>
          <w:cantSplit/>
        </w:trPr>
        <w:tc>
          <w:tcPr>
            <w:tcW w:type="dxa" w:w="1872"/>
            <w:tcMar>
              <w:top w:w="80" w:type="dxa"/>
              <w:bottom w:w="80" w:type="dxa"/>
              <w:left w:w="120" w:type="dxa"/>
              <w:right w:w="120" w:type="dxa"/>
            </w:tcMar>
            <w:vAlign w:val="center"/>
          </w:tcPr>
          <w:p>
            <w:pPr>
              <w:spacing w:after="20" w:before="20"/>
            </w:pPr>
            <w:r>
              <w:rPr>
                <w:sz w:val="17"/>
              </w:rPr>
              <w:t>snap (7)</w:t>
            </w:r>
          </w:p>
        </w:tc>
        <w:tc>
          <w:tcPr>
            <w:tcW w:type="dxa" w:w="1872"/>
            <w:tcMar>
              <w:top w:w="80" w:type="dxa"/>
              <w:bottom w:w="80" w:type="dxa"/>
              <w:left w:w="120" w:type="dxa"/>
              <w:right w:w="120" w:type="dxa"/>
            </w:tcMar>
            <w:vAlign w:val="center"/>
          </w:tcPr>
          <w:p>
            <w:pPr>
              <w:spacing w:after="20" w:before="20"/>
            </w:pPr>
            <w:r>
              <w:rPr>
                <w:sz w:val="17"/>
              </w:rPr>
              <w:t>snap_q_discharge</w:t>
            </w:r>
          </w:p>
        </w:tc>
        <w:tc>
          <w:tcPr>
            <w:tcW w:type="dxa" w:w="1872"/>
            <w:tcMar>
              <w:top w:w="80" w:type="dxa"/>
              <w:bottom w:w="80" w:type="dxa"/>
              <w:left w:w="120" w:type="dxa"/>
              <w:right w:w="120" w:type="dxa"/>
            </w:tcMar>
            <w:vAlign w:val="center"/>
          </w:tcPr>
          <w:p>
            <w:pPr>
              <w:spacing w:after="20" w:before="20"/>
            </w:pPr>
            <w:r>
              <w:rPr>
                <w:sz w:val="17"/>
              </w:rPr>
              <w:t>Discharge capacity at cutoff Q_d(N_obs)</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snap</w:t>
            </w:r>
          </w:p>
        </w:tc>
        <w:tc>
          <w:tcPr>
            <w:tcW w:type="dxa" w:w="1872"/>
            <w:tcMar>
              <w:top w:w="80" w:type="dxa"/>
              <w:bottom w:w="80" w:type="dxa"/>
              <w:left w:w="120" w:type="dxa"/>
              <w:right w:w="120" w:type="dxa"/>
            </w:tcMar>
            <w:vAlign w:val="center"/>
          </w:tcPr>
          <w:p>
            <w:pPr>
              <w:spacing w:after="20" w:before="20"/>
            </w:pPr>
            <w:r>
              <w:rPr>
                <w:sz w:val="17"/>
              </w:rPr>
              <w:t>snap_q_charge</w:t>
            </w:r>
          </w:p>
        </w:tc>
        <w:tc>
          <w:tcPr>
            <w:tcW w:type="dxa" w:w="1872"/>
            <w:tcMar>
              <w:top w:w="80" w:type="dxa"/>
              <w:bottom w:w="80" w:type="dxa"/>
              <w:left w:w="120" w:type="dxa"/>
              <w:right w:w="120" w:type="dxa"/>
            </w:tcMar>
            <w:vAlign w:val="center"/>
          </w:tcPr>
          <w:p>
            <w:pPr>
              <w:spacing w:after="20" w:before="20"/>
            </w:pPr>
            <w:r>
              <w:rPr>
                <w:sz w:val="17"/>
              </w:rPr>
              <w:t>Charge capacity at cutoff Q_c(N_obs)</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snap</w:t>
            </w:r>
          </w:p>
        </w:tc>
        <w:tc>
          <w:tcPr>
            <w:tcW w:type="dxa" w:w="1872"/>
            <w:tcMar>
              <w:top w:w="80" w:type="dxa"/>
              <w:bottom w:w="80" w:type="dxa"/>
              <w:left w:w="120" w:type="dxa"/>
              <w:right w:w="120" w:type="dxa"/>
            </w:tcMar>
            <w:vAlign w:val="center"/>
          </w:tcPr>
          <w:p>
            <w:pPr>
              <w:spacing w:after="20" w:before="20"/>
            </w:pPr>
            <w:r>
              <w:rPr>
                <w:sz w:val="17"/>
              </w:rPr>
              <w:t>snap_coulombic_eff</w:t>
            </w:r>
          </w:p>
        </w:tc>
        <w:tc>
          <w:tcPr>
            <w:tcW w:type="dxa" w:w="1872"/>
            <w:tcMar>
              <w:top w:w="80" w:type="dxa"/>
              <w:bottom w:w="80" w:type="dxa"/>
              <w:left w:w="120" w:type="dxa"/>
              <w:right w:w="120" w:type="dxa"/>
            </w:tcMar>
            <w:vAlign w:val="center"/>
          </w:tcPr>
          <w:p>
            <w:pPr>
              <w:spacing w:after="20" w:before="20"/>
            </w:pPr>
            <w:r>
              <w:rPr>
                <w:sz w:val="17"/>
              </w:rPr>
              <w:t>Coulombic efficiency at cutoff</w:t>
            </w:r>
          </w:p>
        </w:tc>
        <w:tc>
          <w:tcPr>
            <w:tcW w:type="dxa" w:w="1872"/>
            <w:tcMar>
              <w:top w:w="80" w:type="dxa"/>
              <w:bottom w:w="80" w:type="dxa"/>
              <w:left w:w="120" w:type="dxa"/>
              <w:right w:w="120" w:type="dxa"/>
            </w:tcMar>
            <w:vAlign w:val="center"/>
          </w:tcPr>
          <w:p>
            <w:pPr>
              <w:spacing w:after="20" w:before="20"/>
            </w:pPr>
            <w:r>
              <w:rPr>
                <w:sz w:val="17"/>
              </w:rPr>
              <w:t>fraction</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snap</w:t>
            </w:r>
          </w:p>
        </w:tc>
        <w:tc>
          <w:tcPr>
            <w:tcW w:type="dxa" w:w="1872"/>
            <w:tcMar>
              <w:top w:w="80" w:type="dxa"/>
              <w:bottom w:w="80" w:type="dxa"/>
              <w:left w:w="120" w:type="dxa"/>
              <w:right w:w="120" w:type="dxa"/>
            </w:tcMar>
            <w:vAlign w:val="center"/>
          </w:tcPr>
          <w:p>
            <w:pPr>
              <w:spacing w:after="20" w:before="20"/>
            </w:pPr>
            <w:r>
              <w:rPr>
                <w:sz w:val="17"/>
              </w:rPr>
              <w:t>snap_internal_resistance</w:t>
            </w:r>
          </w:p>
        </w:tc>
        <w:tc>
          <w:tcPr>
            <w:tcW w:type="dxa" w:w="1872"/>
            <w:tcMar>
              <w:top w:w="80" w:type="dxa"/>
              <w:bottom w:w="80" w:type="dxa"/>
              <w:left w:w="120" w:type="dxa"/>
              <w:right w:w="120" w:type="dxa"/>
            </w:tcMar>
            <w:vAlign w:val="center"/>
          </w:tcPr>
          <w:p>
            <w:pPr>
              <w:spacing w:after="20" w:before="20"/>
            </w:pPr>
            <w:r>
              <w:rPr>
                <w:sz w:val="17"/>
              </w:rPr>
              <w:t>Internal resistance at cutoff IR(N_obs)</w:t>
            </w:r>
          </w:p>
        </w:tc>
        <w:tc>
          <w:tcPr>
            <w:tcW w:type="dxa" w:w="1872"/>
            <w:tcMar>
              <w:top w:w="80" w:type="dxa"/>
              <w:bottom w:w="80" w:type="dxa"/>
              <w:left w:w="120" w:type="dxa"/>
              <w:right w:w="120" w:type="dxa"/>
            </w:tcMar>
            <w:vAlign w:val="center"/>
          </w:tcPr>
          <w:p>
            <w:pPr>
              <w:spacing w:after="20" w:before="20"/>
            </w:pPr>
            <w:r>
              <w:rPr>
                <w:sz w:val="17"/>
              </w:rPr>
              <w:t>Ohm</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snap</w:t>
            </w:r>
          </w:p>
        </w:tc>
        <w:tc>
          <w:tcPr>
            <w:tcW w:type="dxa" w:w="1872"/>
            <w:tcMar>
              <w:top w:w="80" w:type="dxa"/>
              <w:bottom w:w="80" w:type="dxa"/>
              <w:left w:w="120" w:type="dxa"/>
              <w:right w:w="120" w:type="dxa"/>
            </w:tcMar>
            <w:vAlign w:val="center"/>
          </w:tcPr>
          <w:p>
            <w:pPr>
              <w:spacing w:after="20" w:before="20"/>
            </w:pPr>
            <w:r>
              <w:rPr>
                <w:sz w:val="17"/>
              </w:rPr>
              <w:t>snap_temp_max</w:t>
            </w:r>
          </w:p>
        </w:tc>
        <w:tc>
          <w:tcPr>
            <w:tcW w:type="dxa" w:w="1872"/>
            <w:tcMar>
              <w:top w:w="80" w:type="dxa"/>
              <w:bottom w:w="80" w:type="dxa"/>
              <w:left w:w="120" w:type="dxa"/>
              <w:right w:w="120" w:type="dxa"/>
            </w:tcMar>
            <w:vAlign w:val="center"/>
          </w:tcPr>
          <w:p>
            <w:pPr>
              <w:spacing w:after="20" w:before="20"/>
            </w:pPr>
            <w:r>
              <w:rPr>
                <w:sz w:val="17"/>
              </w:rPr>
              <w:t>Peak surface temperature at cutoff</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snap</w:t>
            </w:r>
          </w:p>
        </w:tc>
        <w:tc>
          <w:tcPr>
            <w:tcW w:type="dxa" w:w="1872"/>
            <w:tcMar>
              <w:top w:w="80" w:type="dxa"/>
              <w:bottom w:w="80" w:type="dxa"/>
              <w:left w:w="120" w:type="dxa"/>
              <w:right w:w="120" w:type="dxa"/>
            </w:tcMar>
            <w:vAlign w:val="center"/>
          </w:tcPr>
          <w:p>
            <w:pPr>
              <w:spacing w:after="20" w:before="20"/>
            </w:pPr>
            <w:r>
              <w:rPr>
                <w:sz w:val="17"/>
              </w:rPr>
              <w:t>snap_temp_avg</w:t>
            </w:r>
          </w:p>
        </w:tc>
        <w:tc>
          <w:tcPr>
            <w:tcW w:type="dxa" w:w="1872"/>
            <w:tcMar>
              <w:top w:w="80" w:type="dxa"/>
              <w:bottom w:w="80" w:type="dxa"/>
              <w:left w:w="120" w:type="dxa"/>
              <w:right w:w="120" w:type="dxa"/>
            </w:tcMar>
            <w:vAlign w:val="center"/>
          </w:tcPr>
          <w:p>
            <w:pPr>
              <w:spacing w:after="20" w:before="20"/>
            </w:pPr>
            <w:r>
              <w:rPr>
                <w:sz w:val="17"/>
              </w:rPr>
              <w:t>Average surface temperature at cutoff</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snap</w:t>
            </w:r>
          </w:p>
        </w:tc>
        <w:tc>
          <w:tcPr>
            <w:tcW w:type="dxa" w:w="1872"/>
            <w:tcMar>
              <w:top w:w="80" w:type="dxa"/>
              <w:bottom w:w="80" w:type="dxa"/>
              <w:left w:w="120" w:type="dxa"/>
              <w:right w:w="120" w:type="dxa"/>
            </w:tcMar>
            <w:vAlign w:val="center"/>
          </w:tcPr>
          <w:p>
            <w:pPr>
              <w:spacing w:after="20" w:before="20"/>
            </w:pPr>
            <w:r>
              <w:rPr>
                <w:sz w:val="17"/>
              </w:rPr>
              <w:t>snap_charge_time</w:t>
            </w:r>
          </w:p>
        </w:tc>
        <w:tc>
          <w:tcPr>
            <w:tcW w:type="dxa" w:w="1872"/>
            <w:tcMar>
              <w:top w:w="80" w:type="dxa"/>
              <w:bottom w:w="80" w:type="dxa"/>
              <w:left w:w="120" w:type="dxa"/>
              <w:right w:w="120" w:type="dxa"/>
            </w:tcMar>
            <w:vAlign w:val="center"/>
          </w:tcPr>
          <w:p>
            <w:pPr>
              <w:spacing w:after="20" w:before="20"/>
            </w:pPr>
            <w:r>
              <w:rPr>
                <w:sz w:val="17"/>
              </w:rPr>
              <w:t>Charging duration at cutoff</w:t>
            </w:r>
          </w:p>
        </w:tc>
        <w:tc>
          <w:tcPr>
            <w:tcW w:type="dxa" w:w="1872"/>
            <w:tcMar>
              <w:top w:w="80" w:type="dxa"/>
              <w:bottom w:w="80" w:type="dxa"/>
              <w:left w:w="120" w:type="dxa"/>
              <w:right w:w="120" w:type="dxa"/>
            </w:tcMar>
            <w:vAlign w:val="center"/>
          </w:tcPr>
          <w:p>
            <w:pPr>
              <w:spacing w:after="20" w:before="20"/>
            </w:pPr>
            <w:r>
              <w:rPr>
                <w:sz w:val="17"/>
              </w:rPr>
              <w:t>minutes</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traj (11)</w:t>
            </w:r>
          </w:p>
        </w:tc>
        <w:tc>
          <w:tcPr>
            <w:tcW w:type="dxa" w:w="1872"/>
            <w:tcMar>
              <w:top w:w="80" w:type="dxa"/>
              <w:bottom w:w="80" w:type="dxa"/>
              <w:left w:w="120" w:type="dxa"/>
              <w:right w:w="120" w:type="dxa"/>
            </w:tcMar>
            <w:vAlign w:val="center"/>
          </w:tcPr>
          <w:p>
            <w:pPr>
              <w:spacing w:after="20" w:before="20"/>
            </w:pPr>
            <w:r>
              <w:rPr>
                <w:sz w:val="17"/>
              </w:rPr>
              <w:t>traj_q_fade</w:t>
            </w:r>
          </w:p>
        </w:tc>
        <w:tc>
          <w:tcPr>
            <w:tcW w:type="dxa" w:w="1872"/>
            <w:tcMar>
              <w:top w:w="80" w:type="dxa"/>
              <w:bottom w:w="80" w:type="dxa"/>
              <w:left w:w="120" w:type="dxa"/>
              <w:right w:w="120" w:type="dxa"/>
            </w:tcMar>
            <w:vAlign w:val="center"/>
          </w:tcPr>
          <w:p>
            <w:pPr>
              <w:spacing w:after="20" w:before="20"/>
            </w:pPr>
            <w:r>
              <w:rPr>
                <w:sz w:val="17"/>
              </w:rPr>
              <w:t>Total capacity loss: Q_d(N_obs) - Q_d(2)</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traj_q_retention</w:t>
            </w:r>
          </w:p>
        </w:tc>
        <w:tc>
          <w:tcPr>
            <w:tcW w:type="dxa" w:w="1872"/>
            <w:tcMar>
              <w:top w:w="80" w:type="dxa"/>
              <w:bottom w:w="80" w:type="dxa"/>
              <w:left w:w="120" w:type="dxa"/>
              <w:right w:w="120" w:type="dxa"/>
            </w:tcMar>
            <w:vAlign w:val="center"/>
          </w:tcPr>
          <w:p>
            <w:pPr>
              <w:spacing w:after="20" w:before="20"/>
            </w:pPr>
            <w:r>
              <w:rPr>
                <w:sz w:val="17"/>
              </w:rPr>
              <w:t>Capacity retention ratio: Q_d(N_obs) / Q_d(2)</w:t>
            </w:r>
          </w:p>
        </w:tc>
        <w:tc>
          <w:tcPr>
            <w:tcW w:type="dxa" w:w="1872"/>
            <w:tcMar>
              <w:top w:w="80" w:type="dxa"/>
              <w:bottom w:w="80" w:type="dxa"/>
              <w:left w:w="120" w:type="dxa"/>
              <w:right w:w="120" w:type="dxa"/>
            </w:tcMar>
            <w:vAlign w:val="center"/>
          </w:tcPr>
          <w:p>
            <w:pPr>
              <w:spacing w:after="20" w:before="20"/>
            </w:pPr>
            <w:r>
              <w:rPr>
                <w:sz w:val="17"/>
              </w:rPr>
              <w:t>fraction</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traj_q_slope</w:t>
            </w:r>
          </w:p>
        </w:tc>
        <w:tc>
          <w:tcPr>
            <w:tcW w:type="dxa" w:w="1872"/>
            <w:tcMar>
              <w:top w:w="80" w:type="dxa"/>
              <w:bottom w:w="80" w:type="dxa"/>
              <w:left w:w="120" w:type="dxa"/>
              <w:right w:w="120" w:type="dxa"/>
            </w:tcMar>
            <w:vAlign w:val="center"/>
          </w:tcPr>
          <w:p>
            <w:pPr>
              <w:spacing w:after="20" w:before="20"/>
            </w:pPr>
            <w:r>
              <w:rPr>
                <w:sz w:val="17"/>
              </w:rPr>
              <w:t>Linear regression slope dQ/dn of discharge capacity</w:t>
            </w:r>
          </w:p>
        </w:tc>
        <w:tc>
          <w:tcPr>
            <w:tcW w:type="dxa" w:w="1872"/>
            <w:tcMar>
              <w:top w:w="80" w:type="dxa"/>
              <w:bottom w:w="80" w:type="dxa"/>
              <w:left w:w="120" w:type="dxa"/>
              <w:right w:w="120" w:type="dxa"/>
            </w:tcMar>
            <w:vAlign w:val="center"/>
          </w:tcPr>
          <w:p>
            <w:pPr>
              <w:spacing w:after="20" w:before="20"/>
            </w:pPr>
            <w:r>
              <w:rPr>
                <w:sz w:val="17"/>
              </w:rPr>
              <w:t>Ah/cycle</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traj_q_curvature</w:t>
            </w:r>
          </w:p>
        </w:tc>
        <w:tc>
          <w:tcPr>
            <w:tcW w:type="dxa" w:w="1872"/>
            <w:tcMar>
              <w:top w:w="80" w:type="dxa"/>
              <w:bottom w:w="80" w:type="dxa"/>
              <w:left w:w="120" w:type="dxa"/>
              <w:right w:w="120" w:type="dxa"/>
            </w:tcMar>
            <w:vAlign w:val="center"/>
          </w:tcPr>
          <w:p>
            <w:pPr>
              <w:spacing w:after="20" w:before="20"/>
            </w:pPr>
            <w:r>
              <w:rPr>
                <w:sz w:val="17"/>
              </w:rPr>
              <w:t>Quadratic acceleration coefficient d^2Q/dn^2</w:t>
            </w:r>
          </w:p>
        </w:tc>
        <w:tc>
          <w:tcPr>
            <w:tcW w:type="dxa" w:w="1872"/>
            <w:tcMar>
              <w:top w:w="80" w:type="dxa"/>
              <w:bottom w:w="80" w:type="dxa"/>
              <w:left w:w="120" w:type="dxa"/>
              <w:right w:w="120" w:type="dxa"/>
            </w:tcMar>
            <w:vAlign w:val="center"/>
          </w:tcPr>
          <w:p>
            <w:pPr>
              <w:spacing w:after="20" w:before="20"/>
            </w:pPr>
            <w:r>
              <w:rPr>
                <w:sz w:val="17"/>
              </w:rPr>
              <w:t>Ah/cyc^2</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traj_q_std</w:t>
            </w:r>
          </w:p>
        </w:tc>
        <w:tc>
          <w:tcPr>
            <w:tcW w:type="dxa" w:w="1872"/>
            <w:tcMar>
              <w:top w:w="80" w:type="dxa"/>
              <w:bottom w:w="80" w:type="dxa"/>
              <w:left w:w="120" w:type="dxa"/>
              <w:right w:w="120" w:type="dxa"/>
            </w:tcMar>
            <w:vAlign w:val="center"/>
          </w:tcPr>
          <w:p>
            <w:pPr>
              <w:spacing w:after="20" w:before="20"/>
            </w:pPr>
            <w:r>
              <w:rPr>
                <w:sz w:val="17"/>
              </w:rPr>
              <w:t>Standard deviation of discharge capacity</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traj_q_min</w:t>
            </w:r>
          </w:p>
        </w:tc>
        <w:tc>
          <w:tcPr>
            <w:tcW w:type="dxa" w:w="1872"/>
            <w:tcMar>
              <w:top w:w="80" w:type="dxa"/>
              <w:bottom w:w="80" w:type="dxa"/>
              <w:left w:w="120" w:type="dxa"/>
              <w:right w:w="120" w:type="dxa"/>
            </w:tcMar>
            <w:vAlign w:val="center"/>
          </w:tcPr>
          <w:p>
            <w:pPr>
              <w:spacing w:after="20" w:before="20"/>
            </w:pPr>
            <w:r>
              <w:rPr>
                <w:sz w:val="17"/>
              </w:rPr>
              <w:t>Minimum discharge capacity observed</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traj_ir_change</w:t>
            </w:r>
          </w:p>
        </w:tc>
        <w:tc>
          <w:tcPr>
            <w:tcW w:type="dxa" w:w="1872"/>
            <w:tcMar>
              <w:top w:w="80" w:type="dxa"/>
              <w:bottom w:w="80" w:type="dxa"/>
              <w:left w:w="120" w:type="dxa"/>
              <w:right w:w="120" w:type="dxa"/>
            </w:tcMar>
            <w:vAlign w:val="center"/>
          </w:tcPr>
          <w:p>
            <w:pPr>
              <w:spacing w:after="20" w:before="20"/>
            </w:pPr>
            <w:r>
              <w:rPr>
                <w:sz w:val="17"/>
              </w:rPr>
              <w:t>Internal resistance growth: IR(N_obs) - IR(2)</w:t>
            </w:r>
          </w:p>
        </w:tc>
        <w:tc>
          <w:tcPr>
            <w:tcW w:type="dxa" w:w="1872"/>
            <w:tcMar>
              <w:top w:w="80" w:type="dxa"/>
              <w:bottom w:w="80" w:type="dxa"/>
              <w:left w:w="120" w:type="dxa"/>
              <w:right w:w="120" w:type="dxa"/>
            </w:tcMar>
            <w:vAlign w:val="center"/>
          </w:tcPr>
          <w:p>
            <w:pPr>
              <w:spacing w:after="20" w:before="20"/>
            </w:pPr>
            <w:r>
              <w:rPr>
                <w:sz w:val="17"/>
              </w:rPr>
              <w:t>Ohm</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traj_ir_slope</w:t>
            </w:r>
          </w:p>
        </w:tc>
        <w:tc>
          <w:tcPr>
            <w:tcW w:type="dxa" w:w="1872"/>
            <w:tcMar>
              <w:top w:w="80" w:type="dxa"/>
              <w:bottom w:w="80" w:type="dxa"/>
              <w:left w:w="120" w:type="dxa"/>
              <w:right w:w="120" w:type="dxa"/>
            </w:tcMar>
            <w:vAlign w:val="center"/>
          </w:tcPr>
          <w:p>
            <w:pPr>
              <w:spacing w:after="20" w:before="20"/>
            </w:pPr>
            <w:r>
              <w:rPr>
                <w:sz w:val="17"/>
              </w:rPr>
              <w:t>Linear regression slope d(IR)/dn of resistance</w:t>
            </w:r>
          </w:p>
        </w:tc>
        <w:tc>
          <w:tcPr>
            <w:tcW w:type="dxa" w:w="1872"/>
            <w:tcMar>
              <w:top w:w="80" w:type="dxa"/>
              <w:bottom w:w="80" w:type="dxa"/>
              <w:left w:w="120" w:type="dxa"/>
              <w:right w:w="120" w:type="dxa"/>
            </w:tcMar>
            <w:vAlign w:val="center"/>
          </w:tcPr>
          <w:p>
            <w:pPr>
              <w:spacing w:after="20" w:before="20"/>
            </w:pPr>
            <w:r>
              <w:rPr>
                <w:sz w:val="17"/>
              </w:rPr>
              <w:t>Ohm/cycle</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traj_temp_max_change</w:t>
            </w:r>
          </w:p>
        </w:tc>
        <w:tc>
          <w:tcPr>
            <w:tcW w:type="dxa" w:w="1872"/>
            <w:tcMar>
              <w:top w:w="80" w:type="dxa"/>
              <w:bottom w:w="80" w:type="dxa"/>
              <w:left w:w="120" w:type="dxa"/>
              <w:right w:w="120" w:type="dxa"/>
            </w:tcMar>
            <w:vAlign w:val="center"/>
          </w:tcPr>
          <w:p>
            <w:pPr>
              <w:spacing w:after="20" w:before="20"/>
            </w:pPr>
            <w:r>
              <w:rPr>
                <w:sz w:val="17"/>
              </w:rPr>
              <w:t>Peak temperature shift: T_max(N_obs) - T_max(2)</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traj_temp_avg_mean</w:t>
            </w:r>
          </w:p>
        </w:tc>
        <w:tc>
          <w:tcPr>
            <w:tcW w:type="dxa" w:w="1872"/>
            <w:tcMar>
              <w:top w:w="80" w:type="dxa"/>
              <w:bottom w:w="80" w:type="dxa"/>
              <w:left w:w="120" w:type="dxa"/>
              <w:right w:w="120" w:type="dxa"/>
            </w:tcMar>
            <w:vAlign w:val="center"/>
          </w:tcPr>
          <w:p>
            <w:pPr>
              <w:spacing w:after="20" w:before="20"/>
            </w:pPr>
            <w:r>
              <w:rPr>
                <w:sz w:val="17"/>
              </w:rPr>
              <w:t>Mean of cycle-averaged temperatures</w:t>
            </w:r>
          </w:p>
        </w:tc>
        <w:tc>
          <w:tcPr>
            <w:tcW w:type="dxa" w:w="1872"/>
            <w:tcMar>
              <w:top w:w="80" w:type="dxa"/>
              <w:bottom w:w="80" w:type="dxa"/>
              <w:left w:w="120" w:type="dxa"/>
              <w:right w:w="120" w:type="dxa"/>
            </w:tcMar>
            <w:vAlign w:val="center"/>
          </w:tcPr>
          <w:p>
            <w:pPr>
              <w:spacing w:after="20" w:before="20"/>
            </w:pPr>
            <w:r>
              <w:rPr>
                <w:sz w:val="17"/>
              </w:rPr>
              <w:t>deg C</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traj</w:t>
            </w:r>
          </w:p>
        </w:tc>
        <w:tc>
          <w:tcPr>
            <w:tcW w:type="dxa" w:w="1872"/>
            <w:tcMar>
              <w:top w:w="80" w:type="dxa"/>
              <w:bottom w:w="80" w:type="dxa"/>
              <w:left w:w="120" w:type="dxa"/>
              <w:right w:w="120" w:type="dxa"/>
            </w:tcMar>
            <w:vAlign w:val="center"/>
          </w:tcPr>
          <w:p>
            <w:pPr>
              <w:spacing w:after="20" w:before="20"/>
            </w:pPr>
            <w:r>
              <w:rPr>
                <w:sz w:val="17"/>
              </w:rPr>
              <w:t>traj_charge_time_change</w:t>
            </w:r>
          </w:p>
        </w:tc>
        <w:tc>
          <w:tcPr>
            <w:tcW w:type="dxa" w:w="1872"/>
            <w:tcMar>
              <w:top w:w="80" w:type="dxa"/>
              <w:bottom w:w="80" w:type="dxa"/>
              <w:left w:w="120" w:type="dxa"/>
              <w:right w:w="120" w:type="dxa"/>
            </w:tcMar>
            <w:vAlign w:val="center"/>
          </w:tcPr>
          <w:p>
            <w:pPr>
              <w:spacing w:after="20" w:before="20"/>
            </w:pPr>
            <w:r>
              <w:rPr>
                <w:sz w:val="17"/>
              </w:rPr>
              <w:t>Charge time change: t_c(N_obs) - t_c(2)</w:t>
            </w:r>
          </w:p>
        </w:tc>
        <w:tc>
          <w:tcPr>
            <w:tcW w:type="dxa" w:w="1872"/>
            <w:tcMar>
              <w:top w:w="80" w:type="dxa"/>
              <w:bottom w:w="80" w:type="dxa"/>
              <w:left w:w="120" w:type="dxa"/>
              <w:right w:w="120" w:type="dxa"/>
            </w:tcMar>
            <w:vAlign w:val="center"/>
          </w:tcPr>
          <w:p>
            <w:pPr>
              <w:spacing w:after="20" w:before="20"/>
            </w:pPr>
            <w:r>
              <w:rPr>
                <w:sz w:val="17"/>
              </w:rPr>
              <w:t>minutes</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curve (5)</w:t>
            </w:r>
          </w:p>
        </w:tc>
        <w:tc>
          <w:tcPr>
            <w:tcW w:type="dxa" w:w="1872"/>
            <w:tcMar>
              <w:top w:w="80" w:type="dxa"/>
              <w:bottom w:w="80" w:type="dxa"/>
              <w:left w:w="120" w:type="dxa"/>
              <w:right w:w="120" w:type="dxa"/>
            </w:tcMar>
            <w:vAlign w:val="center"/>
          </w:tcPr>
          <w:p>
            <w:pPr>
              <w:spacing w:after="20" w:before="20"/>
            </w:pPr>
            <w:r>
              <w:rPr>
                <w:sz w:val="17"/>
              </w:rPr>
              <w:t>curve_delta_q_var_log10</w:t>
            </w:r>
          </w:p>
        </w:tc>
        <w:tc>
          <w:tcPr>
            <w:tcW w:type="dxa" w:w="1872"/>
            <w:tcMar>
              <w:top w:w="80" w:type="dxa"/>
              <w:bottom w:w="80" w:type="dxa"/>
              <w:left w:w="120" w:type="dxa"/>
              <w:right w:w="120" w:type="dxa"/>
            </w:tcMar>
            <w:vAlign w:val="center"/>
          </w:tcPr>
          <w:p>
            <w:pPr>
              <w:spacing w:after="20" w:before="20"/>
            </w:pPr>
            <w:r>
              <w:rPr>
                <w:sz w:val="17"/>
              </w:rPr>
              <w:t>log10(var(Delta Q_{N_obs - 10}(V))) on 1000-pt V grid</w:t>
            </w:r>
          </w:p>
        </w:tc>
        <w:tc>
          <w:tcPr>
            <w:tcW w:type="dxa" w:w="1872"/>
            <w:tcMar>
              <w:top w:w="80" w:type="dxa"/>
              <w:bottom w:w="80" w:type="dxa"/>
              <w:left w:w="120" w:type="dxa"/>
              <w:right w:w="120" w:type="dxa"/>
            </w:tcMar>
            <w:vAlign w:val="center"/>
          </w:tcPr>
          <w:p>
            <w:pPr>
              <w:spacing w:after="20" w:before="20"/>
            </w:pPr>
            <w:r>
              <w:rPr>
                <w:sz w:val="17"/>
              </w:rPr>
              <w:t>log10(Ah^2)</w:t>
            </w:r>
          </w:p>
        </w:tc>
        <w:tc>
          <w:tcPr>
            <w:tcW w:type="dxa" w:w="1872"/>
            <w:tcMar>
              <w:top w:w="80" w:type="dxa"/>
              <w:bottom w:w="80" w:type="dxa"/>
              <w:left w:w="120" w:type="dxa"/>
              <w:right w:w="120" w:type="dxa"/>
            </w:tcMar>
            <w:vAlign w:val="center"/>
          </w:tcPr>
          <w:p>
            <w:pPr>
              <w:spacing w:after="20" w:before="20"/>
            </w:pPr>
            <w:r>
              <w:rPr>
                <w:sz w:val="17"/>
              </w:rPr>
              <w:t>10..N_obs</w:t>
            </w:r>
          </w:p>
        </w:tc>
      </w:tr>
      <w:tr>
        <w:trPr>
          <w:cantSplit/>
        </w:trPr>
        <w:tc>
          <w:tcPr>
            <w:tcW w:type="dxa" w:w="1872"/>
            <w:tcMar>
              <w:top w:w="80" w:type="dxa"/>
              <w:bottom w:w="80" w:type="dxa"/>
              <w:left w:w="120" w:type="dxa"/>
              <w:right w:w="120" w:type="dxa"/>
            </w:tcMar>
            <w:vAlign w:val="center"/>
          </w:tcPr>
          <w:p>
            <w:pPr>
              <w:spacing w:after="20" w:before="20"/>
            </w:pPr>
            <w:r>
              <w:rPr>
                <w:sz w:val="17"/>
              </w:rPr>
              <w:t>curve</w:t>
            </w:r>
          </w:p>
        </w:tc>
        <w:tc>
          <w:tcPr>
            <w:tcW w:type="dxa" w:w="1872"/>
            <w:tcMar>
              <w:top w:w="80" w:type="dxa"/>
              <w:bottom w:w="80" w:type="dxa"/>
              <w:left w:w="120" w:type="dxa"/>
              <w:right w:w="120" w:type="dxa"/>
            </w:tcMar>
            <w:vAlign w:val="center"/>
          </w:tcPr>
          <w:p>
            <w:pPr>
              <w:spacing w:after="20" w:before="20"/>
            </w:pPr>
            <w:r>
              <w:rPr>
                <w:sz w:val="17"/>
              </w:rPr>
              <w:t>curve_delta_q_min</w:t>
            </w:r>
          </w:p>
        </w:tc>
        <w:tc>
          <w:tcPr>
            <w:tcW w:type="dxa" w:w="1872"/>
            <w:tcMar>
              <w:top w:w="80" w:type="dxa"/>
              <w:bottom w:w="80" w:type="dxa"/>
              <w:left w:w="120" w:type="dxa"/>
              <w:right w:w="120" w:type="dxa"/>
            </w:tcMar>
            <w:vAlign w:val="center"/>
          </w:tcPr>
          <w:p>
            <w:pPr>
              <w:spacing w:after="20" w:before="20"/>
            </w:pPr>
            <w:r>
              <w:rPr>
                <w:sz w:val="17"/>
              </w:rPr>
              <w:t>Minimum of Delta Q_{N_obs - 10}(V)</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10..N_obs</w:t>
            </w:r>
          </w:p>
        </w:tc>
      </w:tr>
      <w:tr>
        <w:trPr>
          <w:cantSplit/>
        </w:trPr>
        <w:tc>
          <w:tcPr>
            <w:tcW w:type="dxa" w:w="1872"/>
            <w:tcMar>
              <w:top w:w="80" w:type="dxa"/>
              <w:bottom w:w="80" w:type="dxa"/>
              <w:left w:w="120" w:type="dxa"/>
              <w:right w:w="120" w:type="dxa"/>
            </w:tcMar>
            <w:vAlign w:val="center"/>
          </w:tcPr>
          <w:p>
            <w:pPr>
              <w:spacing w:after="20" w:before="20"/>
            </w:pPr>
            <w:r>
              <w:rPr>
                <w:sz w:val="17"/>
              </w:rPr>
              <w:t>curve</w:t>
            </w:r>
          </w:p>
        </w:tc>
        <w:tc>
          <w:tcPr>
            <w:tcW w:type="dxa" w:w="1872"/>
            <w:tcMar>
              <w:top w:w="80" w:type="dxa"/>
              <w:bottom w:w="80" w:type="dxa"/>
              <w:left w:w="120" w:type="dxa"/>
              <w:right w:w="120" w:type="dxa"/>
            </w:tcMar>
            <w:vAlign w:val="center"/>
          </w:tcPr>
          <w:p>
            <w:pPr>
              <w:spacing w:after="20" w:before="20"/>
            </w:pPr>
            <w:r>
              <w:rPr>
                <w:sz w:val="17"/>
              </w:rPr>
              <w:t>curve_delta_q_mean</w:t>
            </w:r>
          </w:p>
        </w:tc>
        <w:tc>
          <w:tcPr>
            <w:tcW w:type="dxa" w:w="1872"/>
            <w:tcMar>
              <w:top w:w="80" w:type="dxa"/>
              <w:bottom w:w="80" w:type="dxa"/>
              <w:left w:w="120" w:type="dxa"/>
              <w:right w:w="120" w:type="dxa"/>
            </w:tcMar>
            <w:vAlign w:val="center"/>
          </w:tcPr>
          <w:p>
            <w:pPr>
              <w:spacing w:after="20" w:before="20"/>
            </w:pPr>
            <w:r>
              <w:rPr>
                <w:sz w:val="17"/>
              </w:rPr>
              <w:t>Mean of Delta Q_{N_obs - 10}(V)</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10..N_obs</w:t>
            </w:r>
          </w:p>
        </w:tc>
      </w:tr>
      <w:tr>
        <w:trPr>
          <w:cantSplit/>
        </w:trPr>
        <w:tc>
          <w:tcPr>
            <w:tcW w:type="dxa" w:w="1872"/>
            <w:tcMar>
              <w:top w:w="80" w:type="dxa"/>
              <w:bottom w:w="80" w:type="dxa"/>
              <w:left w:w="120" w:type="dxa"/>
              <w:right w:w="120" w:type="dxa"/>
            </w:tcMar>
            <w:vAlign w:val="center"/>
          </w:tcPr>
          <w:p>
            <w:pPr>
              <w:spacing w:after="20" w:before="20"/>
            </w:pPr>
            <w:r>
              <w:rPr>
                <w:sz w:val="17"/>
              </w:rPr>
              <w:t>curve</w:t>
            </w:r>
          </w:p>
        </w:tc>
        <w:tc>
          <w:tcPr>
            <w:tcW w:type="dxa" w:w="1872"/>
            <w:tcMar>
              <w:top w:w="80" w:type="dxa"/>
              <w:bottom w:w="80" w:type="dxa"/>
              <w:left w:w="120" w:type="dxa"/>
              <w:right w:w="120" w:type="dxa"/>
            </w:tcMar>
            <w:vAlign w:val="center"/>
          </w:tcPr>
          <w:p>
            <w:pPr>
              <w:spacing w:after="20" w:before="20"/>
            </w:pPr>
            <w:r>
              <w:rPr>
                <w:sz w:val="17"/>
              </w:rPr>
              <w:t>curve_delta_q_skew</w:t>
            </w:r>
          </w:p>
        </w:tc>
        <w:tc>
          <w:tcPr>
            <w:tcW w:type="dxa" w:w="1872"/>
            <w:tcMar>
              <w:top w:w="80" w:type="dxa"/>
              <w:bottom w:w="80" w:type="dxa"/>
              <w:left w:w="120" w:type="dxa"/>
              <w:right w:w="120" w:type="dxa"/>
            </w:tcMar>
            <w:vAlign w:val="center"/>
          </w:tcPr>
          <w:p>
            <w:pPr>
              <w:spacing w:after="20" w:before="20"/>
            </w:pPr>
            <w:r>
              <w:rPr>
                <w:sz w:val="17"/>
              </w:rPr>
              <w:t>Skewness of Delta Q_{N_obs - 10}(V)</w:t>
            </w:r>
          </w:p>
        </w:tc>
        <w:tc>
          <w:tcPr>
            <w:tcW w:type="dxa" w:w="1872"/>
            <w:tcMar>
              <w:top w:w="80" w:type="dxa"/>
              <w:bottom w:w="80" w:type="dxa"/>
              <w:left w:w="120" w:type="dxa"/>
              <w:right w:w="120" w:type="dxa"/>
            </w:tcMar>
            <w:vAlign w:val="center"/>
          </w:tcPr>
          <w:p>
            <w:pPr>
              <w:spacing w:after="20" w:before="20"/>
            </w:pPr>
            <w:r>
              <w:rPr>
                <w:sz w:val="17"/>
              </w:rPr>
              <w:t>unitless</w:t>
            </w:r>
          </w:p>
        </w:tc>
        <w:tc>
          <w:tcPr>
            <w:tcW w:type="dxa" w:w="1872"/>
            <w:tcMar>
              <w:top w:w="80" w:type="dxa"/>
              <w:bottom w:w="80" w:type="dxa"/>
              <w:left w:w="120" w:type="dxa"/>
              <w:right w:w="120" w:type="dxa"/>
            </w:tcMar>
            <w:vAlign w:val="center"/>
          </w:tcPr>
          <w:p>
            <w:pPr>
              <w:spacing w:after="20" w:before="20"/>
            </w:pPr>
            <w:r>
              <w:rPr>
                <w:sz w:val="17"/>
              </w:rPr>
              <w:t>10..N_obs</w:t>
            </w:r>
          </w:p>
        </w:tc>
      </w:tr>
      <w:tr>
        <w:trPr>
          <w:cantSplit/>
        </w:trPr>
        <w:tc>
          <w:tcPr>
            <w:tcW w:type="dxa" w:w="1872"/>
            <w:tcMar>
              <w:top w:w="80" w:type="dxa"/>
              <w:bottom w:w="80" w:type="dxa"/>
              <w:left w:w="120" w:type="dxa"/>
              <w:right w:w="120" w:type="dxa"/>
            </w:tcMar>
            <w:vAlign w:val="center"/>
          </w:tcPr>
          <w:p>
            <w:pPr>
              <w:spacing w:after="20" w:before="20"/>
            </w:pPr>
            <w:r>
              <w:rPr>
                <w:sz w:val="17"/>
              </w:rPr>
              <w:t>curve</w:t>
            </w:r>
          </w:p>
        </w:tc>
        <w:tc>
          <w:tcPr>
            <w:tcW w:type="dxa" w:w="1872"/>
            <w:tcMar>
              <w:top w:w="80" w:type="dxa"/>
              <w:bottom w:w="80" w:type="dxa"/>
              <w:left w:w="120" w:type="dxa"/>
              <w:right w:w="120" w:type="dxa"/>
            </w:tcMar>
            <w:vAlign w:val="center"/>
          </w:tcPr>
          <w:p>
            <w:pPr>
              <w:spacing w:after="20" w:before="20"/>
            </w:pPr>
            <w:r>
              <w:rPr>
                <w:sz w:val="17"/>
              </w:rPr>
              <w:t>curve_delta_q_kurtosis</w:t>
            </w:r>
          </w:p>
        </w:tc>
        <w:tc>
          <w:tcPr>
            <w:tcW w:type="dxa" w:w="1872"/>
            <w:tcMar>
              <w:top w:w="80" w:type="dxa"/>
              <w:bottom w:w="80" w:type="dxa"/>
              <w:left w:w="120" w:type="dxa"/>
              <w:right w:w="120" w:type="dxa"/>
            </w:tcMar>
            <w:vAlign w:val="center"/>
          </w:tcPr>
          <w:p>
            <w:pPr>
              <w:spacing w:after="20" w:before="20"/>
            </w:pPr>
            <w:r>
              <w:rPr>
                <w:sz w:val="17"/>
              </w:rPr>
              <w:t>Kurtosis of Delta Q_{N_obs - 10}(V)</w:t>
            </w:r>
          </w:p>
        </w:tc>
        <w:tc>
          <w:tcPr>
            <w:tcW w:type="dxa" w:w="1872"/>
            <w:tcMar>
              <w:top w:w="80" w:type="dxa"/>
              <w:bottom w:w="80" w:type="dxa"/>
              <w:left w:w="120" w:type="dxa"/>
              <w:right w:w="120" w:type="dxa"/>
            </w:tcMar>
            <w:vAlign w:val="center"/>
          </w:tcPr>
          <w:p>
            <w:pPr>
              <w:spacing w:after="20" w:before="20"/>
            </w:pPr>
            <w:r>
              <w:rPr>
                <w:sz w:val="17"/>
              </w:rPr>
              <w:t>unitless</w:t>
            </w:r>
          </w:p>
        </w:tc>
        <w:tc>
          <w:tcPr>
            <w:tcW w:type="dxa" w:w="1872"/>
            <w:tcMar>
              <w:top w:w="80" w:type="dxa"/>
              <w:bottom w:w="80" w:type="dxa"/>
              <w:left w:w="120" w:type="dxa"/>
              <w:right w:w="120" w:type="dxa"/>
            </w:tcMar>
            <w:vAlign w:val="center"/>
          </w:tcPr>
          <w:p>
            <w:pPr>
              <w:spacing w:after="20" w:before="20"/>
            </w:pPr>
            <w:r>
              <w:rPr>
                <w:sz w:val="17"/>
              </w:rPr>
              <w:t>10..N_obs</w:t>
            </w:r>
          </w:p>
        </w:tc>
      </w:tr>
      <w:tr>
        <w:trPr>
          <w:cantSplit/>
        </w:trPr>
        <w:tc>
          <w:tcPr>
            <w:tcW w:type="dxa" w:w="1872"/>
            <w:tcMar>
              <w:top w:w="80" w:type="dxa"/>
              <w:bottom w:w="80" w:type="dxa"/>
              <w:left w:w="120" w:type="dxa"/>
              <w:right w:w="120" w:type="dxa"/>
            </w:tcMar>
            <w:vAlign w:val="center"/>
          </w:tcPr>
          <w:p>
            <w:pPr>
              <w:spacing w:after="20" w:before="20"/>
            </w:pPr>
            <w:r>
              <w:rPr>
                <w:sz w:val="17"/>
              </w:rPr>
              <w:t>peer_traj (8)</w:t>
            </w:r>
          </w:p>
        </w:tc>
        <w:tc>
          <w:tcPr>
            <w:tcW w:type="dxa" w:w="1872"/>
            <w:tcMar>
              <w:top w:w="80" w:type="dxa"/>
              <w:bottom w:w="80" w:type="dxa"/>
              <w:left w:w="120" w:type="dxa"/>
              <w:right w:w="120" w:type="dxa"/>
            </w:tcMar>
            <w:vAlign w:val="center"/>
          </w:tcPr>
          <w:p>
            <w:pPr>
              <w:spacing w:after="20" w:before="20"/>
            </w:pPr>
            <w:r>
              <w:rPr>
                <w:sz w:val="17"/>
              </w:rPr>
              <w:t>relative_capacity_deviation</w:t>
            </w:r>
          </w:p>
        </w:tc>
        <w:tc>
          <w:tcPr>
            <w:tcW w:type="dxa" w:w="1872"/>
            <w:tcMar>
              <w:top w:w="80" w:type="dxa"/>
              <w:bottom w:w="80" w:type="dxa"/>
              <w:left w:w="120" w:type="dxa"/>
              <w:right w:w="120" w:type="dxa"/>
            </w:tcMar>
            <w:vAlign w:val="center"/>
          </w:tcPr>
          <w:p>
            <w:pPr>
              <w:spacing w:after="20" w:before="20"/>
            </w:pPr>
            <w:r>
              <w:rPr>
                <w:sz w:val="17"/>
              </w:rPr>
              <w:t>Q_d(target) - median(Q_d(peers)) at N_obs</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relative_slope_deviation</w:t>
            </w:r>
          </w:p>
        </w:tc>
        <w:tc>
          <w:tcPr>
            <w:tcW w:type="dxa" w:w="1872"/>
            <w:tcMar>
              <w:top w:w="80" w:type="dxa"/>
              <w:bottom w:w="80" w:type="dxa"/>
              <w:left w:w="120" w:type="dxa"/>
              <w:right w:w="120" w:type="dxa"/>
            </w:tcMar>
            <w:vAlign w:val="center"/>
          </w:tcPr>
          <w:p>
            <w:pPr>
              <w:spacing w:after="20" w:before="20"/>
            </w:pPr>
            <w:r>
              <w:rPr>
                <w:sz w:val="17"/>
              </w:rPr>
              <w:t>(dQ/dn)_target - median((dQ/dn)_peers)</w:t>
            </w:r>
          </w:p>
        </w:tc>
        <w:tc>
          <w:tcPr>
            <w:tcW w:type="dxa" w:w="1872"/>
            <w:tcMar>
              <w:top w:w="80" w:type="dxa"/>
              <w:bottom w:w="80" w:type="dxa"/>
              <w:left w:w="120" w:type="dxa"/>
              <w:right w:w="120" w:type="dxa"/>
            </w:tcMar>
            <w:vAlign w:val="center"/>
          </w:tcPr>
          <w:p>
            <w:pPr>
              <w:spacing w:after="20" w:before="20"/>
            </w:pPr>
            <w:r>
              <w:rPr>
                <w:sz w:val="17"/>
              </w:rPr>
              <w:t>Ah/cycle</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relative_capacity_ratio</w:t>
            </w:r>
          </w:p>
        </w:tc>
        <w:tc>
          <w:tcPr>
            <w:tcW w:type="dxa" w:w="1872"/>
            <w:tcMar>
              <w:top w:w="80" w:type="dxa"/>
              <w:bottom w:w="80" w:type="dxa"/>
              <w:left w:w="120" w:type="dxa"/>
              <w:right w:w="120" w:type="dxa"/>
            </w:tcMar>
            <w:vAlign w:val="center"/>
          </w:tcPr>
          <w:p>
            <w:pPr>
              <w:spacing w:after="20" w:before="20"/>
            </w:pPr>
            <w:r>
              <w:rPr>
                <w:sz w:val="17"/>
              </w:rPr>
              <w:t>Q_d(target) / median(Q_d(peers)) at N_obs</w:t>
            </w:r>
          </w:p>
        </w:tc>
        <w:tc>
          <w:tcPr>
            <w:tcW w:type="dxa" w:w="1872"/>
            <w:tcMar>
              <w:top w:w="80" w:type="dxa"/>
              <w:bottom w:w="80" w:type="dxa"/>
              <w:left w:w="120" w:type="dxa"/>
              <w:right w:w="120" w:type="dxa"/>
            </w:tcMar>
            <w:vAlign w:val="center"/>
          </w:tcPr>
          <w:p>
            <w:pPr>
              <w:spacing w:after="20" w:before="20"/>
            </w:pPr>
            <w:r>
              <w:rPr>
                <w:sz w:val="17"/>
              </w:rPr>
              <w:t>fraction</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relative_fade_deviation</w:t>
            </w:r>
          </w:p>
        </w:tc>
        <w:tc>
          <w:tcPr>
            <w:tcW w:type="dxa" w:w="1872"/>
            <w:tcMar>
              <w:top w:w="80" w:type="dxa"/>
              <w:bottom w:w="80" w:type="dxa"/>
              <w:left w:w="120" w:type="dxa"/>
              <w:right w:w="120" w:type="dxa"/>
            </w:tcMar>
            <w:vAlign w:val="center"/>
          </w:tcPr>
          <w:p>
            <w:pPr>
              <w:spacing w:after="20" w:before="20"/>
            </w:pPr>
            <w:r>
              <w:rPr>
                <w:sz w:val="17"/>
              </w:rPr>
              <w:t>Delta Q_fade(target) - median(Delta Q_fade(peers))</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relative_ir_deviation</w:t>
            </w:r>
          </w:p>
        </w:tc>
        <w:tc>
          <w:tcPr>
            <w:tcW w:type="dxa" w:w="1872"/>
            <w:tcMar>
              <w:top w:w="80" w:type="dxa"/>
              <w:bottom w:w="80" w:type="dxa"/>
              <w:left w:w="120" w:type="dxa"/>
              <w:right w:w="120" w:type="dxa"/>
            </w:tcMar>
            <w:vAlign w:val="center"/>
          </w:tcPr>
          <w:p>
            <w:pPr>
              <w:spacing w:after="20" w:before="20"/>
            </w:pPr>
            <w:r>
              <w:rPr>
                <w:sz w:val="17"/>
              </w:rPr>
              <w:t>IR(target) - median(IR(peers)) at N_obs</w:t>
            </w:r>
          </w:p>
        </w:tc>
        <w:tc>
          <w:tcPr>
            <w:tcW w:type="dxa" w:w="1872"/>
            <w:tcMar>
              <w:top w:w="80" w:type="dxa"/>
              <w:bottom w:w="80" w:type="dxa"/>
              <w:left w:w="120" w:type="dxa"/>
              <w:right w:w="120" w:type="dxa"/>
            </w:tcMar>
            <w:vAlign w:val="center"/>
          </w:tcPr>
          <w:p>
            <w:pPr>
              <w:spacing w:after="20" w:before="20"/>
            </w:pPr>
            <w:r>
              <w:rPr>
                <w:sz w:val="17"/>
              </w:rPr>
              <w:t>Ohm</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peer_trajectory_dispersion</w:t>
            </w:r>
          </w:p>
        </w:tc>
        <w:tc>
          <w:tcPr>
            <w:tcW w:type="dxa" w:w="1872"/>
            <w:tcMar>
              <w:top w:w="80" w:type="dxa"/>
              <w:bottom w:w="80" w:type="dxa"/>
              <w:left w:w="120" w:type="dxa"/>
              <w:right w:w="120" w:type="dxa"/>
            </w:tcMar>
            <w:vAlign w:val="center"/>
          </w:tcPr>
          <w:p>
            <w:pPr>
              <w:spacing w:after="20" w:before="20"/>
            </w:pPr>
            <w:r>
              <w:rPr>
                <w:sz w:val="17"/>
              </w:rPr>
              <w:t>std(Q_d(peers)) at N_obs</w:t>
            </w:r>
          </w:p>
        </w:tc>
        <w:tc>
          <w:tcPr>
            <w:tcW w:type="dxa" w:w="1872"/>
            <w:tcMar>
              <w:top w:w="80" w:type="dxa"/>
              <w:bottom w:w="80" w:type="dxa"/>
              <w:left w:w="120" w:type="dxa"/>
              <w:right w:w="120" w:type="dxa"/>
            </w:tcMar>
            <w:vAlign w:val="center"/>
          </w:tcPr>
          <w:p>
            <w:pPr>
              <w:spacing w:after="20" w:before="20"/>
            </w:pPr>
            <w:r>
              <w:rPr>
                <w:sz w:val="17"/>
              </w:rPr>
              <w:t>Ah</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peer_slope_dispersion</w:t>
            </w:r>
          </w:p>
        </w:tc>
        <w:tc>
          <w:tcPr>
            <w:tcW w:type="dxa" w:w="1872"/>
            <w:tcMar>
              <w:top w:w="80" w:type="dxa"/>
              <w:bottom w:w="80" w:type="dxa"/>
              <w:left w:w="120" w:type="dxa"/>
              <w:right w:w="120" w:type="dxa"/>
            </w:tcMar>
            <w:vAlign w:val="center"/>
          </w:tcPr>
          <w:p>
            <w:pPr>
              <w:spacing w:after="20" w:before="20"/>
            </w:pPr>
            <w:r>
              <w:rPr>
                <w:sz w:val="17"/>
              </w:rPr>
              <w:t>std((dQ/dn)_peers) over cycles [2..N_obs]</w:t>
            </w:r>
          </w:p>
        </w:tc>
        <w:tc>
          <w:tcPr>
            <w:tcW w:type="dxa" w:w="1872"/>
            <w:tcMar>
              <w:top w:w="80" w:type="dxa"/>
              <w:bottom w:w="80" w:type="dxa"/>
              <w:left w:w="120" w:type="dxa"/>
              <w:right w:w="120" w:type="dxa"/>
            </w:tcMar>
            <w:vAlign w:val="center"/>
          </w:tcPr>
          <w:p>
            <w:pPr>
              <w:spacing w:after="20" w:before="20"/>
            </w:pPr>
            <w:r>
              <w:rPr>
                <w:sz w:val="17"/>
              </w:rPr>
              <w:t>Ah/cycle</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peer_traj</w:t>
            </w:r>
          </w:p>
        </w:tc>
        <w:tc>
          <w:tcPr>
            <w:tcW w:type="dxa" w:w="1872"/>
            <w:tcMar>
              <w:top w:w="80" w:type="dxa"/>
              <w:bottom w:w="80" w:type="dxa"/>
              <w:left w:w="120" w:type="dxa"/>
              <w:right w:w="120" w:type="dxa"/>
            </w:tcMar>
            <w:vAlign w:val="center"/>
          </w:tcPr>
          <w:p>
            <w:pPr>
              <w:spacing w:after="20" w:before="20"/>
            </w:pPr>
            <w:r>
              <w:rPr>
                <w:sz w:val="17"/>
              </w:rPr>
              <w:t>relative_z_score_capacity</w:t>
            </w:r>
          </w:p>
        </w:tc>
        <w:tc>
          <w:tcPr>
            <w:tcW w:type="dxa" w:w="1872"/>
            <w:tcMar>
              <w:top w:w="80" w:type="dxa"/>
              <w:bottom w:w="80" w:type="dxa"/>
              <w:left w:w="120" w:type="dxa"/>
              <w:right w:w="120" w:type="dxa"/>
            </w:tcMar>
            <w:vAlign w:val="center"/>
          </w:tcPr>
          <w:p>
            <w:pPr>
              <w:spacing w:after="20" w:before="20"/>
            </w:pPr>
            <w:r>
              <w:rPr>
                <w:sz w:val="17"/>
              </w:rPr>
              <w:t>(Q_d(target) - mean(Q_d(peers))) / (std + 1e-6)</w:t>
            </w:r>
          </w:p>
        </w:tc>
        <w:tc>
          <w:tcPr>
            <w:tcW w:type="dxa" w:w="1872"/>
            <w:tcMar>
              <w:top w:w="80" w:type="dxa"/>
              <w:bottom w:w="80" w:type="dxa"/>
              <w:left w:w="120" w:type="dxa"/>
              <w:right w:w="120" w:type="dxa"/>
            </w:tcMar>
            <w:vAlign w:val="center"/>
          </w:tcPr>
          <w:p>
            <w:pPr>
              <w:spacing w:after="20" w:before="20"/>
            </w:pPr>
            <w:r>
              <w:rPr>
                <w:sz w:val="17"/>
              </w:rPr>
              <w:t>z-score</w:t>
            </w:r>
          </w:p>
        </w:tc>
        <w:tc>
          <w:tcPr>
            <w:tcW w:type="dxa" w:w="1872"/>
            <w:tcMar>
              <w:top w:w="80" w:type="dxa"/>
              <w:bottom w:w="80" w:type="dxa"/>
              <w:left w:w="120" w:type="dxa"/>
              <w:right w:w="120" w:type="dxa"/>
            </w:tcMar>
            <w:vAlign w:val="center"/>
          </w:tcPr>
          <w:p>
            <w:pPr>
              <w:spacing w:after="20" w:before="20"/>
            </w:pPr>
            <w:r>
              <w:rPr>
                <w:sz w:val="17"/>
              </w:rPr>
              <w:t>2..N_obs</w:t>
            </w:r>
          </w:p>
        </w:tc>
      </w:tr>
      <w:tr>
        <w:trPr>
          <w:cantSplit/>
        </w:trPr>
        <w:tc>
          <w:tcPr>
            <w:tcW w:type="dxa" w:w="1872"/>
            <w:tcMar>
              <w:top w:w="80" w:type="dxa"/>
              <w:bottom w:w="80" w:type="dxa"/>
              <w:left w:w="120" w:type="dxa"/>
              <w:right w:w="120" w:type="dxa"/>
            </w:tcMar>
            <w:vAlign w:val="center"/>
          </w:tcPr>
          <w:p>
            <w:pPr>
              <w:spacing w:after="20" w:before="20"/>
            </w:pPr>
            <w:r>
              <w:rPr>
                <w:sz w:val="17"/>
              </w:rPr>
              <w:t>peer_rel (4)</w:t>
            </w:r>
          </w:p>
        </w:tc>
        <w:tc>
          <w:tcPr>
            <w:tcW w:type="dxa" w:w="1872"/>
            <w:tcMar>
              <w:top w:w="80" w:type="dxa"/>
              <w:bottom w:w="80" w:type="dxa"/>
              <w:left w:w="120" w:type="dxa"/>
              <w:right w:w="120" w:type="dxa"/>
            </w:tcMar>
            <w:vAlign w:val="center"/>
          </w:tcPr>
          <w:p>
            <w:pPr>
              <w:spacing w:after="20" w:before="20"/>
            </w:pPr>
            <w:r>
              <w:rPr>
                <w:sz w:val="17"/>
              </w:rPr>
              <w:t>pmri</w:t>
            </w:r>
          </w:p>
        </w:tc>
        <w:tc>
          <w:tcPr>
            <w:tcW w:type="dxa" w:w="1872"/>
            <w:tcMar>
              <w:top w:w="80" w:type="dxa"/>
              <w:bottom w:w="80" w:type="dxa"/>
              <w:left w:w="120" w:type="dxa"/>
              <w:right w:w="120" w:type="dxa"/>
            </w:tcMar>
            <w:vAlign w:val="center"/>
          </w:tcPr>
          <w:p>
            <w:pPr>
              <w:spacing w:after="20" w:before="20"/>
            </w:pPr>
            <w:r>
              <w:rPr>
                <w:sz w:val="17"/>
              </w:rPr>
              <w:t>Composite Peer-Match Reliability Index</w:t>
            </w:r>
          </w:p>
        </w:tc>
        <w:tc>
          <w:tcPr>
            <w:tcW w:type="dxa" w:w="1872"/>
            <w:tcMar>
              <w:top w:w="80" w:type="dxa"/>
              <w:bottom w:w="80" w:type="dxa"/>
              <w:left w:w="120" w:type="dxa"/>
              <w:right w:w="120" w:type="dxa"/>
            </w:tcMar>
            <w:vAlign w:val="center"/>
          </w:tcPr>
          <w:p>
            <w:pPr>
              <w:spacing w:after="20" w:before="20"/>
            </w:pPr>
            <w:r>
              <w:rPr>
                <w:sz w:val="17"/>
              </w:rPr>
              <w:t>index [0,1]</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peer_rel</w:t>
            </w:r>
          </w:p>
        </w:tc>
        <w:tc>
          <w:tcPr>
            <w:tcW w:type="dxa" w:w="1872"/>
            <w:tcMar>
              <w:top w:w="80" w:type="dxa"/>
              <w:bottom w:w="80" w:type="dxa"/>
              <w:left w:w="120" w:type="dxa"/>
              <w:right w:w="120" w:type="dxa"/>
            </w:tcMar>
            <w:vAlign w:val="center"/>
          </w:tcPr>
          <w:p>
            <w:pPr>
              <w:spacing w:after="20" w:before="20"/>
            </w:pPr>
            <w:r>
              <w:rPr>
                <w:sz w:val="17"/>
              </w:rPr>
              <w:t>peer_similarity_score</w:t>
            </w:r>
          </w:p>
        </w:tc>
        <w:tc>
          <w:tcPr>
            <w:tcW w:type="dxa" w:w="1872"/>
            <w:tcMar>
              <w:top w:w="80" w:type="dxa"/>
              <w:bottom w:w="80" w:type="dxa"/>
              <w:left w:w="120" w:type="dxa"/>
              <w:right w:w="120" w:type="dxa"/>
            </w:tcMar>
            <w:vAlign w:val="center"/>
          </w:tcPr>
          <w:p>
            <w:pPr>
              <w:spacing w:after="20" w:before="20"/>
            </w:pPr>
            <w:r>
              <w:rPr>
                <w:sz w:val="17"/>
              </w:rPr>
              <w:t>Exponential distance decay score S_sim</w:t>
            </w:r>
          </w:p>
        </w:tc>
        <w:tc>
          <w:tcPr>
            <w:tcW w:type="dxa" w:w="1872"/>
            <w:tcMar>
              <w:top w:w="80" w:type="dxa"/>
              <w:bottom w:w="80" w:type="dxa"/>
              <w:left w:w="120" w:type="dxa"/>
              <w:right w:w="120" w:type="dxa"/>
            </w:tcMar>
            <w:vAlign w:val="center"/>
          </w:tcPr>
          <w:p>
            <w:pPr>
              <w:spacing w:after="20" w:before="20"/>
            </w:pPr>
            <w:r>
              <w:rPr>
                <w:sz w:val="17"/>
              </w:rPr>
              <w:t>score [0,1]</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peer_rel</w:t>
            </w:r>
          </w:p>
        </w:tc>
        <w:tc>
          <w:tcPr>
            <w:tcW w:type="dxa" w:w="1872"/>
            <w:tcMar>
              <w:top w:w="80" w:type="dxa"/>
              <w:bottom w:w="80" w:type="dxa"/>
              <w:left w:w="120" w:type="dxa"/>
              <w:right w:w="120" w:type="dxa"/>
            </w:tcMar>
            <w:vAlign w:val="center"/>
          </w:tcPr>
          <w:p>
            <w:pPr>
              <w:spacing w:after="20" w:before="20"/>
            </w:pPr>
            <w:r>
              <w:rPr>
                <w:sz w:val="17"/>
              </w:rPr>
              <w:t>peer_agreement_score</w:t>
            </w:r>
          </w:p>
        </w:tc>
        <w:tc>
          <w:tcPr>
            <w:tcW w:type="dxa" w:w="1872"/>
            <w:tcMar>
              <w:top w:w="80" w:type="dxa"/>
              <w:bottom w:w="80" w:type="dxa"/>
              <w:left w:w="120" w:type="dxa"/>
              <w:right w:w="120" w:type="dxa"/>
            </w:tcMar>
            <w:vAlign w:val="center"/>
          </w:tcPr>
          <w:p>
            <w:pPr>
              <w:spacing w:after="20" w:before="20"/>
            </w:pPr>
            <w:r>
              <w:rPr>
                <w:sz w:val="17"/>
              </w:rPr>
              <w:t>Exponential slope dispersion decay score S_agree</w:t>
            </w:r>
          </w:p>
        </w:tc>
        <w:tc>
          <w:tcPr>
            <w:tcW w:type="dxa" w:w="1872"/>
            <w:tcMar>
              <w:top w:w="80" w:type="dxa"/>
              <w:bottom w:w="80" w:type="dxa"/>
              <w:left w:w="120" w:type="dxa"/>
              <w:right w:w="120" w:type="dxa"/>
            </w:tcMar>
            <w:vAlign w:val="center"/>
          </w:tcPr>
          <w:p>
            <w:pPr>
              <w:spacing w:after="20" w:before="20"/>
            </w:pPr>
            <w:r>
              <w:rPr>
                <w:sz w:val="17"/>
              </w:rPr>
              <w:t>score [0,1]</w:t>
            </w:r>
          </w:p>
        </w:tc>
        <w:tc>
          <w:tcPr>
            <w:tcW w:type="dxa" w:w="1872"/>
            <w:tcMar>
              <w:top w:w="80" w:type="dxa"/>
              <w:bottom w:w="80" w:type="dxa"/>
              <w:left w:w="120" w:type="dxa"/>
              <w:right w:w="120" w:type="dxa"/>
            </w:tcMar>
            <w:vAlign w:val="center"/>
          </w:tcPr>
          <w:p>
            <w:pPr>
              <w:spacing w:after="20" w:before="20"/>
            </w:pPr>
            <w:r>
              <w:rPr>
                <w:sz w:val="17"/>
              </w:rPr>
              <w:t>N_obs</w:t>
            </w:r>
          </w:p>
        </w:tc>
      </w:tr>
      <w:tr>
        <w:trPr>
          <w:cantSplit/>
        </w:trPr>
        <w:tc>
          <w:tcPr>
            <w:tcW w:type="dxa" w:w="1872"/>
            <w:tcMar>
              <w:top w:w="80" w:type="dxa"/>
              <w:bottom w:w="80" w:type="dxa"/>
              <w:left w:w="120" w:type="dxa"/>
              <w:right w:w="120" w:type="dxa"/>
            </w:tcMar>
            <w:vAlign w:val="center"/>
          </w:tcPr>
          <w:p>
            <w:pPr>
              <w:spacing w:after="20" w:before="20"/>
            </w:pPr>
            <w:r>
              <w:rPr>
                <w:sz w:val="17"/>
              </w:rPr>
              <w:t>peer_rel</w:t>
            </w:r>
          </w:p>
        </w:tc>
        <w:tc>
          <w:tcPr>
            <w:tcW w:type="dxa" w:w="1872"/>
            <w:tcMar>
              <w:top w:w="80" w:type="dxa"/>
              <w:bottom w:w="80" w:type="dxa"/>
              <w:left w:w="120" w:type="dxa"/>
              <w:right w:w="120" w:type="dxa"/>
            </w:tcMar>
            <w:vAlign w:val="center"/>
          </w:tcPr>
          <w:p>
            <w:pPr>
              <w:spacing w:after="20" w:before="20"/>
            </w:pPr>
            <w:r>
              <w:rPr>
                <w:sz w:val="17"/>
              </w:rPr>
              <w:t>mean_peer_distance</w:t>
            </w:r>
          </w:p>
        </w:tc>
        <w:tc>
          <w:tcPr>
            <w:tcW w:type="dxa" w:w="1872"/>
            <w:tcMar>
              <w:top w:w="80" w:type="dxa"/>
              <w:bottom w:w="80" w:type="dxa"/>
              <w:left w:w="120" w:type="dxa"/>
              <w:right w:w="120" w:type="dxa"/>
            </w:tcMar>
            <w:vAlign w:val="center"/>
          </w:tcPr>
          <w:p>
            <w:pPr>
              <w:spacing w:after="20" w:before="20"/>
            </w:pPr>
            <w:r>
              <w:rPr>
                <w:sz w:val="17"/>
              </w:rPr>
              <w:t>Mean standardized distance d_bar to matched peers</w:t>
            </w:r>
          </w:p>
        </w:tc>
        <w:tc>
          <w:tcPr>
            <w:tcW w:type="dxa" w:w="1872"/>
            <w:tcMar>
              <w:top w:w="80" w:type="dxa"/>
              <w:bottom w:w="80" w:type="dxa"/>
              <w:left w:w="120" w:type="dxa"/>
              <w:right w:w="120" w:type="dxa"/>
            </w:tcMar>
            <w:vAlign w:val="center"/>
          </w:tcPr>
          <w:p>
            <w:pPr>
              <w:spacing w:after="20" w:before="20"/>
            </w:pPr>
            <w:r>
              <w:rPr>
                <w:sz w:val="17"/>
              </w:rPr>
              <w:t>unitless</w:t>
            </w:r>
          </w:p>
        </w:tc>
        <w:tc>
          <w:tcPr>
            <w:tcW w:type="dxa" w:w="1872"/>
            <w:tcMar>
              <w:top w:w="80" w:type="dxa"/>
              <w:bottom w:w="80" w:type="dxa"/>
              <w:left w:w="120" w:type="dxa"/>
              <w:right w:w="120" w:type="dxa"/>
            </w:tcMar>
            <w:vAlign w:val="center"/>
          </w:tcPr>
          <w:p>
            <w:pPr>
              <w:spacing w:after="20" w:before="20"/>
            </w:pPr>
            <w:r>
              <w:rPr>
                <w:sz w:val="17"/>
              </w:rPr>
              <w:t>N_obs</w:t>
            </w:r>
          </w:p>
        </w:tc>
      </w:tr>
    </w:tbl>
    <w:p>
      <w:pPr>
        <w:jc w:val="center"/>
      </w:pPr>
      <w:r>
        <w:rPr>
          <w:b/>
        </w:rPr>
        <w:t>Table 1: Complete Feature Dictionary and Mathematical Definitions</w:t>
      </w:r>
    </w:p>
    <w:p>
      <w:pPr>
        <w:spacing w:before="180" w:after="60"/>
      </w:pPr>
      <w:r>
        <w:rPr>
          <w:b/>
          <w:color w:val="1E293B"/>
          <w:sz w:val="22"/>
        </w:rPr>
        <w:t>4. Peer Matching and Reference-Pool Selection Module (112, 300–310):</w:t>
      </w:r>
    </w:p>
    <w:p>
      <w:pPr>
        <w:spacing w:after="80"/>
      </w:pPr>
      <w:r>
        <w:t>The peer-matching subsystem 112 identifies comparable historical reference cells for a target cell t strictly from a sequestered reference pool 302 comprising the 41 training-partition cells. Seven matching features capturing the operational stress regime and baseline manufacturing health are extracted:</w:t>
      </w:r>
    </w:p>
    <w:p>
      <w:pPr>
        <w:spacing w:after="80"/>
      </w:pPr>
      <w:r>
        <w:rPr>
          <w:b/>
        </w:rPr>
        <w:t xml:space="preserve">Feature Weights: </w:t>
      </w:r>
      <w:r>
        <w:t>w_j = {init_policy_c1: 0.20, init_policy_soc: 0.15, init_policy_c2: 0.15, init_q_discharge: 0.15, init_internal_resistance: 0.15, init_temp_avg: 0.10, snap_internal_resistance: 0.10}</w:t>
      </w:r>
    </w:p>
    <w:p>
      <w:pPr>
        <w:spacing w:after="80"/>
      </w:pPr>
      <w:r>
        <w:t>Standardization: Each feature is standardized according to z_{tj} = (x_{tj} - mu_j) / sigma_j, where mu_j and sigma_j are the sample mean and standard deviation computed strictly across the 41 training reference pool cells at that specific cutoff cycle.</w:t>
      </w:r>
    </w:p>
    <w:p>
      <w:pPr>
        <w:spacing w:after="80"/>
      </w:pPr>
      <w:r>
        <w:t>Distance Formula: The standardized weighted Euclidean distance between target cell t and candidate reference cell r is computed as:</w:t>
      </w:r>
    </w:p>
    <w:p>
      <w:pPr>
        <w:spacing w:after="80"/>
      </w:pPr>
      <w:r>
        <w:rPr>
          <w:b/>
        </w:rPr>
        <w:t xml:space="preserve">Distance Metric: </w:t>
      </w:r>
      <w:r>
        <w:t>d(t, r) = sqrt( sum_{j=1}^7 w_j * (z_{rj} - z_{tj})^2 )</w:t>
      </w:r>
    </w:p>
    <w:p>
      <w:pPr>
        <w:spacing w:after="80"/>
      </w:pPr>
      <w:r>
        <w:t>Self-Match Exclusion Filter (306): For any candidate cell r in the reference pool, if r == t, the candidate is strictly omitted. Thus, training cells match against an out-of-fold candidate pool of N_train - 1 = 40 cells, preventing self-identity contamination. Primary and secondary test cells draw peers strictly from the 41 training cells; test cells never serve as peers.</w:t>
      </w:r>
    </w:p>
    <w:p>
      <w:pPr>
        <w:spacing w:after="80"/>
      </w:pPr>
      <w:r>
        <w:t>Candidate Ranking &amp; Selection (310): Eligible candidates are ranked in ascending order of d(t, r). The top k=5 nearest reference cells are selected. If fewer than k_min=3 eligible candidates exist, the match status is flagged as INSUFFICIENT_PEERS.</w:t>
      </w:r>
    </w:p>
    <w:p>
      <w:pPr>
        <w:spacing w:before="180" w:after="60"/>
      </w:pPr>
      <w:r>
        <w:rPr>
          <w:b/>
          <w:color w:val="1E293B"/>
          <w:sz w:val="22"/>
        </w:rPr>
        <w:t>5. Peer-Relative Degradation Analysis Module (116):</w:t>
      </w:r>
    </w:p>
    <w:p>
      <w:pPr>
        <w:spacing w:after="80"/>
      </w:pPr>
      <w:r>
        <w:t>The peer-relative analysis subsystem 116 computes the eight relative features defined in Table 1. By comparing the target cell against the median of its matched peer cohort over the aligned window [2, N_obs], the system removes the common-mode degradation caused by the charging protocol. For example, if an aggressive 5C charging regime induces rapid initial fade across all cells, the peer median captures this baseline; a target cell is flagged as anomalous only if its relative capacity deviation Delta Q_rel or relative slope deviation Delta(dQ/dn) departs significantly from its peer cohort.</w:t>
      </w:r>
    </w:p>
    <w:p>
      <w:pPr>
        <w:spacing w:before="180" w:after="60"/>
      </w:pPr>
      <w:r>
        <w:rPr>
          <w:b/>
          <w:color w:val="1E293B"/>
          <w:sz w:val="22"/>
        </w:rPr>
        <w:t>6. Peer-Match Reliability Assessment Module (118, 400–422):</w:t>
      </w:r>
    </w:p>
    <w:p>
      <w:pPr>
        <w:spacing w:after="80"/>
      </w:pPr>
      <w:r>
        <w:t>The PMRI module 118 evaluates the empirical reliability of the selected peer comparison. The composite index is defined by:</w:t>
      </w:r>
    </w:p>
    <w:p>
      <w:pPr>
        <w:spacing w:after="80"/>
      </w:pPr>
      <w:r>
        <w:rPr>
          <w:b/>
        </w:rPr>
        <w:t xml:space="preserve">Governing Equation: </w:t>
      </w:r>
      <w:r>
        <w:t>PMRI = 0.35 * S_similarity + 0.30 * S_agreement + 0.20 * S_availability + 0.15 * S_completeness</w:t>
      </w:r>
    </w:p>
    <w:p>
      <w:pPr>
        <w:pStyle w:val="ListBullet"/>
        <w:spacing w:after="40"/>
      </w:pPr>
      <w:r>
        <w:rPr>
          <w:b/>
        </w:rPr>
        <w:t xml:space="preserve">1. Peer Similarity (400): </w:t>
      </w:r>
      <w:r>
        <w:t>S_similarity = exp(-d_bar / d0), where d_bar is the mean standardized distance to the k matched peers, and d0 = 2.0 is the characteristic distance scale parameter. When d_bar = 0, S_sim = 1.0; when d_bar = 2.0, S_sim = exp(-1) = 0.368.</w:t>
      </w:r>
    </w:p>
    <w:p>
      <w:pPr>
        <w:pStyle w:val="ListBullet"/>
        <w:spacing w:after="40"/>
      </w:pPr>
      <w:r>
        <w:rPr>
          <w:b/>
        </w:rPr>
        <w:t xml:space="preserve">2. Trajectory Agreement (402): </w:t>
      </w:r>
      <w:r>
        <w:t>S_agreement = exp(-sigma_slope / sigma0), where sigma_slope is the standard deviation of degradation slopes among the k peers, and sigma0 = 5e-5 Ah/cycle is the characteristic slope dispersion scale. Tight slope agreement yields S_agree approaching 1.0.</w:t>
      </w:r>
    </w:p>
    <w:p>
      <w:pPr>
        <w:pStyle w:val="ListBullet"/>
        <w:spacing w:after="40"/>
      </w:pPr>
      <w:r>
        <w:rPr>
          <w:b/>
        </w:rPr>
        <w:t xml:space="preserve">3. Peer Availability (404): </w:t>
      </w:r>
      <w:r>
        <w:t>S_availability = min(1.0, k / 5) if k &gt;= 3, and S_avail = 0.0 if k &lt; 3. Full credit requires exactly k=5 peers.</w:t>
      </w:r>
    </w:p>
    <w:p>
      <w:pPr>
        <w:pStyle w:val="ListBullet"/>
        <w:spacing w:after="40"/>
      </w:pPr>
      <w:r>
        <w:rPr>
          <w:b/>
        </w:rPr>
        <w:t xml:space="preserve">4. Feature Completeness (406): </w:t>
      </w:r>
      <w:r>
        <w:t>S_completeness = N_valid / 7, representing the fraction of valid non-missing matching features.</w:t>
      </w:r>
    </w:p>
    <w:p>
      <w:pPr>
        <w:spacing w:after="80"/>
      </w:pPr>
      <w:r>
        <w:t>Diagnostic Warning Rules (410): The module evaluates four diagnostic warning criteria:</w:t>
      </w:r>
    </w:p>
    <w:p>
      <w:pPr>
        <w:pStyle w:val="ListBullet"/>
        <w:spacing w:after="40"/>
      </w:pPr>
      <w:r>
        <w:t>LOW_PEER_COUNT: Triggered if matched peer count k &lt; 5.</w:t>
      </w:r>
    </w:p>
    <w:p>
      <w:pPr>
        <w:pStyle w:val="ListBullet"/>
        <w:spacing w:after="40"/>
      </w:pPr>
      <w:r>
        <w:t>HIGH_PEER_DISTANCE: Triggered if mean standardized distance d_bar &gt; 2.0.</w:t>
      </w:r>
    </w:p>
    <w:p>
      <w:pPr>
        <w:pStyle w:val="ListBullet"/>
        <w:spacing w:after="40"/>
      </w:pPr>
      <w:r>
        <w:t>HIGH_PEER_DISPERSION: Triggered if peer slope dispersion sigma_slope &gt; 1.0e-4 Ah/cycle (2 * sigma0).</w:t>
      </w:r>
    </w:p>
    <w:p>
      <w:pPr>
        <w:pStyle w:val="ListBullet"/>
        <w:spacing w:after="40"/>
      </w:pPr>
      <w:r>
        <w:t>LOW_RELIABILITY: Triggered if composite PMRI &lt; 0.50.</w:t>
      </w:r>
    </w:p>
    <w:p>
      <w:pPr>
        <w:spacing w:after="80"/>
      </w:pPr>
      <w:r>
        <w:t>Crucial Technical Distinction: PMRI is a metric of peer match suitability and reference density, NOT a calibrated probability of battery failure. It functions as an orthogonal confidence gate. When PMRI &lt; 0.50, the controller output interface 124 triggers an advisory warning alert advising human review or decision abstention.</w:t>
      </w:r>
    </w:p>
    <w:p>
      <w:pPr>
        <w:spacing w:before="180" w:after="60"/>
      </w:pPr>
      <w:r>
        <w:rPr>
          <w:b/>
          <w:color w:val="1E293B"/>
          <w:sz w:val="22"/>
        </w:rPr>
        <w:t>7. End-of-Life Risk Prediction Engine (122, 500–506):</w:t>
      </w:r>
    </w:p>
    <w:p>
      <w:pPr>
        <w:spacing w:after="80"/>
      </w:pPr>
      <w:r>
        <w:t>The prediction engine 122 receives the engineered feature vectors and estimates the future risk of the target cell reaching EOL within a defined horizon:</w:t>
      </w:r>
    </w:p>
    <w:p>
      <w:pPr>
        <w:pStyle w:val="ListBullet"/>
        <w:spacing w:after="40"/>
      </w:pPr>
      <w:r>
        <w:t>Nominal Rating: 1.1 Ah nominal capacity (A123 APR18650M1A LFP/graphite).</w:t>
      </w:r>
    </w:p>
    <w:p>
      <w:pPr>
        <w:pStyle w:val="ListBullet"/>
        <w:spacing w:after="40"/>
      </w:pPr>
      <w:r>
        <w:t>End-of-Life (EOL) Criterion: First cycle where discharge capacity degrades to 80% of nominal capacity (0.88 Ah threshold), following the Severson et al. benchmark standard.</w:t>
      </w:r>
    </w:p>
    <w:p>
      <w:pPr>
        <w:pStyle w:val="ListBullet"/>
        <w:spacing w:after="40"/>
      </w:pPr>
      <w:r>
        <w:t>Primary Target Horizon: target_fail_within_500 = 1 if EOL_cycle &lt;= N_obs + 500 cycles; else 0.</w:t>
      </w:r>
    </w:p>
    <w:p>
      <w:pPr>
        <w:pStyle w:val="ListBullet"/>
        <w:spacing w:after="40"/>
      </w:pPr>
      <w:r>
        <w:t>Estimator Pipeline: StandardScaler followed by LogisticRegression(C=1.0, penalty='l2', solver='lbfgs', max_iter=1000, class_weight='balanced', random_state=42).</w:t>
      </w:r>
    </w:p>
    <w:p>
      <w:pPr>
        <w:pStyle w:val="ListBullet"/>
        <w:spacing w:after="40"/>
      </w:pPr>
      <w:r>
        <w:t>Decision Threshold tau: Selected strictly on 5-fold out-of-fold training cross-validation to maximize Youden's J statistic (J = Sensitivity + Specificity - 1), bounded in [0.10, 0.90]. (Optimal thresholds: tau = 0.34 to 0.36 across cutoffs).</w:t>
      </w:r>
    </w:p>
    <w:p>
      <w:pPr>
        <w:pStyle w:val="ListBullet"/>
        <w:spacing w:after="40"/>
      </w:pPr>
      <w:r>
        <w:t>Probability Calibration: Univariate Platt scaling (logistic regression on log-odds) fit strictly on out-of-fold training predictions, mapping raw classifier outputs into calibrated empirical probabilities in [0.0, 1.0].</w:t>
      </w:r>
    </w:p>
    <w:p>
      <w:pPr>
        <w:spacing w:before="180" w:after="60"/>
      </w:pPr>
      <w:r>
        <w:rPr>
          <w:b/>
          <w:color w:val="1E293B"/>
          <w:sz w:val="22"/>
        </w:rPr>
        <w:t>8. Model Validation and Experimental Embodiment (508–512):</w:t>
      </w:r>
    </w:p>
    <w:p>
      <w:pPr>
        <w:spacing w:after="80"/>
      </w:pPr>
      <w:r>
        <w:t>The experimental population comprises 140 raw battery cells from three experimental batches, partitioned strictly at the cell level:</w:t>
      </w:r>
    </w:p>
    <w:p>
      <w:pPr>
        <w:pStyle w:val="ListBullet"/>
        <w:spacing w:after="40"/>
      </w:pPr>
      <w:r>
        <w:t>Training Partition: 41 cells (Batches 1 &amp; 2). 21–22 positive EOL events (~53% prevalence).</w:t>
      </w:r>
    </w:p>
    <w:p>
      <w:pPr>
        <w:pStyle w:val="ListBullet"/>
        <w:spacing w:after="40"/>
      </w:pPr>
      <w:r>
        <w:t>Primary Test Partition: 43 cells (Batches 1 &amp; 2, in-distribution). 21–23 positive EOL events (~51% prevalence).</w:t>
      </w:r>
    </w:p>
    <w:p>
      <w:pPr>
        <w:pStyle w:val="ListBullet"/>
        <w:spacing w:after="40"/>
      </w:pPr>
      <w:r>
        <w:t>Secondary Test Partition: 40 cells (all from Batch 3, structural packaging modification '-newstructure' and long cycle life &gt; 1000 cycles). 0 positive events at Cutoff 40; 1 positive event at Cutoffs 70 and 100 (~2.5% prevalence).</w:t>
      </w:r>
    </w:p>
    <w:p>
      <w:pPr>
        <w:pStyle w:val="ListBullet"/>
        <w:spacing w:after="40"/>
      </w:pPr>
      <w:r>
        <w:t>Excluded Cells: 16 cells excluded under objective criteria (5 prematurely halted, 5 continuation segments, 6 sensor noise/non-failing anomalies).</w:t>
      </w:r>
    </w:p>
    <w:p>
      <w:pPr>
        <w:spacing w:after="80"/>
      </w:pPr>
      <w:r>
        <w:t>Verified Experimental Results (Phases 5 &amp; 6): Table 2 reports the performance across M1–M4 on the Primary Test partition (N=43).</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trPr>
        <w:tc>
          <w:tcPr>
            <w:tcW w:type="dxa" w:w="851"/>
            <w:tcMar>
              <w:top w:w="80" w:type="dxa"/>
              <w:bottom w:w="80" w:type="dxa"/>
              <w:left w:w="120" w:type="dxa"/>
              <w:right w:w="120" w:type="dxa"/>
            </w:tcMar>
            <w:vAlign w:val="center"/>
            <w:shd w:fill="E2E8F0"/>
          </w:tcPr>
          <w:p>
            <w:pPr>
              <w:spacing w:after="40" w:before="40"/>
            </w:pPr>
            <w:r>
              <w:rPr>
                <w:b/>
                <w:sz w:val="18"/>
              </w:rPr>
              <w:t>Cutoff</w:t>
            </w:r>
          </w:p>
        </w:tc>
        <w:tc>
          <w:tcPr>
            <w:tcW w:type="dxa" w:w="851"/>
            <w:tcMar>
              <w:top w:w="80" w:type="dxa"/>
              <w:bottom w:w="80" w:type="dxa"/>
              <w:left w:w="120" w:type="dxa"/>
              <w:right w:w="120" w:type="dxa"/>
            </w:tcMar>
            <w:vAlign w:val="center"/>
            <w:shd w:fill="E2E8F0"/>
          </w:tcPr>
          <w:p>
            <w:pPr>
              <w:spacing w:after="40" w:before="40"/>
            </w:pPr>
            <w:r>
              <w:rPr>
                <w:b/>
                <w:sz w:val="18"/>
              </w:rPr>
              <w:t>Model</w:t>
            </w:r>
          </w:p>
        </w:tc>
        <w:tc>
          <w:tcPr>
            <w:tcW w:type="dxa" w:w="851"/>
            <w:tcMar>
              <w:top w:w="80" w:type="dxa"/>
              <w:bottom w:w="80" w:type="dxa"/>
              <w:left w:w="120" w:type="dxa"/>
              <w:right w:w="120" w:type="dxa"/>
            </w:tcMar>
            <w:vAlign w:val="center"/>
            <w:shd w:fill="E2E8F0"/>
          </w:tcPr>
          <w:p>
            <w:pPr>
              <w:spacing w:after="40" w:before="40"/>
            </w:pPr>
            <w:r>
              <w:rPr>
                <w:b/>
                <w:sz w:val="18"/>
              </w:rPr>
              <w:t>Features</w:t>
            </w:r>
          </w:p>
        </w:tc>
        <w:tc>
          <w:tcPr>
            <w:tcW w:type="dxa" w:w="851"/>
            <w:tcMar>
              <w:top w:w="80" w:type="dxa"/>
              <w:bottom w:w="80" w:type="dxa"/>
              <w:left w:w="120" w:type="dxa"/>
              <w:right w:w="120" w:type="dxa"/>
            </w:tcMar>
            <w:vAlign w:val="center"/>
            <w:shd w:fill="E2E8F0"/>
          </w:tcPr>
          <w:p>
            <w:pPr>
              <w:spacing w:after="40" w:before="40"/>
            </w:pPr>
            <w:r>
              <w:rPr>
                <w:b/>
                <w:sz w:val="18"/>
              </w:rPr>
              <w:t>AUROC</w:t>
            </w:r>
          </w:p>
        </w:tc>
        <w:tc>
          <w:tcPr>
            <w:tcW w:type="dxa" w:w="851"/>
            <w:tcMar>
              <w:top w:w="80" w:type="dxa"/>
              <w:bottom w:w="80" w:type="dxa"/>
              <w:left w:w="120" w:type="dxa"/>
              <w:right w:w="120" w:type="dxa"/>
            </w:tcMar>
            <w:vAlign w:val="center"/>
            <w:shd w:fill="E2E8F0"/>
          </w:tcPr>
          <w:p>
            <w:pPr>
              <w:spacing w:after="40" w:before="40"/>
            </w:pPr>
            <w:r>
              <w:rPr>
                <w:b/>
                <w:sz w:val="18"/>
              </w:rPr>
              <w:t>AUPRC</w:t>
            </w:r>
          </w:p>
        </w:tc>
        <w:tc>
          <w:tcPr>
            <w:tcW w:type="dxa" w:w="851"/>
            <w:tcMar>
              <w:top w:w="80" w:type="dxa"/>
              <w:bottom w:w="80" w:type="dxa"/>
              <w:left w:w="120" w:type="dxa"/>
              <w:right w:w="120" w:type="dxa"/>
            </w:tcMar>
            <w:vAlign w:val="center"/>
            <w:shd w:fill="E2E8F0"/>
          </w:tcPr>
          <w:p>
            <w:pPr>
              <w:spacing w:after="40" w:before="40"/>
            </w:pPr>
            <w:r>
              <w:rPr>
                <w:b/>
                <w:sz w:val="18"/>
              </w:rPr>
              <w:t>Brier Score</w:t>
            </w:r>
          </w:p>
        </w:tc>
        <w:tc>
          <w:tcPr>
            <w:tcW w:type="dxa" w:w="851"/>
            <w:tcMar>
              <w:top w:w="80" w:type="dxa"/>
              <w:bottom w:w="80" w:type="dxa"/>
              <w:left w:w="120" w:type="dxa"/>
              <w:right w:w="120" w:type="dxa"/>
            </w:tcMar>
            <w:vAlign w:val="center"/>
            <w:shd w:fill="E2E8F0"/>
          </w:tcPr>
          <w:p>
            <w:pPr>
              <w:spacing w:after="40" w:before="40"/>
            </w:pPr>
            <w:r>
              <w:rPr>
                <w:b/>
                <w:sz w:val="18"/>
              </w:rPr>
              <w:t>ECE</w:t>
            </w:r>
          </w:p>
        </w:tc>
        <w:tc>
          <w:tcPr>
            <w:tcW w:type="dxa" w:w="851"/>
            <w:tcMar>
              <w:top w:w="80" w:type="dxa"/>
              <w:bottom w:w="80" w:type="dxa"/>
              <w:left w:w="120" w:type="dxa"/>
              <w:right w:w="120" w:type="dxa"/>
            </w:tcMar>
            <w:vAlign w:val="center"/>
            <w:shd w:fill="E2E8F0"/>
          </w:tcPr>
          <w:p>
            <w:pPr>
              <w:spacing w:after="40" w:before="40"/>
            </w:pPr>
            <w:r>
              <w:rPr>
                <w:b/>
                <w:sz w:val="18"/>
              </w:rPr>
              <w:t>Threshold</w:t>
            </w:r>
          </w:p>
        </w:tc>
        <w:tc>
          <w:tcPr>
            <w:tcW w:type="dxa" w:w="851"/>
            <w:tcMar>
              <w:top w:w="80" w:type="dxa"/>
              <w:bottom w:w="80" w:type="dxa"/>
              <w:left w:w="120" w:type="dxa"/>
              <w:right w:w="120" w:type="dxa"/>
            </w:tcMar>
            <w:vAlign w:val="center"/>
            <w:shd w:fill="E2E8F0"/>
          </w:tcPr>
          <w:p>
            <w:pPr>
              <w:spacing w:after="40" w:before="40"/>
            </w:pPr>
            <w:r>
              <w:rPr>
                <w:b/>
                <w:sz w:val="18"/>
              </w:rPr>
              <w:t>Sensitivity</w:t>
            </w:r>
          </w:p>
        </w:tc>
        <w:tc>
          <w:tcPr>
            <w:tcW w:type="dxa" w:w="851"/>
            <w:tcMar>
              <w:top w:w="80" w:type="dxa"/>
              <w:bottom w:w="80" w:type="dxa"/>
              <w:left w:w="120" w:type="dxa"/>
              <w:right w:w="120" w:type="dxa"/>
            </w:tcMar>
            <w:vAlign w:val="center"/>
            <w:shd w:fill="E2E8F0"/>
          </w:tcPr>
          <w:p>
            <w:pPr>
              <w:spacing w:after="40" w:before="40"/>
            </w:pPr>
            <w:r>
              <w:rPr>
                <w:b/>
                <w:sz w:val="18"/>
              </w:rPr>
              <w:t>Specificity</w:t>
            </w:r>
          </w:p>
        </w:tc>
        <w:tc>
          <w:tcPr>
            <w:tcW w:type="dxa" w:w="851"/>
            <w:tcMar>
              <w:top w:w="80" w:type="dxa"/>
              <w:bottom w:w="80" w:type="dxa"/>
              <w:left w:w="120" w:type="dxa"/>
              <w:right w:w="120" w:type="dxa"/>
            </w:tcMar>
            <w:vAlign w:val="center"/>
            <w:shd w:fill="E2E8F0"/>
          </w:tcPr>
          <w:p>
            <w:pPr>
              <w:spacing w:after="40" w:before="40"/>
            </w:pPr>
            <w:r>
              <w:rPr>
                <w:b/>
                <w:sz w:val="18"/>
              </w:rPr>
              <w:t>F1-Score</w:t>
            </w:r>
          </w:p>
        </w:tc>
      </w:tr>
      <w:tr>
        <w:trPr>
          <w:cantSplit/>
        </w:trPr>
        <w:tc>
          <w:tcPr>
            <w:tcW w:type="dxa" w:w="851"/>
            <w:tcMar>
              <w:top w:w="80" w:type="dxa"/>
              <w:bottom w:w="80" w:type="dxa"/>
              <w:left w:w="120" w:type="dxa"/>
              <w:right w:w="120" w:type="dxa"/>
            </w:tcMar>
            <w:vAlign w:val="center"/>
          </w:tcPr>
          <w:p>
            <w:pPr>
              <w:spacing w:after="20" w:before="20"/>
            </w:pPr>
            <w:r>
              <w:rPr>
                <w:sz w:val="17"/>
              </w:rPr>
              <w:t>40</w:t>
            </w:r>
          </w:p>
        </w:tc>
        <w:tc>
          <w:tcPr>
            <w:tcW w:type="dxa" w:w="851"/>
            <w:tcMar>
              <w:top w:w="80" w:type="dxa"/>
              <w:bottom w:w="80" w:type="dxa"/>
              <w:left w:w="120" w:type="dxa"/>
              <w:right w:w="120" w:type="dxa"/>
            </w:tcMar>
            <w:vAlign w:val="center"/>
          </w:tcPr>
          <w:p>
            <w:pPr>
              <w:spacing w:after="20" w:before="20"/>
            </w:pPr>
            <w:r>
              <w:rPr>
                <w:sz w:val="17"/>
              </w:rPr>
              <w:t>M1 (Baseline)</w:t>
            </w:r>
          </w:p>
        </w:tc>
        <w:tc>
          <w:tcPr>
            <w:tcW w:type="dxa" w:w="851"/>
            <w:tcMar>
              <w:top w:w="80" w:type="dxa"/>
              <w:bottom w:w="80" w:type="dxa"/>
              <w:left w:w="120" w:type="dxa"/>
              <w:right w:w="120" w:type="dxa"/>
            </w:tcMar>
            <w:vAlign w:val="center"/>
          </w:tcPr>
          <w:p>
            <w:pPr>
              <w:spacing w:after="20" w:before="20"/>
            </w:pPr>
            <w:r>
              <w:rPr>
                <w:sz w:val="17"/>
              </w:rPr>
              <w:t>18</w:t>
            </w:r>
          </w:p>
        </w:tc>
        <w:tc>
          <w:tcPr>
            <w:tcW w:type="dxa" w:w="851"/>
            <w:tcMar>
              <w:top w:w="80" w:type="dxa"/>
              <w:bottom w:w="80" w:type="dxa"/>
              <w:left w:w="120" w:type="dxa"/>
              <w:right w:w="120" w:type="dxa"/>
            </w:tcMar>
            <w:vAlign w:val="center"/>
          </w:tcPr>
          <w:p>
            <w:pPr>
              <w:spacing w:after="20" w:before="20"/>
            </w:pPr>
            <w:r>
              <w:rPr>
                <w:sz w:val="17"/>
              </w:rPr>
              <w:t>0.9177</w:t>
            </w:r>
          </w:p>
        </w:tc>
        <w:tc>
          <w:tcPr>
            <w:tcW w:type="dxa" w:w="851"/>
            <w:tcMar>
              <w:top w:w="80" w:type="dxa"/>
              <w:bottom w:w="80" w:type="dxa"/>
              <w:left w:w="120" w:type="dxa"/>
              <w:right w:w="120" w:type="dxa"/>
            </w:tcMar>
            <w:vAlign w:val="center"/>
          </w:tcPr>
          <w:p>
            <w:pPr>
              <w:spacing w:after="20" w:before="20"/>
            </w:pPr>
            <w:r>
              <w:rPr>
                <w:sz w:val="17"/>
              </w:rPr>
              <w:t>0.8461</w:t>
            </w:r>
          </w:p>
        </w:tc>
        <w:tc>
          <w:tcPr>
            <w:tcW w:type="dxa" w:w="851"/>
            <w:tcMar>
              <w:top w:w="80" w:type="dxa"/>
              <w:bottom w:w="80" w:type="dxa"/>
              <w:left w:w="120" w:type="dxa"/>
              <w:right w:w="120" w:type="dxa"/>
            </w:tcMar>
            <w:vAlign w:val="center"/>
          </w:tcPr>
          <w:p>
            <w:pPr>
              <w:spacing w:after="20" w:before="20"/>
            </w:pPr>
            <w:r>
              <w:rPr>
                <w:sz w:val="17"/>
              </w:rPr>
              <w:t>0.0764</w:t>
            </w:r>
          </w:p>
        </w:tc>
        <w:tc>
          <w:tcPr>
            <w:tcW w:type="dxa" w:w="851"/>
            <w:tcMar>
              <w:top w:w="80" w:type="dxa"/>
              <w:bottom w:w="80" w:type="dxa"/>
              <w:left w:w="120" w:type="dxa"/>
              <w:right w:w="120" w:type="dxa"/>
            </w:tcMar>
            <w:vAlign w:val="center"/>
          </w:tcPr>
          <w:p>
            <w:pPr>
              <w:spacing w:after="20" w:before="20"/>
            </w:pPr>
            <w:r>
              <w:rPr>
                <w:sz w:val="17"/>
              </w:rPr>
              <w:t>0.0886</w:t>
            </w:r>
          </w:p>
        </w:tc>
        <w:tc>
          <w:tcPr>
            <w:tcW w:type="dxa" w:w="851"/>
            <w:tcMar>
              <w:top w:w="80" w:type="dxa"/>
              <w:bottom w:w="80" w:type="dxa"/>
              <w:left w:w="120" w:type="dxa"/>
              <w:right w:w="120" w:type="dxa"/>
            </w:tcMar>
            <w:vAlign w:val="center"/>
          </w:tcPr>
          <w:p>
            <w:pPr>
              <w:spacing w:after="20" w:before="20"/>
            </w:pPr>
            <w:r>
              <w:rPr>
                <w:sz w:val="17"/>
              </w:rPr>
              <w:t>0.36</w:t>
            </w:r>
          </w:p>
        </w:tc>
        <w:tc>
          <w:tcPr>
            <w:tcW w:type="dxa" w:w="851"/>
            <w:tcMar>
              <w:top w:w="80" w:type="dxa"/>
              <w:bottom w:w="80" w:type="dxa"/>
              <w:left w:w="120" w:type="dxa"/>
              <w:right w:w="120" w:type="dxa"/>
            </w:tcMar>
            <w:vAlign w:val="center"/>
          </w:tcPr>
          <w:p>
            <w:pPr>
              <w:spacing w:after="20" w:before="20"/>
            </w:pPr>
            <w:r>
              <w:rPr>
                <w:sz w:val="17"/>
              </w:rPr>
              <w:t>0.9524</w:t>
            </w:r>
          </w:p>
        </w:tc>
        <w:tc>
          <w:tcPr>
            <w:tcW w:type="dxa" w:w="851"/>
            <w:tcMar>
              <w:top w:w="80" w:type="dxa"/>
              <w:bottom w:w="80" w:type="dxa"/>
              <w:left w:w="120" w:type="dxa"/>
              <w:right w:w="120" w:type="dxa"/>
            </w:tcMar>
            <w:vAlign w:val="center"/>
          </w:tcPr>
          <w:p>
            <w:pPr>
              <w:spacing w:after="20" w:before="20"/>
            </w:pPr>
            <w:r>
              <w:rPr>
                <w:sz w:val="17"/>
              </w:rPr>
              <w:t>0.8636</w:t>
            </w:r>
          </w:p>
        </w:tc>
        <w:tc>
          <w:tcPr>
            <w:tcW w:type="dxa" w:w="851"/>
            <w:tcMar>
              <w:top w:w="80" w:type="dxa"/>
              <w:bottom w:w="80" w:type="dxa"/>
              <w:left w:w="120" w:type="dxa"/>
              <w:right w:w="120" w:type="dxa"/>
            </w:tcMar>
            <w:vAlign w:val="center"/>
          </w:tcPr>
          <w:p>
            <w:pPr>
              <w:spacing w:after="20" w:before="20"/>
            </w:pPr>
            <w:r>
              <w:rPr>
                <w:sz w:val="17"/>
              </w:rPr>
              <w:t>0.9091</w:t>
            </w:r>
          </w:p>
        </w:tc>
      </w:tr>
      <w:tr>
        <w:trPr>
          <w:cantSplit/>
        </w:trPr>
        <w:tc>
          <w:tcPr>
            <w:tcW w:type="dxa" w:w="851"/>
            <w:tcMar>
              <w:top w:w="80" w:type="dxa"/>
              <w:bottom w:w="80" w:type="dxa"/>
              <w:left w:w="120" w:type="dxa"/>
              <w:right w:w="120" w:type="dxa"/>
            </w:tcMar>
            <w:vAlign w:val="center"/>
          </w:tcPr>
          <w:p>
            <w:pPr>
              <w:spacing w:after="20" w:before="20"/>
            </w:pPr>
            <w:r>
              <w:rPr>
                <w:sz w:val="17"/>
              </w:rPr>
              <w:t>40</w:t>
            </w:r>
          </w:p>
        </w:tc>
        <w:tc>
          <w:tcPr>
            <w:tcW w:type="dxa" w:w="851"/>
            <w:tcMar>
              <w:top w:w="80" w:type="dxa"/>
              <w:bottom w:w="80" w:type="dxa"/>
              <w:left w:w="120" w:type="dxa"/>
              <w:right w:w="120" w:type="dxa"/>
            </w:tcMar>
            <w:vAlign w:val="center"/>
          </w:tcPr>
          <w:p>
            <w:pPr>
              <w:spacing w:after="20" w:before="20"/>
            </w:pPr>
            <w:r>
              <w:rPr>
                <w:sz w:val="17"/>
              </w:rPr>
              <w:t>M2 (Trajectory)</w:t>
            </w:r>
          </w:p>
        </w:tc>
        <w:tc>
          <w:tcPr>
            <w:tcW w:type="dxa" w:w="851"/>
            <w:tcMar>
              <w:top w:w="80" w:type="dxa"/>
              <w:bottom w:w="80" w:type="dxa"/>
              <w:left w:w="120" w:type="dxa"/>
              <w:right w:w="120" w:type="dxa"/>
            </w:tcMar>
            <w:vAlign w:val="center"/>
          </w:tcPr>
          <w:p>
            <w:pPr>
              <w:spacing w:after="20" w:before="20"/>
            </w:pPr>
            <w:r>
              <w:rPr>
                <w:sz w:val="17"/>
              </w:rPr>
              <w:t>34</w:t>
            </w:r>
          </w:p>
        </w:tc>
        <w:tc>
          <w:tcPr>
            <w:tcW w:type="dxa" w:w="851"/>
            <w:tcMar>
              <w:top w:w="80" w:type="dxa"/>
              <w:bottom w:w="80" w:type="dxa"/>
              <w:left w:w="120" w:type="dxa"/>
              <w:right w:w="120" w:type="dxa"/>
            </w:tcMar>
            <w:vAlign w:val="center"/>
          </w:tcPr>
          <w:p>
            <w:pPr>
              <w:spacing w:after="20" w:before="20"/>
            </w:pPr>
            <w:r>
              <w:rPr>
                <w:sz w:val="17"/>
              </w:rPr>
              <w:t>0.9091</w:t>
            </w:r>
          </w:p>
        </w:tc>
        <w:tc>
          <w:tcPr>
            <w:tcW w:type="dxa" w:w="851"/>
            <w:tcMar>
              <w:top w:w="80" w:type="dxa"/>
              <w:bottom w:w="80" w:type="dxa"/>
              <w:left w:w="120" w:type="dxa"/>
              <w:right w:w="120" w:type="dxa"/>
            </w:tcMar>
            <w:vAlign w:val="center"/>
          </w:tcPr>
          <w:p>
            <w:pPr>
              <w:spacing w:after="20" w:before="20"/>
            </w:pPr>
            <w:r>
              <w:rPr>
                <w:sz w:val="17"/>
              </w:rPr>
              <w:t>0.8357</w:t>
            </w:r>
          </w:p>
        </w:tc>
        <w:tc>
          <w:tcPr>
            <w:tcW w:type="dxa" w:w="851"/>
            <w:tcMar>
              <w:top w:w="80" w:type="dxa"/>
              <w:bottom w:w="80" w:type="dxa"/>
              <w:left w:w="120" w:type="dxa"/>
              <w:right w:w="120" w:type="dxa"/>
            </w:tcMar>
            <w:vAlign w:val="center"/>
          </w:tcPr>
          <w:p>
            <w:pPr>
              <w:spacing w:after="20" w:before="20"/>
            </w:pPr>
            <w:r>
              <w:rPr>
                <w:sz w:val="17"/>
              </w:rPr>
              <w:t>0.0871</w:t>
            </w:r>
          </w:p>
        </w:tc>
        <w:tc>
          <w:tcPr>
            <w:tcW w:type="dxa" w:w="851"/>
            <w:tcMar>
              <w:top w:w="80" w:type="dxa"/>
              <w:bottom w:w="80" w:type="dxa"/>
              <w:left w:w="120" w:type="dxa"/>
              <w:right w:w="120" w:type="dxa"/>
            </w:tcMar>
            <w:vAlign w:val="center"/>
          </w:tcPr>
          <w:p>
            <w:pPr>
              <w:spacing w:after="20" w:before="20"/>
            </w:pPr>
            <w:r>
              <w:rPr>
                <w:sz w:val="17"/>
              </w:rPr>
              <w:t>0.1132</w:t>
            </w:r>
          </w:p>
        </w:tc>
        <w:tc>
          <w:tcPr>
            <w:tcW w:type="dxa" w:w="851"/>
            <w:tcMar>
              <w:top w:w="80" w:type="dxa"/>
              <w:bottom w:w="80" w:type="dxa"/>
              <w:left w:w="120" w:type="dxa"/>
              <w:right w:w="120" w:type="dxa"/>
            </w:tcMar>
            <w:vAlign w:val="center"/>
          </w:tcPr>
          <w:p>
            <w:pPr>
              <w:spacing w:after="20" w:before="20"/>
            </w:pPr>
            <w:r>
              <w:rPr>
                <w:sz w:val="17"/>
              </w:rPr>
              <w:t>0.36</w:t>
            </w:r>
          </w:p>
        </w:tc>
        <w:tc>
          <w:tcPr>
            <w:tcW w:type="dxa" w:w="851"/>
            <w:tcMar>
              <w:top w:w="80" w:type="dxa"/>
              <w:bottom w:w="80" w:type="dxa"/>
              <w:left w:w="120" w:type="dxa"/>
              <w:right w:w="120" w:type="dxa"/>
            </w:tcMar>
            <w:vAlign w:val="center"/>
          </w:tcPr>
          <w:p>
            <w:pPr>
              <w:spacing w:after="20" w:before="20"/>
            </w:pPr>
            <w:r>
              <w:rPr>
                <w:sz w:val="17"/>
              </w:rPr>
              <w:t>0.9048</w:t>
            </w:r>
          </w:p>
        </w:tc>
        <w:tc>
          <w:tcPr>
            <w:tcW w:type="dxa" w:w="851"/>
            <w:tcMar>
              <w:top w:w="80" w:type="dxa"/>
              <w:bottom w:w="80" w:type="dxa"/>
              <w:left w:w="120" w:type="dxa"/>
              <w:right w:w="120" w:type="dxa"/>
            </w:tcMar>
            <w:vAlign w:val="center"/>
          </w:tcPr>
          <w:p>
            <w:pPr>
              <w:spacing w:after="20" w:before="20"/>
            </w:pPr>
            <w:r>
              <w:rPr>
                <w:sz w:val="17"/>
              </w:rPr>
              <w:t>0.9048</w:t>
            </w:r>
          </w:p>
        </w:tc>
        <w:tc>
          <w:tcPr>
            <w:tcW w:type="dxa" w:w="851"/>
            <w:tcMar>
              <w:top w:w="80" w:type="dxa"/>
              <w:bottom w:w="80" w:type="dxa"/>
              <w:left w:w="120" w:type="dxa"/>
              <w:right w:w="120" w:type="dxa"/>
            </w:tcMar>
            <w:vAlign w:val="center"/>
          </w:tcPr>
          <w:p>
            <w:pPr>
              <w:spacing w:after="20" w:before="20"/>
            </w:pPr>
            <w:r>
              <w:rPr>
                <w:sz w:val="17"/>
              </w:rPr>
              <w:t>0.9048</w:t>
            </w:r>
          </w:p>
        </w:tc>
      </w:tr>
      <w:tr>
        <w:trPr>
          <w:cantSplit/>
        </w:trPr>
        <w:tc>
          <w:tcPr>
            <w:tcW w:type="dxa" w:w="851"/>
            <w:tcMar>
              <w:top w:w="80" w:type="dxa"/>
              <w:bottom w:w="80" w:type="dxa"/>
              <w:left w:w="120" w:type="dxa"/>
              <w:right w:w="120" w:type="dxa"/>
            </w:tcMar>
            <w:vAlign w:val="center"/>
          </w:tcPr>
          <w:p>
            <w:pPr>
              <w:spacing w:after="20" w:before="20"/>
            </w:pPr>
            <w:r>
              <w:rPr>
                <w:sz w:val="17"/>
              </w:rPr>
              <w:t>40</w:t>
            </w:r>
          </w:p>
        </w:tc>
        <w:tc>
          <w:tcPr>
            <w:tcW w:type="dxa" w:w="851"/>
            <w:tcMar>
              <w:top w:w="80" w:type="dxa"/>
              <w:bottom w:w="80" w:type="dxa"/>
              <w:left w:w="120" w:type="dxa"/>
              <w:right w:w="120" w:type="dxa"/>
            </w:tcMar>
            <w:vAlign w:val="center"/>
          </w:tcPr>
          <w:p>
            <w:pPr>
              <w:spacing w:after="20" w:before="20"/>
            </w:pPr>
            <w:r>
              <w:rPr>
                <w:sz w:val="17"/>
              </w:rPr>
              <w:t>M3 (Peer-Relative)</w:t>
            </w:r>
          </w:p>
        </w:tc>
        <w:tc>
          <w:tcPr>
            <w:tcW w:type="dxa" w:w="851"/>
            <w:tcMar>
              <w:top w:w="80" w:type="dxa"/>
              <w:bottom w:w="80" w:type="dxa"/>
              <w:left w:w="120" w:type="dxa"/>
              <w:right w:w="120" w:type="dxa"/>
            </w:tcMar>
            <w:vAlign w:val="center"/>
          </w:tcPr>
          <w:p>
            <w:pPr>
              <w:spacing w:after="20" w:before="20"/>
            </w:pPr>
            <w:r>
              <w:rPr>
                <w:sz w:val="17"/>
              </w:rPr>
              <w:t>42</w:t>
            </w:r>
          </w:p>
        </w:tc>
        <w:tc>
          <w:tcPr>
            <w:tcW w:type="dxa" w:w="851"/>
            <w:tcMar>
              <w:top w:w="80" w:type="dxa"/>
              <w:bottom w:w="80" w:type="dxa"/>
              <w:left w:w="120" w:type="dxa"/>
              <w:right w:w="120" w:type="dxa"/>
            </w:tcMar>
            <w:vAlign w:val="center"/>
          </w:tcPr>
          <w:p>
            <w:pPr>
              <w:spacing w:after="20" w:before="20"/>
            </w:pPr>
            <w:r>
              <w:rPr>
                <w:sz w:val="17"/>
              </w:rPr>
              <w:t>0.8723</w:t>
            </w:r>
          </w:p>
        </w:tc>
        <w:tc>
          <w:tcPr>
            <w:tcW w:type="dxa" w:w="851"/>
            <w:tcMar>
              <w:top w:w="80" w:type="dxa"/>
              <w:bottom w:w="80" w:type="dxa"/>
              <w:left w:w="120" w:type="dxa"/>
              <w:right w:w="120" w:type="dxa"/>
            </w:tcMar>
            <w:vAlign w:val="center"/>
          </w:tcPr>
          <w:p>
            <w:pPr>
              <w:spacing w:after="20" w:before="20"/>
            </w:pPr>
            <w:r>
              <w:rPr>
                <w:sz w:val="17"/>
              </w:rPr>
              <w:t>0.7834</w:t>
            </w:r>
          </w:p>
        </w:tc>
        <w:tc>
          <w:tcPr>
            <w:tcW w:type="dxa" w:w="851"/>
            <w:tcMar>
              <w:top w:w="80" w:type="dxa"/>
              <w:bottom w:w="80" w:type="dxa"/>
              <w:left w:w="120" w:type="dxa"/>
              <w:right w:w="120" w:type="dxa"/>
            </w:tcMar>
            <w:vAlign w:val="center"/>
          </w:tcPr>
          <w:p>
            <w:pPr>
              <w:spacing w:after="20" w:before="20"/>
            </w:pPr>
            <w:r>
              <w:rPr>
                <w:sz w:val="17"/>
              </w:rPr>
              <w:t>0.1015</w:t>
            </w:r>
          </w:p>
        </w:tc>
        <w:tc>
          <w:tcPr>
            <w:tcW w:type="dxa" w:w="851"/>
            <w:tcMar>
              <w:top w:w="80" w:type="dxa"/>
              <w:bottom w:w="80" w:type="dxa"/>
              <w:left w:w="120" w:type="dxa"/>
              <w:right w:w="120" w:type="dxa"/>
            </w:tcMar>
            <w:vAlign w:val="center"/>
          </w:tcPr>
          <w:p>
            <w:pPr>
              <w:spacing w:after="20" w:before="20"/>
            </w:pPr>
            <w:r>
              <w:rPr>
                <w:sz w:val="17"/>
              </w:rPr>
              <w:t>0.1471</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0.9048</w:t>
            </w:r>
          </w:p>
        </w:tc>
        <w:tc>
          <w:tcPr>
            <w:tcW w:type="dxa" w:w="851"/>
            <w:tcMar>
              <w:top w:w="80" w:type="dxa"/>
              <w:bottom w:w="80" w:type="dxa"/>
              <w:left w:w="120" w:type="dxa"/>
              <w:right w:w="120" w:type="dxa"/>
            </w:tcMar>
            <w:vAlign w:val="center"/>
          </w:tcPr>
          <w:p>
            <w:pPr>
              <w:spacing w:after="20" w:before="20"/>
            </w:pPr>
            <w:r>
              <w:rPr>
                <w:sz w:val="17"/>
              </w:rPr>
              <w:t>0.8636</w:t>
            </w:r>
          </w:p>
        </w:tc>
        <w:tc>
          <w:tcPr>
            <w:tcW w:type="dxa" w:w="851"/>
            <w:tcMar>
              <w:top w:w="80" w:type="dxa"/>
              <w:bottom w:w="80" w:type="dxa"/>
              <w:left w:w="120" w:type="dxa"/>
              <w:right w:w="120" w:type="dxa"/>
            </w:tcMar>
            <w:vAlign w:val="center"/>
          </w:tcPr>
          <w:p>
            <w:pPr>
              <w:spacing w:after="20" w:before="20"/>
            </w:pPr>
            <w:r>
              <w:rPr>
                <w:sz w:val="17"/>
              </w:rPr>
              <w:t>0.8837</w:t>
            </w:r>
          </w:p>
        </w:tc>
      </w:tr>
      <w:tr>
        <w:trPr>
          <w:cantSplit/>
        </w:trPr>
        <w:tc>
          <w:tcPr>
            <w:tcW w:type="dxa" w:w="851"/>
            <w:tcMar>
              <w:top w:w="80" w:type="dxa"/>
              <w:bottom w:w="80" w:type="dxa"/>
              <w:left w:w="120" w:type="dxa"/>
              <w:right w:w="120" w:type="dxa"/>
            </w:tcMar>
            <w:vAlign w:val="center"/>
          </w:tcPr>
          <w:p>
            <w:pPr>
              <w:spacing w:after="20" w:before="20"/>
            </w:pPr>
            <w:r>
              <w:rPr>
                <w:sz w:val="17"/>
              </w:rPr>
              <w:t>40</w:t>
            </w:r>
          </w:p>
        </w:tc>
        <w:tc>
          <w:tcPr>
            <w:tcW w:type="dxa" w:w="851"/>
            <w:tcMar>
              <w:top w:w="80" w:type="dxa"/>
              <w:bottom w:w="80" w:type="dxa"/>
              <w:left w:w="120" w:type="dxa"/>
              <w:right w:w="120" w:type="dxa"/>
            </w:tcMar>
            <w:vAlign w:val="center"/>
          </w:tcPr>
          <w:p>
            <w:pPr>
              <w:spacing w:after="20" w:before="20"/>
            </w:pPr>
            <w:r>
              <w:rPr>
                <w:sz w:val="17"/>
              </w:rPr>
              <w:t>M4 (Full System)</w:t>
            </w:r>
          </w:p>
        </w:tc>
        <w:tc>
          <w:tcPr>
            <w:tcW w:type="dxa" w:w="851"/>
            <w:tcMar>
              <w:top w:w="80" w:type="dxa"/>
              <w:bottom w:w="80" w:type="dxa"/>
              <w:left w:w="120" w:type="dxa"/>
              <w:right w:w="120" w:type="dxa"/>
            </w:tcMar>
            <w:vAlign w:val="center"/>
          </w:tcPr>
          <w:p>
            <w:pPr>
              <w:spacing w:after="20" w:before="20"/>
            </w:pPr>
            <w:r>
              <w:rPr>
                <w:sz w:val="17"/>
              </w:rPr>
              <w:t>46</w:t>
            </w:r>
          </w:p>
        </w:tc>
        <w:tc>
          <w:tcPr>
            <w:tcW w:type="dxa" w:w="851"/>
            <w:tcMar>
              <w:top w:w="80" w:type="dxa"/>
              <w:bottom w:w="80" w:type="dxa"/>
              <w:left w:w="120" w:type="dxa"/>
              <w:right w:w="120" w:type="dxa"/>
            </w:tcMar>
            <w:vAlign w:val="center"/>
          </w:tcPr>
          <w:p>
            <w:pPr>
              <w:spacing w:after="20" w:before="20"/>
            </w:pPr>
            <w:r>
              <w:rPr>
                <w:sz w:val="17"/>
              </w:rPr>
              <w:t>0.8680</w:t>
            </w:r>
          </w:p>
        </w:tc>
        <w:tc>
          <w:tcPr>
            <w:tcW w:type="dxa" w:w="851"/>
            <w:tcMar>
              <w:top w:w="80" w:type="dxa"/>
              <w:bottom w:w="80" w:type="dxa"/>
              <w:left w:w="120" w:type="dxa"/>
              <w:right w:w="120" w:type="dxa"/>
            </w:tcMar>
            <w:vAlign w:val="center"/>
          </w:tcPr>
          <w:p>
            <w:pPr>
              <w:spacing w:after="20" w:before="20"/>
            </w:pPr>
            <w:r>
              <w:rPr>
                <w:sz w:val="17"/>
              </w:rPr>
              <w:t>0.7437</w:t>
            </w:r>
          </w:p>
        </w:tc>
        <w:tc>
          <w:tcPr>
            <w:tcW w:type="dxa" w:w="851"/>
            <w:tcMar>
              <w:top w:w="80" w:type="dxa"/>
              <w:bottom w:w="80" w:type="dxa"/>
              <w:left w:w="120" w:type="dxa"/>
              <w:right w:w="120" w:type="dxa"/>
            </w:tcMar>
            <w:vAlign w:val="center"/>
          </w:tcPr>
          <w:p>
            <w:pPr>
              <w:spacing w:after="20" w:before="20"/>
            </w:pPr>
            <w:r>
              <w:rPr>
                <w:sz w:val="17"/>
              </w:rPr>
              <w:t>0.1033</w:t>
            </w:r>
          </w:p>
        </w:tc>
        <w:tc>
          <w:tcPr>
            <w:tcW w:type="dxa" w:w="851"/>
            <w:tcMar>
              <w:top w:w="80" w:type="dxa"/>
              <w:bottom w:w="80" w:type="dxa"/>
              <w:left w:w="120" w:type="dxa"/>
              <w:right w:w="120" w:type="dxa"/>
            </w:tcMar>
            <w:vAlign w:val="center"/>
          </w:tcPr>
          <w:p>
            <w:pPr>
              <w:spacing w:after="20" w:before="20"/>
            </w:pPr>
            <w:r>
              <w:rPr>
                <w:sz w:val="17"/>
              </w:rPr>
              <w:t>0.1583</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0.9048</w:t>
            </w:r>
          </w:p>
        </w:tc>
        <w:tc>
          <w:tcPr>
            <w:tcW w:type="dxa" w:w="851"/>
            <w:tcMar>
              <w:top w:w="80" w:type="dxa"/>
              <w:bottom w:w="80" w:type="dxa"/>
              <w:left w:w="120" w:type="dxa"/>
              <w:right w:w="120" w:type="dxa"/>
            </w:tcMar>
            <w:vAlign w:val="center"/>
          </w:tcPr>
          <w:p>
            <w:pPr>
              <w:spacing w:after="20" w:before="20"/>
            </w:pPr>
            <w:r>
              <w:rPr>
                <w:sz w:val="17"/>
              </w:rPr>
              <w:t>0.8182</w:t>
            </w:r>
          </w:p>
        </w:tc>
        <w:tc>
          <w:tcPr>
            <w:tcW w:type="dxa" w:w="851"/>
            <w:tcMar>
              <w:top w:w="80" w:type="dxa"/>
              <w:bottom w:w="80" w:type="dxa"/>
              <w:left w:w="120" w:type="dxa"/>
              <w:right w:w="120" w:type="dxa"/>
            </w:tcMar>
            <w:vAlign w:val="center"/>
          </w:tcPr>
          <w:p>
            <w:pPr>
              <w:spacing w:after="20" w:before="20"/>
            </w:pPr>
            <w:r>
              <w:rPr>
                <w:sz w:val="17"/>
              </w:rPr>
              <w:t>0.8636</w:t>
            </w:r>
          </w:p>
        </w:tc>
      </w:tr>
      <w:tr>
        <w:trPr>
          <w:cantSplit/>
        </w:trPr>
        <w:tc>
          <w:tcPr>
            <w:tcW w:type="dxa" w:w="851"/>
            <w:tcMar>
              <w:top w:w="80" w:type="dxa"/>
              <w:bottom w:w="80" w:type="dxa"/>
              <w:left w:w="120" w:type="dxa"/>
              <w:right w:w="120" w:type="dxa"/>
            </w:tcMar>
            <w:vAlign w:val="center"/>
          </w:tcPr>
          <w:p>
            <w:pPr>
              <w:spacing w:after="20" w:before="20"/>
            </w:pPr>
            <w:r>
              <w:rPr>
                <w:sz w:val="17"/>
              </w:rPr>
              <w:t>70</w:t>
            </w:r>
          </w:p>
        </w:tc>
        <w:tc>
          <w:tcPr>
            <w:tcW w:type="dxa" w:w="851"/>
            <w:tcMar>
              <w:top w:w="80" w:type="dxa"/>
              <w:bottom w:w="80" w:type="dxa"/>
              <w:left w:w="120" w:type="dxa"/>
              <w:right w:w="120" w:type="dxa"/>
            </w:tcMar>
            <w:vAlign w:val="center"/>
          </w:tcPr>
          <w:p>
            <w:pPr>
              <w:spacing w:after="20" w:before="20"/>
            </w:pPr>
            <w:r>
              <w:rPr>
                <w:sz w:val="17"/>
              </w:rPr>
              <w:t>M1 (Baseline)</w:t>
            </w:r>
          </w:p>
        </w:tc>
        <w:tc>
          <w:tcPr>
            <w:tcW w:type="dxa" w:w="851"/>
            <w:tcMar>
              <w:top w:w="80" w:type="dxa"/>
              <w:bottom w:w="80" w:type="dxa"/>
              <w:left w:w="120" w:type="dxa"/>
              <w:right w:w="120" w:type="dxa"/>
            </w:tcMar>
            <w:vAlign w:val="center"/>
          </w:tcPr>
          <w:p>
            <w:pPr>
              <w:spacing w:after="20" w:before="20"/>
            </w:pPr>
            <w:r>
              <w:rPr>
                <w:sz w:val="17"/>
              </w:rPr>
              <w:t>18</w:t>
            </w:r>
          </w:p>
        </w:tc>
        <w:tc>
          <w:tcPr>
            <w:tcW w:type="dxa" w:w="851"/>
            <w:tcMar>
              <w:top w:w="80" w:type="dxa"/>
              <w:bottom w:w="80" w:type="dxa"/>
              <w:left w:w="120" w:type="dxa"/>
              <w:right w:w="120" w:type="dxa"/>
            </w:tcMar>
            <w:vAlign w:val="center"/>
          </w:tcPr>
          <w:p>
            <w:pPr>
              <w:spacing w:after="20" w:before="20"/>
            </w:pPr>
            <w:r>
              <w:rPr>
                <w:sz w:val="17"/>
              </w:rPr>
              <w:t>0.9329</w:t>
            </w:r>
          </w:p>
        </w:tc>
        <w:tc>
          <w:tcPr>
            <w:tcW w:type="dxa" w:w="851"/>
            <w:tcMar>
              <w:top w:w="80" w:type="dxa"/>
              <w:bottom w:w="80" w:type="dxa"/>
              <w:left w:w="120" w:type="dxa"/>
              <w:right w:w="120" w:type="dxa"/>
            </w:tcMar>
            <w:vAlign w:val="center"/>
          </w:tcPr>
          <w:p>
            <w:pPr>
              <w:spacing w:after="20" w:before="20"/>
            </w:pPr>
            <w:r>
              <w:rPr>
                <w:sz w:val="17"/>
              </w:rPr>
              <w:t>0.9106</w:t>
            </w:r>
          </w:p>
        </w:tc>
        <w:tc>
          <w:tcPr>
            <w:tcW w:type="dxa" w:w="851"/>
            <w:tcMar>
              <w:top w:w="80" w:type="dxa"/>
              <w:bottom w:w="80" w:type="dxa"/>
              <w:left w:w="120" w:type="dxa"/>
              <w:right w:w="120" w:type="dxa"/>
            </w:tcMar>
            <w:vAlign w:val="center"/>
          </w:tcPr>
          <w:p>
            <w:pPr>
              <w:spacing w:after="20" w:before="20"/>
            </w:pPr>
            <w:r>
              <w:rPr>
                <w:sz w:val="17"/>
              </w:rPr>
              <w:t>0.0647</w:t>
            </w:r>
          </w:p>
        </w:tc>
        <w:tc>
          <w:tcPr>
            <w:tcW w:type="dxa" w:w="851"/>
            <w:tcMar>
              <w:top w:w="80" w:type="dxa"/>
              <w:bottom w:w="80" w:type="dxa"/>
              <w:left w:w="120" w:type="dxa"/>
              <w:right w:w="120" w:type="dxa"/>
            </w:tcMar>
            <w:vAlign w:val="center"/>
          </w:tcPr>
          <w:p>
            <w:pPr>
              <w:spacing w:after="20" w:before="20"/>
            </w:pPr>
            <w:r>
              <w:rPr>
                <w:sz w:val="17"/>
              </w:rPr>
              <w:t>0.0784</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1.0000</w:t>
            </w:r>
          </w:p>
        </w:tc>
        <w:tc>
          <w:tcPr>
            <w:tcW w:type="dxa" w:w="851"/>
            <w:tcMar>
              <w:top w:w="80" w:type="dxa"/>
              <w:bottom w:w="80" w:type="dxa"/>
              <w:left w:w="120" w:type="dxa"/>
              <w:right w:w="120" w:type="dxa"/>
            </w:tcMar>
            <w:vAlign w:val="center"/>
          </w:tcPr>
          <w:p>
            <w:pPr>
              <w:spacing w:after="20" w:before="20"/>
            </w:pPr>
            <w:r>
              <w:rPr>
                <w:sz w:val="17"/>
              </w:rPr>
              <w:t>0.8571</w:t>
            </w:r>
          </w:p>
        </w:tc>
        <w:tc>
          <w:tcPr>
            <w:tcW w:type="dxa" w:w="851"/>
            <w:tcMar>
              <w:top w:w="80" w:type="dxa"/>
              <w:bottom w:w="80" w:type="dxa"/>
              <w:left w:w="120" w:type="dxa"/>
              <w:right w:w="120" w:type="dxa"/>
            </w:tcMar>
            <w:vAlign w:val="center"/>
          </w:tcPr>
          <w:p>
            <w:pPr>
              <w:spacing w:after="20" w:before="20"/>
            </w:pPr>
            <w:r>
              <w:rPr>
                <w:sz w:val="17"/>
              </w:rPr>
              <w:t>0.9362</w:t>
            </w:r>
          </w:p>
        </w:tc>
      </w:tr>
      <w:tr>
        <w:trPr>
          <w:cantSplit/>
        </w:trPr>
        <w:tc>
          <w:tcPr>
            <w:tcW w:type="dxa" w:w="851"/>
            <w:tcMar>
              <w:top w:w="80" w:type="dxa"/>
              <w:bottom w:w="80" w:type="dxa"/>
              <w:left w:w="120" w:type="dxa"/>
              <w:right w:w="120" w:type="dxa"/>
            </w:tcMar>
            <w:vAlign w:val="center"/>
          </w:tcPr>
          <w:p>
            <w:pPr>
              <w:spacing w:after="20" w:before="20"/>
            </w:pPr>
            <w:r>
              <w:rPr>
                <w:sz w:val="17"/>
              </w:rPr>
              <w:t>70</w:t>
            </w:r>
          </w:p>
        </w:tc>
        <w:tc>
          <w:tcPr>
            <w:tcW w:type="dxa" w:w="851"/>
            <w:tcMar>
              <w:top w:w="80" w:type="dxa"/>
              <w:bottom w:w="80" w:type="dxa"/>
              <w:left w:w="120" w:type="dxa"/>
              <w:right w:w="120" w:type="dxa"/>
            </w:tcMar>
            <w:vAlign w:val="center"/>
          </w:tcPr>
          <w:p>
            <w:pPr>
              <w:spacing w:after="20" w:before="20"/>
            </w:pPr>
            <w:r>
              <w:rPr>
                <w:sz w:val="17"/>
              </w:rPr>
              <w:t>M2 (Trajectory)</w:t>
            </w:r>
          </w:p>
        </w:tc>
        <w:tc>
          <w:tcPr>
            <w:tcW w:type="dxa" w:w="851"/>
            <w:tcMar>
              <w:top w:w="80" w:type="dxa"/>
              <w:bottom w:w="80" w:type="dxa"/>
              <w:left w:w="120" w:type="dxa"/>
              <w:right w:w="120" w:type="dxa"/>
            </w:tcMar>
            <w:vAlign w:val="center"/>
          </w:tcPr>
          <w:p>
            <w:pPr>
              <w:spacing w:after="20" w:before="20"/>
            </w:pPr>
            <w:r>
              <w:rPr>
                <w:sz w:val="17"/>
              </w:rPr>
              <w:t>34</w:t>
            </w:r>
          </w:p>
        </w:tc>
        <w:tc>
          <w:tcPr>
            <w:tcW w:type="dxa" w:w="851"/>
            <w:tcMar>
              <w:top w:w="80" w:type="dxa"/>
              <w:bottom w:w="80" w:type="dxa"/>
              <w:left w:w="120" w:type="dxa"/>
              <w:right w:w="120" w:type="dxa"/>
            </w:tcMar>
            <w:vAlign w:val="center"/>
          </w:tcPr>
          <w:p>
            <w:pPr>
              <w:spacing w:after="20" w:before="20"/>
            </w:pPr>
            <w:r>
              <w:rPr>
                <w:sz w:val="17"/>
              </w:rPr>
              <w:t>0.9156</w:t>
            </w:r>
          </w:p>
        </w:tc>
        <w:tc>
          <w:tcPr>
            <w:tcW w:type="dxa" w:w="851"/>
            <w:tcMar>
              <w:top w:w="80" w:type="dxa"/>
              <w:bottom w:w="80" w:type="dxa"/>
              <w:left w:w="120" w:type="dxa"/>
              <w:right w:w="120" w:type="dxa"/>
            </w:tcMar>
            <w:vAlign w:val="center"/>
          </w:tcPr>
          <w:p>
            <w:pPr>
              <w:spacing w:after="20" w:before="20"/>
            </w:pPr>
            <w:r>
              <w:rPr>
                <w:sz w:val="17"/>
              </w:rPr>
              <w:t>0.8265</w:t>
            </w:r>
          </w:p>
        </w:tc>
        <w:tc>
          <w:tcPr>
            <w:tcW w:type="dxa" w:w="851"/>
            <w:tcMar>
              <w:top w:w="80" w:type="dxa"/>
              <w:bottom w:w="80" w:type="dxa"/>
              <w:left w:w="120" w:type="dxa"/>
              <w:right w:w="120" w:type="dxa"/>
            </w:tcMar>
            <w:vAlign w:val="center"/>
          </w:tcPr>
          <w:p>
            <w:pPr>
              <w:spacing w:after="20" w:before="20"/>
            </w:pPr>
            <w:r>
              <w:rPr>
                <w:sz w:val="17"/>
              </w:rPr>
              <w:t>0.0620</w:t>
            </w:r>
          </w:p>
        </w:tc>
        <w:tc>
          <w:tcPr>
            <w:tcW w:type="dxa" w:w="851"/>
            <w:tcMar>
              <w:top w:w="80" w:type="dxa"/>
              <w:bottom w:w="80" w:type="dxa"/>
              <w:left w:w="120" w:type="dxa"/>
              <w:right w:w="120" w:type="dxa"/>
            </w:tcMar>
            <w:vAlign w:val="center"/>
          </w:tcPr>
          <w:p>
            <w:pPr>
              <w:spacing w:after="20" w:before="20"/>
            </w:pPr>
            <w:r>
              <w:rPr>
                <w:sz w:val="17"/>
              </w:rPr>
              <w:t>0.0652</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1.0000</w:t>
            </w:r>
          </w:p>
        </w:tc>
        <w:tc>
          <w:tcPr>
            <w:tcW w:type="dxa" w:w="851"/>
            <w:tcMar>
              <w:top w:w="80" w:type="dxa"/>
              <w:bottom w:w="80" w:type="dxa"/>
              <w:left w:w="120" w:type="dxa"/>
              <w:right w:w="120" w:type="dxa"/>
            </w:tcMar>
            <w:vAlign w:val="center"/>
          </w:tcPr>
          <w:p>
            <w:pPr>
              <w:spacing w:after="20" w:before="20"/>
            </w:pPr>
            <w:r>
              <w:rPr>
                <w:sz w:val="17"/>
              </w:rPr>
              <w:t>0.8571</w:t>
            </w:r>
          </w:p>
        </w:tc>
        <w:tc>
          <w:tcPr>
            <w:tcW w:type="dxa" w:w="851"/>
            <w:tcMar>
              <w:top w:w="80" w:type="dxa"/>
              <w:bottom w:w="80" w:type="dxa"/>
              <w:left w:w="120" w:type="dxa"/>
              <w:right w:w="120" w:type="dxa"/>
            </w:tcMar>
            <w:vAlign w:val="center"/>
          </w:tcPr>
          <w:p>
            <w:pPr>
              <w:spacing w:after="20" w:before="20"/>
            </w:pPr>
            <w:r>
              <w:rPr>
                <w:sz w:val="17"/>
              </w:rPr>
              <w:t>0.9362</w:t>
            </w:r>
          </w:p>
        </w:tc>
      </w:tr>
      <w:tr>
        <w:trPr>
          <w:cantSplit/>
        </w:trPr>
        <w:tc>
          <w:tcPr>
            <w:tcW w:type="dxa" w:w="851"/>
            <w:tcMar>
              <w:top w:w="80" w:type="dxa"/>
              <w:bottom w:w="80" w:type="dxa"/>
              <w:left w:w="120" w:type="dxa"/>
              <w:right w:w="120" w:type="dxa"/>
            </w:tcMar>
            <w:vAlign w:val="center"/>
          </w:tcPr>
          <w:p>
            <w:pPr>
              <w:spacing w:after="20" w:before="20"/>
            </w:pPr>
            <w:r>
              <w:rPr>
                <w:sz w:val="17"/>
              </w:rPr>
              <w:t>70</w:t>
            </w:r>
          </w:p>
        </w:tc>
        <w:tc>
          <w:tcPr>
            <w:tcW w:type="dxa" w:w="851"/>
            <w:tcMar>
              <w:top w:w="80" w:type="dxa"/>
              <w:bottom w:w="80" w:type="dxa"/>
              <w:left w:w="120" w:type="dxa"/>
              <w:right w:w="120" w:type="dxa"/>
            </w:tcMar>
            <w:vAlign w:val="center"/>
          </w:tcPr>
          <w:p>
            <w:pPr>
              <w:spacing w:after="20" w:before="20"/>
            </w:pPr>
            <w:r>
              <w:rPr>
                <w:sz w:val="17"/>
              </w:rPr>
              <w:t>M3 (Peer-Relative)</w:t>
            </w:r>
          </w:p>
        </w:tc>
        <w:tc>
          <w:tcPr>
            <w:tcW w:type="dxa" w:w="851"/>
            <w:tcMar>
              <w:top w:w="80" w:type="dxa"/>
              <w:bottom w:w="80" w:type="dxa"/>
              <w:left w:w="120" w:type="dxa"/>
              <w:right w:w="120" w:type="dxa"/>
            </w:tcMar>
            <w:vAlign w:val="center"/>
          </w:tcPr>
          <w:p>
            <w:pPr>
              <w:spacing w:after="20" w:before="20"/>
            </w:pPr>
            <w:r>
              <w:rPr>
                <w:sz w:val="17"/>
              </w:rPr>
              <w:t>42</w:t>
            </w:r>
          </w:p>
        </w:tc>
        <w:tc>
          <w:tcPr>
            <w:tcW w:type="dxa" w:w="851"/>
            <w:tcMar>
              <w:top w:w="80" w:type="dxa"/>
              <w:bottom w:w="80" w:type="dxa"/>
              <w:left w:w="120" w:type="dxa"/>
              <w:right w:w="120" w:type="dxa"/>
            </w:tcMar>
            <w:vAlign w:val="center"/>
          </w:tcPr>
          <w:p>
            <w:pPr>
              <w:spacing w:after="20" w:before="20"/>
            </w:pPr>
            <w:r>
              <w:rPr>
                <w:sz w:val="17"/>
              </w:rPr>
              <w:t>0.9091</w:t>
            </w:r>
          </w:p>
        </w:tc>
        <w:tc>
          <w:tcPr>
            <w:tcW w:type="dxa" w:w="851"/>
            <w:tcMar>
              <w:top w:w="80" w:type="dxa"/>
              <w:bottom w:w="80" w:type="dxa"/>
              <w:left w:w="120" w:type="dxa"/>
              <w:right w:w="120" w:type="dxa"/>
            </w:tcMar>
            <w:vAlign w:val="center"/>
          </w:tcPr>
          <w:p>
            <w:pPr>
              <w:spacing w:after="20" w:before="20"/>
            </w:pPr>
            <w:r>
              <w:rPr>
                <w:sz w:val="17"/>
              </w:rPr>
              <w:t>0.8082</w:t>
            </w:r>
          </w:p>
        </w:tc>
        <w:tc>
          <w:tcPr>
            <w:tcW w:type="dxa" w:w="851"/>
            <w:tcMar>
              <w:top w:w="80" w:type="dxa"/>
              <w:bottom w:w="80" w:type="dxa"/>
              <w:left w:w="120" w:type="dxa"/>
              <w:right w:w="120" w:type="dxa"/>
            </w:tcMar>
            <w:vAlign w:val="center"/>
          </w:tcPr>
          <w:p>
            <w:pPr>
              <w:spacing w:after="20" w:before="20"/>
            </w:pPr>
            <w:r>
              <w:rPr>
                <w:sz w:val="17"/>
              </w:rPr>
              <w:t>0.0620</w:t>
            </w:r>
          </w:p>
        </w:tc>
        <w:tc>
          <w:tcPr>
            <w:tcW w:type="dxa" w:w="851"/>
            <w:tcMar>
              <w:top w:w="80" w:type="dxa"/>
              <w:bottom w:w="80" w:type="dxa"/>
              <w:left w:w="120" w:type="dxa"/>
              <w:right w:w="120" w:type="dxa"/>
            </w:tcMar>
            <w:vAlign w:val="center"/>
          </w:tcPr>
          <w:p>
            <w:pPr>
              <w:spacing w:after="20" w:before="20"/>
            </w:pPr>
            <w:r>
              <w:rPr>
                <w:sz w:val="17"/>
              </w:rPr>
              <w:t>0.0645</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1.0000</w:t>
            </w:r>
          </w:p>
        </w:tc>
        <w:tc>
          <w:tcPr>
            <w:tcW w:type="dxa" w:w="851"/>
            <w:tcMar>
              <w:top w:w="80" w:type="dxa"/>
              <w:bottom w:w="80" w:type="dxa"/>
              <w:left w:w="120" w:type="dxa"/>
              <w:right w:w="120" w:type="dxa"/>
            </w:tcMar>
            <w:vAlign w:val="center"/>
          </w:tcPr>
          <w:p>
            <w:pPr>
              <w:spacing w:after="20" w:before="20"/>
            </w:pPr>
            <w:r>
              <w:rPr>
                <w:sz w:val="17"/>
              </w:rPr>
              <w:t>0.8571</w:t>
            </w:r>
          </w:p>
        </w:tc>
        <w:tc>
          <w:tcPr>
            <w:tcW w:type="dxa" w:w="851"/>
            <w:tcMar>
              <w:top w:w="80" w:type="dxa"/>
              <w:bottom w:w="80" w:type="dxa"/>
              <w:left w:w="120" w:type="dxa"/>
              <w:right w:w="120" w:type="dxa"/>
            </w:tcMar>
            <w:vAlign w:val="center"/>
          </w:tcPr>
          <w:p>
            <w:pPr>
              <w:spacing w:after="20" w:before="20"/>
            </w:pPr>
            <w:r>
              <w:rPr>
                <w:sz w:val="17"/>
              </w:rPr>
              <w:t>0.9362</w:t>
            </w:r>
          </w:p>
        </w:tc>
      </w:tr>
      <w:tr>
        <w:trPr>
          <w:cantSplit/>
        </w:trPr>
        <w:tc>
          <w:tcPr>
            <w:tcW w:type="dxa" w:w="851"/>
            <w:tcMar>
              <w:top w:w="80" w:type="dxa"/>
              <w:bottom w:w="80" w:type="dxa"/>
              <w:left w:w="120" w:type="dxa"/>
              <w:right w:w="120" w:type="dxa"/>
            </w:tcMar>
            <w:vAlign w:val="center"/>
          </w:tcPr>
          <w:p>
            <w:pPr>
              <w:spacing w:after="20" w:before="20"/>
            </w:pPr>
            <w:r>
              <w:rPr>
                <w:sz w:val="17"/>
              </w:rPr>
              <w:t>70</w:t>
            </w:r>
          </w:p>
        </w:tc>
        <w:tc>
          <w:tcPr>
            <w:tcW w:type="dxa" w:w="851"/>
            <w:tcMar>
              <w:top w:w="80" w:type="dxa"/>
              <w:bottom w:w="80" w:type="dxa"/>
              <w:left w:w="120" w:type="dxa"/>
              <w:right w:w="120" w:type="dxa"/>
            </w:tcMar>
            <w:vAlign w:val="center"/>
          </w:tcPr>
          <w:p>
            <w:pPr>
              <w:spacing w:after="20" w:before="20"/>
            </w:pPr>
            <w:r>
              <w:rPr>
                <w:sz w:val="17"/>
              </w:rPr>
              <w:t>M4 (Full System)</w:t>
            </w:r>
          </w:p>
        </w:tc>
        <w:tc>
          <w:tcPr>
            <w:tcW w:type="dxa" w:w="851"/>
            <w:tcMar>
              <w:top w:w="80" w:type="dxa"/>
              <w:bottom w:w="80" w:type="dxa"/>
              <w:left w:w="120" w:type="dxa"/>
              <w:right w:w="120" w:type="dxa"/>
            </w:tcMar>
            <w:vAlign w:val="center"/>
          </w:tcPr>
          <w:p>
            <w:pPr>
              <w:spacing w:after="20" w:before="20"/>
            </w:pPr>
            <w:r>
              <w:rPr>
                <w:sz w:val="17"/>
              </w:rPr>
              <w:t>46</w:t>
            </w:r>
          </w:p>
        </w:tc>
        <w:tc>
          <w:tcPr>
            <w:tcW w:type="dxa" w:w="851"/>
            <w:tcMar>
              <w:top w:w="80" w:type="dxa"/>
              <w:bottom w:w="80" w:type="dxa"/>
              <w:left w:w="120" w:type="dxa"/>
              <w:right w:w="120" w:type="dxa"/>
            </w:tcMar>
            <w:vAlign w:val="center"/>
          </w:tcPr>
          <w:p>
            <w:pPr>
              <w:spacing w:after="20" w:before="20"/>
            </w:pPr>
            <w:r>
              <w:rPr>
                <w:sz w:val="17"/>
              </w:rPr>
              <w:t>0.9091</w:t>
            </w:r>
          </w:p>
        </w:tc>
        <w:tc>
          <w:tcPr>
            <w:tcW w:type="dxa" w:w="851"/>
            <w:tcMar>
              <w:top w:w="80" w:type="dxa"/>
              <w:bottom w:w="80" w:type="dxa"/>
              <w:left w:w="120" w:type="dxa"/>
              <w:right w:w="120" w:type="dxa"/>
            </w:tcMar>
            <w:vAlign w:val="center"/>
          </w:tcPr>
          <w:p>
            <w:pPr>
              <w:spacing w:after="20" w:before="20"/>
            </w:pPr>
            <w:r>
              <w:rPr>
                <w:sz w:val="17"/>
              </w:rPr>
              <w:t>0.8082</w:t>
            </w:r>
          </w:p>
        </w:tc>
        <w:tc>
          <w:tcPr>
            <w:tcW w:type="dxa" w:w="851"/>
            <w:tcMar>
              <w:top w:w="80" w:type="dxa"/>
              <w:bottom w:w="80" w:type="dxa"/>
              <w:left w:w="120" w:type="dxa"/>
              <w:right w:w="120" w:type="dxa"/>
            </w:tcMar>
            <w:vAlign w:val="center"/>
          </w:tcPr>
          <w:p>
            <w:pPr>
              <w:spacing w:after="20" w:before="20"/>
            </w:pPr>
            <w:r>
              <w:rPr>
                <w:sz w:val="17"/>
              </w:rPr>
              <w:t>0.0628</w:t>
            </w:r>
          </w:p>
        </w:tc>
        <w:tc>
          <w:tcPr>
            <w:tcW w:type="dxa" w:w="851"/>
            <w:tcMar>
              <w:top w:w="80" w:type="dxa"/>
              <w:bottom w:w="80" w:type="dxa"/>
              <w:left w:w="120" w:type="dxa"/>
              <w:right w:w="120" w:type="dxa"/>
            </w:tcMar>
            <w:vAlign w:val="center"/>
          </w:tcPr>
          <w:p>
            <w:pPr>
              <w:spacing w:after="20" w:before="20"/>
            </w:pPr>
            <w:r>
              <w:rPr>
                <w:sz w:val="17"/>
              </w:rPr>
              <w:t>0.0658</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1.0000</w:t>
            </w:r>
          </w:p>
        </w:tc>
        <w:tc>
          <w:tcPr>
            <w:tcW w:type="dxa" w:w="851"/>
            <w:tcMar>
              <w:top w:w="80" w:type="dxa"/>
              <w:bottom w:w="80" w:type="dxa"/>
              <w:left w:w="120" w:type="dxa"/>
              <w:right w:w="120" w:type="dxa"/>
            </w:tcMar>
            <w:vAlign w:val="center"/>
          </w:tcPr>
          <w:p>
            <w:pPr>
              <w:spacing w:after="20" w:before="20"/>
            </w:pPr>
            <w:r>
              <w:rPr>
                <w:sz w:val="17"/>
              </w:rPr>
              <w:t>0.8571</w:t>
            </w:r>
          </w:p>
        </w:tc>
        <w:tc>
          <w:tcPr>
            <w:tcW w:type="dxa" w:w="851"/>
            <w:tcMar>
              <w:top w:w="80" w:type="dxa"/>
              <w:bottom w:w="80" w:type="dxa"/>
              <w:left w:w="120" w:type="dxa"/>
              <w:right w:w="120" w:type="dxa"/>
            </w:tcMar>
            <w:vAlign w:val="center"/>
          </w:tcPr>
          <w:p>
            <w:pPr>
              <w:spacing w:after="20" w:before="20"/>
            </w:pPr>
            <w:r>
              <w:rPr>
                <w:sz w:val="17"/>
              </w:rPr>
              <w:t>0.9362</w:t>
            </w:r>
          </w:p>
        </w:tc>
      </w:tr>
      <w:tr>
        <w:trPr>
          <w:cantSplit/>
        </w:trPr>
        <w:tc>
          <w:tcPr>
            <w:tcW w:type="dxa" w:w="851"/>
            <w:tcMar>
              <w:top w:w="80" w:type="dxa"/>
              <w:bottom w:w="80" w:type="dxa"/>
              <w:left w:w="120" w:type="dxa"/>
              <w:right w:w="120" w:type="dxa"/>
            </w:tcMar>
            <w:vAlign w:val="center"/>
          </w:tcPr>
          <w:p>
            <w:pPr>
              <w:spacing w:after="20" w:before="20"/>
            </w:pPr>
            <w:r>
              <w:rPr>
                <w:sz w:val="17"/>
              </w:rPr>
              <w:t>100</w:t>
            </w:r>
          </w:p>
        </w:tc>
        <w:tc>
          <w:tcPr>
            <w:tcW w:type="dxa" w:w="851"/>
            <w:tcMar>
              <w:top w:w="80" w:type="dxa"/>
              <w:bottom w:w="80" w:type="dxa"/>
              <w:left w:w="120" w:type="dxa"/>
              <w:right w:w="120" w:type="dxa"/>
            </w:tcMar>
            <w:vAlign w:val="center"/>
          </w:tcPr>
          <w:p>
            <w:pPr>
              <w:spacing w:after="20" w:before="20"/>
            </w:pPr>
            <w:r>
              <w:rPr>
                <w:sz w:val="17"/>
              </w:rPr>
              <w:t>M1 (Baseline)</w:t>
            </w:r>
          </w:p>
        </w:tc>
        <w:tc>
          <w:tcPr>
            <w:tcW w:type="dxa" w:w="851"/>
            <w:tcMar>
              <w:top w:w="80" w:type="dxa"/>
              <w:bottom w:w="80" w:type="dxa"/>
              <w:left w:w="120" w:type="dxa"/>
              <w:right w:w="120" w:type="dxa"/>
            </w:tcMar>
            <w:vAlign w:val="center"/>
          </w:tcPr>
          <w:p>
            <w:pPr>
              <w:spacing w:after="20" w:before="20"/>
            </w:pPr>
            <w:r>
              <w:rPr>
                <w:sz w:val="17"/>
              </w:rPr>
              <w:t>18</w:t>
            </w:r>
          </w:p>
        </w:tc>
        <w:tc>
          <w:tcPr>
            <w:tcW w:type="dxa" w:w="851"/>
            <w:tcMar>
              <w:top w:w="80" w:type="dxa"/>
              <w:bottom w:w="80" w:type="dxa"/>
              <w:left w:w="120" w:type="dxa"/>
              <w:right w:w="120" w:type="dxa"/>
            </w:tcMar>
            <w:vAlign w:val="center"/>
          </w:tcPr>
          <w:p>
            <w:pPr>
              <w:spacing w:after="20" w:before="20"/>
            </w:pPr>
            <w:r>
              <w:rPr>
                <w:sz w:val="17"/>
              </w:rPr>
              <w:t>0.9217</w:t>
            </w:r>
          </w:p>
        </w:tc>
        <w:tc>
          <w:tcPr>
            <w:tcW w:type="dxa" w:w="851"/>
            <w:tcMar>
              <w:top w:w="80" w:type="dxa"/>
              <w:bottom w:w="80" w:type="dxa"/>
              <w:left w:w="120" w:type="dxa"/>
              <w:right w:w="120" w:type="dxa"/>
            </w:tcMar>
            <w:vAlign w:val="center"/>
          </w:tcPr>
          <w:p>
            <w:pPr>
              <w:spacing w:after="20" w:before="20"/>
            </w:pPr>
            <w:r>
              <w:rPr>
                <w:sz w:val="17"/>
              </w:rPr>
              <w:t>0.9114</w:t>
            </w:r>
          </w:p>
        </w:tc>
        <w:tc>
          <w:tcPr>
            <w:tcW w:type="dxa" w:w="851"/>
            <w:tcMar>
              <w:top w:w="80" w:type="dxa"/>
              <w:bottom w:w="80" w:type="dxa"/>
              <w:left w:w="120" w:type="dxa"/>
              <w:right w:w="120" w:type="dxa"/>
            </w:tcMar>
            <w:vAlign w:val="center"/>
          </w:tcPr>
          <w:p>
            <w:pPr>
              <w:spacing w:after="20" w:before="20"/>
            </w:pPr>
            <w:r>
              <w:rPr>
                <w:sz w:val="17"/>
              </w:rPr>
              <w:t>0.0859</w:t>
            </w:r>
          </w:p>
        </w:tc>
        <w:tc>
          <w:tcPr>
            <w:tcW w:type="dxa" w:w="851"/>
            <w:tcMar>
              <w:top w:w="80" w:type="dxa"/>
              <w:bottom w:w="80" w:type="dxa"/>
              <w:left w:w="120" w:type="dxa"/>
              <w:right w:w="120" w:type="dxa"/>
            </w:tcMar>
            <w:vAlign w:val="center"/>
          </w:tcPr>
          <w:p>
            <w:pPr>
              <w:spacing w:after="20" w:before="20"/>
            </w:pPr>
            <w:r>
              <w:rPr>
                <w:sz w:val="17"/>
              </w:rPr>
              <w:t>0.1032</w:t>
            </w:r>
          </w:p>
        </w:tc>
        <w:tc>
          <w:tcPr>
            <w:tcW w:type="dxa" w:w="851"/>
            <w:tcMar>
              <w:top w:w="80" w:type="dxa"/>
              <w:bottom w:w="80" w:type="dxa"/>
              <w:left w:w="120" w:type="dxa"/>
              <w:right w:w="120" w:type="dxa"/>
            </w:tcMar>
            <w:vAlign w:val="center"/>
          </w:tcPr>
          <w:p>
            <w:pPr>
              <w:spacing w:after="20" w:before="20"/>
            </w:pPr>
            <w:r>
              <w:rPr>
                <w:sz w:val="17"/>
              </w:rPr>
              <w:t>0.34</w:t>
            </w:r>
          </w:p>
        </w:tc>
        <w:tc>
          <w:tcPr>
            <w:tcW w:type="dxa" w:w="851"/>
            <w:tcMar>
              <w:top w:w="80" w:type="dxa"/>
              <w:bottom w:w="80" w:type="dxa"/>
              <w:left w:w="120" w:type="dxa"/>
              <w:right w:w="120" w:type="dxa"/>
            </w:tcMar>
            <w:vAlign w:val="center"/>
          </w:tcPr>
          <w:p>
            <w:pPr>
              <w:spacing w:after="20" w:before="20"/>
            </w:pPr>
            <w:r>
              <w:rPr>
                <w:sz w:val="17"/>
              </w:rPr>
              <w:t>0.9565</w:t>
            </w:r>
          </w:p>
        </w:tc>
        <w:tc>
          <w:tcPr>
            <w:tcW w:type="dxa" w:w="851"/>
            <w:tcMar>
              <w:top w:w="80" w:type="dxa"/>
              <w:bottom w:w="80" w:type="dxa"/>
              <w:left w:w="120" w:type="dxa"/>
              <w:right w:w="120" w:type="dxa"/>
            </w:tcMar>
            <w:vAlign w:val="center"/>
          </w:tcPr>
          <w:p>
            <w:pPr>
              <w:spacing w:after="20" w:before="20"/>
            </w:pPr>
            <w:r>
              <w:rPr>
                <w:sz w:val="17"/>
              </w:rPr>
              <w:t>0.8500</w:t>
            </w:r>
          </w:p>
        </w:tc>
        <w:tc>
          <w:tcPr>
            <w:tcW w:type="dxa" w:w="851"/>
            <w:tcMar>
              <w:top w:w="80" w:type="dxa"/>
              <w:bottom w:w="80" w:type="dxa"/>
              <w:left w:w="120" w:type="dxa"/>
              <w:right w:w="120" w:type="dxa"/>
            </w:tcMar>
            <w:vAlign w:val="center"/>
          </w:tcPr>
          <w:p>
            <w:pPr>
              <w:spacing w:after="20" w:before="20"/>
            </w:pPr>
            <w:r>
              <w:rPr>
                <w:sz w:val="17"/>
              </w:rPr>
              <w:t>0.9167</w:t>
            </w:r>
          </w:p>
        </w:tc>
      </w:tr>
      <w:tr>
        <w:trPr>
          <w:cantSplit/>
        </w:trPr>
        <w:tc>
          <w:tcPr>
            <w:tcW w:type="dxa" w:w="851"/>
            <w:tcMar>
              <w:top w:w="80" w:type="dxa"/>
              <w:bottom w:w="80" w:type="dxa"/>
              <w:left w:w="120" w:type="dxa"/>
              <w:right w:w="120" w:type="dxa"/>
            </w:tcMar>
            <w:vAlign w:val="center"/>
          </w:tcPr>
          <w:p>
            <w:pPr>
              <w:spacing w:after="20" w:before="20"/>
            </w:pPr>
            <w:r>
              <w:rPr>
                <w:sz w:val="17"/>
              </w:rPr>
              <w:t>100</w:t>
            </w:r>
          </w:p>
        </w:tc>
        <w:tc>
          <w:tcPr>
            <w:tcW w:type="dxa" w:w="851"/>
            <w:tcMar>
              <w:top w:w="80" w:type="dxa"/>
              <w:bottom w:w="80" w:type="dxa"/>
              <w:left w:w="120" w:type="dxa"/>
              <w:right w:w="120" w:type="dxa"/>
            </w:tcMar>
            <w:vAlign w:val="center"/>
          </w:tcPr>
          <w:p>
            <w:pPr>
              <w:spacing w:after="20" w:before="20"/>
            </w:pPr>
            <w:r>
              <w:rPr>
                <w:sz w:val="17"/>
              </w:rPr>
              <w:t>M2 (Trajectory)</w:t>
            </w:r>
          </w:p>
        </w:tc>
        <w:tc>
          <w:tcPr>
            <w:tcW w:type="dxa" w:w="851"/>
            <w:tcMar>
              <w:top w:w="80" w:type="dxa"/>
              <w:bottom w:w="80" w:type="dxa"/>
              <w:left w:w="120" w:type="dxa"/>
              <w:right w:w="120" w:type="dxa"/>
            </w:tcMar>
            <w:vAlign w:val="center"/>
          </w:tcPr>
          <w:p>
            <w:pPr>
              <w:spacing w:after="20" w:before="20"/>
            </w:pPr>
            <w:r>
              <w:rPr>
                <w:sz w:val="17"/>
              </w:rPr>
              <w:t>34</w:t>
            </w:r>
          </w:p>
        </w:tc>
        <w:tc>
          <w:tcPr>
            <w:tcW w:type="dxa" w:w="851"/>
            <w:tcMar>
              <w:top w:w="80" w:type="dxa"/>
              <w:bottom w:w="80" w:type="dxa"/>
              <w:left w:w="120" w:type="dxa"/>
              <w:right w:w="120" w:type="dxa"/>
            </w:tcMar>
            <w:vAlign w:val="center"/>
          </w:tcPr>
          <w:p>
            <w:pPr>
              <w:spacing w:after="20" w:before="20"/>
            </w:pPr>
            <w:r>
              <w:rPr>
                <w:sz w:val="17"/>
              </w:rPr>
              <w:t>0.9152</w:t>
            </w:r>
          </w:p>
        </w:tc>
        <w:tc>
          <w:tcPr>
            <w:tcW w:type="dxa" w:w="851"/>
            <w:tcMar>
              <w:top w:w="80" w:type="dxa"/>
              <w:bottom w:w="80" w:type="dxa"/>
              <w:left w:w="120" w:type="dxa"/>
              <w:right w:w="120" w:type="dxa"/>
            </w:tcMar>
            <w:vAlign w:val="center"/>
          </w:tcPr>
          <w:p>
            <w:pPr>
              <w:spacing w:after="20" w:before="20"/>
            </w:pPr>
            <w:r>
              <w:rPr>
                <w:sz w:val="17"/>
              </w:rPr>
              <w:t>0.8478</w:t>
            </w:r>
          </w:p>
        </w:tc>
        <w:tc>
          <w:tcPr>
            <w:tcW w:type="dxa" w:w="851"/>
            <w:tcMar>
              <w:top w:w="80" w:type="dxa"/>
              <w:bottom w:w="80" w:type="dxa"/>
              <w:left w:w="120" w:type="dxa"/>
              <w:right w:w="120" w:type="dxa"/>
            </w:tcMar>
            <w:vAlign w:val="center"/>
          </w:tcPr>
          <w:p>
            <w:pPr>
              <w:spacing w:after="20" w:before="20"/>
            </w:pPr>
            <w:r>
              <w:rPr>
                <w:sz w:val="17"/>
              </w:rPr>
              <w:t>0.0807</w:t>
            </w:r>
          </w:p>
        </w:tc>
        <w:tc>
          <w:tcPr>
            <w:tcW w:type="dxa" w:w="851"/>
            <w:tcMar>
              <w:top w:w="80" w:type="dxa"/>
              <w:bottom w:w="80" w:type="dxa"/>
              <w:left w:w="120" w:type="dxa"/>
              <w:right w:w="120" w:type="dxa"/>
            </w:tcMar>
            <w:vAlign w:val="center"/>
          </w:tcPr>
          <w:p>
            <w:pPr>
              <w:spacing w:after="20" w:before="20"/>
            </w:pPr>
            <w:r>
              <w:rPr>
                <w:sz w:val="17"/>
              </w:rPr>
              <w:t>0.0945</w:t>
            </w:r>
          </w:p>
        </w:tc>
        <w:tc>
          <w:tcPr>
            <w:tcW w:type="dxa" w:w="851"/>
            <w:tcMar>
              <w:top w:w="80" w:type="dxa"/>
              <w:bottom w:w="80" w:type="dxa"/>
              <w:left w:w="120" w:type="dxa"/>
              <w:right w:w="120" w:type="dxa"/>
            </w:tcMar>
            <w:vAlign w:val="center"/>
          </w:tcPr>
          <w:p>
            <w:pPr>
              <w:spacing w:after="20" w:before="20"/>
            </w:pPr>
            <w:r>
              <w:rPr>
                <w:sz w:val="17"/>
              </w:rPr>
              <w:t>0.32</w:t>
            </w:r>
          </w:p>
        </w:tc>
        <w:tc>
          <w:tcPr>
            <w:tcW w:type="dxa" w:w="851"/>
            <w:tcMar>
              <w:top w:w="80" w:type="dxa"/>
              <w:bottom w:w="80" w:type="dxa"/>
              <w:left w:w="120" w:type="dxa"/>
              <w:right w:w="120" w:type="dxa"/>
            </w:tcMar>
            <w:vAlign w:val="center"/>
          </w:tcPr>
          <w:p>
            <w:pPr>
              <w:spacing w:after="20" w:before="20"/>
            </w:pPr>
            <w:r>
              <w:rPr>
                <w:sz w:val="17"/>
              </w:rPr>
              <w:t>0.9565</w:t>
            </w:r>
          </w:p>
        </w:tc>
        <w:tc>
          <w:tcPr>
            <w:tcW w:type="dxa" w:w="851"/>
            <w:tcMar>
              <w:top w:w="80" w:type="dxa"/>
              <w:bottom w:w="80" w:type="dxa"/>
              <w:left w:w="120" w:type="dxa"/>
              <w:right w:w="120" w:type="dxa"/>
            </w:tcMar>
            <w:vAlign w:val="center"/>
          </w:tcPr>
          <w:p>
            <w:pPr>
              <w:spacing w:after="20" w:before="20"/>
            </w:pPr>
            <w:r>
              <w:rPr>
                <w:sz w:val="17"/>
              </w:rPr>
              <w:t>0.8500</w:t>
            </w:r>
          </w:p>
        </w:tc>
        <w:tc>
          <w:tcPr>
            <w:tcW w:type="dxa" w:w="851"/>
            <w:tcMar>
              <w:top w:w="80" w:type="dxa"/>
              <w:bottom w:w="80" w:type="dxa"/>
              <w:left w:w="120" w:type="dxa"/>
              <w:right w:w="120" w:type="dxa"/>
            </w:tcMar>
            <w:vAlign w:val="center"/>
          </w:tcPr>
          <w:p>
            <w:pPr>
              <w:spacing w:after="20" w:before="20"/>
            </w:pPr>
            <w:r>
              <w:rPr>
                <w:sz w:val="17"/>
              </w:rPr>
              <w:t>0.9167</w:t>
            </w:r>
          </w:p>
        </w:tc>
      </w:tr>
      <w:tr>
        <w:trPr>
          <w:cantSplit/>
        </w:trPr>
        <w:tc>
          <w:tcPr>
            <w:tcW w:type="dxa" w:w="851"/>
            <w:tcMar>
              <w:top w:w="80" w:type="dxa"/>
              <w:bottom w:w="80" w:type="dxa"/>
              <w:left w:w="120" w:type="dxa"/>
              <w:right w:w="120" w:type="dxa"/>
            </w:tcMar>
            <w:vAlign w:val="center"/>
          </w:tcPr>
          <w:p>
            <w:pPr>
              <w:spacing w:after="20" w:before="20"/>
            </w:pPr>
            <w:r>
              <w:rPr>
                <w:sz w:val="17"/>
              </w:rPr>
              <w:t>100</w:t>
            </w:r>
          </w:p>
        </w:tc>
        <w:tc>
          <w:tcPr>
            <w:tcW w:type="dxa" w:w="851"/>
            <w:tcMar>
              <w:top w:w="80" w:type="dxa"/>
              <w:bottom w:w="80" w:type="dxa"/>
              <w:left w:w="120" w:type="dxa"/>
              <w:right w:w="120" w:type="dxa"/>
            </w:tcMar>
            <w:vAlign w:val="center"/>
          </w:tcPr>
          <w:p>
            <w:pPr>
              <w:spacing w:after="20" w:before="20"/>
            </w:pPr>
            <w:r>
              <w:rPr>
                <w:sz w:val="17"/>
              </w:rPr>
              <w:t>M3 (Peer-Relative)</w:t>
            </w:r>
          </w:p>
        </w:tc>
        <w:tc>
          <w:tcPr>
            <w:tcW w:type="dxa" w:w="851"/>
            <w:tcMar>
              <w:top w:w="80" w:type="dxa"/>
              <w:bottom w:w="80" w:type="dxa"/>
              <w:left w:w="120" w:type="dxa"/>
              <w:right w:w="120" w:type="dxa"/>
            </w:tcMar>
            <w:vAlign w:val="center"/>
          </w:tcPr>
          <w:p>
            <w:pPr>
              <w:spacing w:after="20" w:before="20"/>
            </w:pPr>
            <w:r>
              <w:rPr>
                <w:sz w:val="17"/>
              </w:rPr>
              <w:t>42</w:t>
            </w:r>
          </w:p>
        </w:tc>
        <w:tc>
          <w:tcPr>
            <w:tcW w:type="dxa" w:w="851"/>
            <w:tcMar>
              <w:top w:w="80" w:type="dxa"/>
              <w:bottom w:w="80" w:type="dxa"/>
              <w:left w:w="120" w:type="dxa"/>
              <w:right w:w="120" w:type="dxa"/>
            </w:tcMar>
            <w:vAlign w:val="center"/>
          </w:tcPr>
          <w:p>
            <w:pPr>
              <w:spacing w:after="20" w:before="20"/>
            </w:pPr>
            <w:r>
              <w:rPr>
                <w:sz w:val="17"/>
              </w:rPr>
              <w:t>0.9087</w:t>
            </w:r>
          </w:p>
        </w:tc>
        <w:tc>
          <w:tcPr>
            <w:tcW w:type="dxa" w:w="851"/>
            <w:tcMar>
              <w:top w:w="80" w:type="dxa"/>
              <w:bottom w:w="80" w:type="dxa"/>
              <w:left w:w="120" w:type="dxa"/>
              <w:right w:w="120" w:type="dxa"/>
            </w:tcMar>
            <w:vAlign w:val="center"/>
          </w:tcPr>
          <w:p>
            <w:pPr>
              <w:spacing w:after="20" w:before="20"/>
            </w:pPr>
            <w:r>
              <w:rPr>
                <w:sz w:val="17"/>
              </w:rPr>
              <w:t>0.8378</w:t>
            </w:r>
          </w:p>
        </w:tc>
        <w:tc>
          <w:tcPr>
            <w:tcW w:type="dxa" w:w="851"/>
            <w:tcMar>
              <w:top w:w="80" w:type="dxa"/>
              <w:bottom w:w="80" w:type="dxa"/>
              <w:left w:w="120" w:type="dxa"/>
              <w:right w:w="120" w:type="dxa"/>
            </w:tcMar>
            <w:vAlign w:val="center"/>
          </w:tcPr>
          <w:p>
            <w:pPr>
              <w:spacing w:after="20" w:before="20"/>
            </w:pPr>
            <w:r>
              <w:rPr>
                <w:sz w:val="17"/>
              </w:rPr>
              <w:t>0.0801</w:t>
            </w:r>
          </w:p>
        </w:tc>
        <w:tc>
          <w:tcPr>
            <w:tcW w:type="dxa" w:w="851"/>
            <w:tcMar>
              <w:top w:w="80" w:type="dxa"/>
              <w:bottom w:w="80" w:type="dxa"/>
              <w:left w:w="120" w:type="dxa"/>
              <w:right w:w="120" w:type="dxa"/>
            </w:tcMar>
            <w:vAlign w:val="center"/>
          </w:tcPr>
          <w:p>
            <w:pPr>
              <w:spacing w:after="20" w:before="20"/>
            </w:pPr>
            <w:r>
              <w:rPr>
                <w:sz w:val="17"/>
              </w:rPr>
              <w:t>0.0938</w:t>
            </w:r>
          </w:p>
        </w:tc>
        <w:tc>
          <w:tcPr>
            <w:tcW w:type="dxa" w:w="851"/>
            <w:tcMar>
              <w:top w:w="80" w:type="dxa"/>
              <w:bottom w:w="80" w:type="dxa"/>
              <w:left w:w="120" w:type="dxa"/>
              <w:right w:w="120" w:type="dxa"/>
            </w:tcMar>
            <w:vAlign w:val="center"/>
          </w:tcPr>
          <w:p>
            <w:pPr>
              <w:spacing w:after="20" w:before="20"/>
            </w:pPr>
            <w:r>
              <w:rPr>
                <w:sz w:val="17"/>
              </w:rPr>
              <w:t>0.30</w:t>
            </w:r>
          </w:p>
        </w:tc>
        <w:tc>
          <w:tcPr>
            <w:tcW w:type="dxa" w:w="851"/>
            <w:tcMar>
              <w:top w:w="80" w:type="dxa"/>
              <w:bottom w:w="80" w:type="dxa"/>
              <w:left w:w="120" w:type="dxa"/>
              <w:right w:w="120" w:type="dxa"/>
            </w:tcMar>
            <w:vAlign w:val="center"/>
          </w:tcPr>
          <w:p>
            <w:pPr>
              <w:spacing w:after="20" w:before="20"/>
            </w:pPr>
            <w:r>
              <w:rPr>
                <w:sz w:val="17"/>
              </w:rPr>
              <w:t>0.9565</w:t>
            </w:r>
          </w:p>
        </w:tc>
        <w:tc>
          <w:tcPr>
            <w:tcW w:type="dxa" w:w="851"/>
            <w:tcMar>
              <w:top w:w="80" w:type="dxa"/>
              <w:bottom w:w="80" w:type="dxa"/>
              <w:left w:w="120" w:type="dxa"/>
              <w:right w:w="120" w:type="dxa"/>
            </w:tcMar>
            <w:vAlign w:val="center"/>
          </w:tcPr>
          <w:p>
            <w:pPr>
              <w:spacing w:after="20" w:before="20"/>
            </w:pPr>
            <w:r>
              <w:rPr>
                <w:sz w:val="17"/>
              </w:rPr>
              <w:t>0.8500</w:t>
            </w:r>
          </w:p>
        </w:tc>
        <w:tc>
          <w:tcPr>
            <w:tcW w:type="dxa" w:w="851"/>
            <w:tcMar>
              <w:top w:w="80" w:type="dxa"/>
              <w:bottom w:w="80" w:type="dxa"/>
              <w:left w:w="120" w:type="dxa"/>
              <w:right w:w="120" w:type="dxa"/>
            </w:tcMar>
            <w:vAlign w:val="center"/>
          </w:tcPr>
          <w:p>
            <w:pPr>
              <w:spacing w:after="20" w:before="20"/>
            </w:pPr>
            <w:r>
              <w:rPr>
                <w:sz w:val="17"/>
              </w:rPr>
              <w:t>0.9167</w:t>
            </w:r>
          </w:p>
        </w:tc>
      </w:tr>
      <w:tr>
        <w:trPr>
          <w:cantSplit/>
        </w:trPr>
        <w:tc>
          <w:tcPr>
            <w:tcW w:type="dxa" w:w="851"/>
            <w:tcMar>
              <w:top w:w="80" w:type="dxa"/>
              <w:bottom w:w="80" w:type="dxa"/>
              <w:left w:w="120" w:type="dxa"/>
              <w:right w:w="120" w:type="dxa"/>
            </w:tcMar>
            <w:vAlign w:val="center"/>
          </w:tcPr>
          <w:p>
            <w:pPr>
              <w:spacing w:after="20" w:before="20"/>
            </w:pPr>
            <w:r>
              <w:rPr>
                <w:sz w:val="17"/>
              </w:rPr>
              <w:t>100</w:t>
            </w:r>
          </w:p>
        </w:tc>
        <w:tc>
          <w:tcPr>
            <w:tcW w:type="dxa" w:w="851"/>
            <w:tcMar>
              <w:top w:w="80" w:type="dxa"/>
              <w:bottom w:w="80" w:type="dxa"/>
              <w:left w:w="120" w:type="dxa"/>
              <w:right w:w="120" w:type="dxa"/>
            </w:tcMar>
            <w:vAlign w:val="center"/>
          </w:tcPr>
          <w:p>
            <w:pPr>
              <w:spacing w:after="20" w:before="20"/>
            </w:pPr>
            <w:r>
              <w:rPr>
                <w:sz w:val="17"/>
              </w:rPr>
              <w:t>M4 (Full System)</w:t>
            </w:r>
          </w:p>
        </w:tc>
        <w:tc>
          <w:tcPr>
            <w:tcW w:type="dxa" w:w="851"/>
            <w:tcMar>
              <w:top w:w="80" w:type="dxa"/>
              <w:bottom w:w="80" w:type="dxa"/>
              <w:left w:w="120" w:type="dxa"/>
              <w:right w:w="120" w:type="dxa"/>
            </w:tcMar>
            <w:vAlign w:val="center"/>
          </w:tcPr>
          <w:p>
            <w:pPr>
              <w:spacing w:after="20" w:before="20"/>
            </w:pPr>
            <w:r>
              <w:rPr>
                <w:sz w:val="17"/>
              </w:rPr>
              <w:t>46</w:t>
            </w:r>
          </w:p>
        </w:tc>
        <w:tc>
          <w:tcPr>
            <w:tcW w:type="dxa" w:w="851"/>
            <w:tcMar>
              <w:top w:w="80" w:type="dxa"/>
              <w:bottom w:w="80" w:type="dxa"/>
              <w:left w:w="120" w:type="dxa"/>
              <w:right w:w="120" w:type="dxa"/>
            </w:tcMar>
            <w:vAlign w:val="center"/>
          </w:tcPr>
          <w:p>
            <w:pPr>
              <w:spacing w:after="20" w:before="20"/>
            </w:pPr>
            <w:r>
              <w:rPr>
                <w:sz w:val="17"/>
              </w:rPr>
              <w:t>0.9065</w:t>
            </w:r>
          </w:p>
        </w:tc>
        <w:tc>
          <w:tcPr>
            <w:tcW w:type="dxa" w:w="851"/>
            <w:tcMar>
              <w:top w:w="80" w:type="dxa"/>
              <w:bottom w:w="80" w:type="dxa"/>
              <w:left w:w="120" w:type="dxa"/>
              <w:right w:w="120" w:type="dxa"/>
            </w:tcMar>
            <w:vAlign w:val="center"/>
          </w:tcPr>
          <w:p>
            <w:pPr>
              <w:spacing w:after="20" w:before="20"/>
            </w:pPr>
            <w:r>
              <w:rPr>
                <w:sz w:val="17"/>
              </w:rPr>
              <w:t>0.8276</w:t>
            </w:r>
          </w:p>
        </w:tc>
        <w:tc>
          <w:tcPr>
            <w:tcW w:type="dxa" w:w="851"/>
            <w:tcMar>
              <w:top w:w="80" w:type="dxa"/>
              <w:bottom w:w="80" w:type="dxa"/>
              <w:left w:w="120" w:type="dxa"/>
              <w:right w:w="120" w:type="dxa"/>
            </w:tcMar>
            <w:vAlign w:val="center"/>
          </w:tcPr>
          <w:p>
            <w:pPr>
              <w:spacing w:after="20" w:before="20"/>
            </w:pPr>
            <w:r>
              <w:rPr>
                <w:sz w:val="17"/>
              </w:rPr>
              <w:t>0.0815</w:t>
            </w:r>
          </w:p>
        </w:tc>
        <w:tc>
          <w:tcPr>
            <w:tcW w:type="dxa" w:w="851"/>
            <w:tcMar>
              <w:top w:w="80" w:type="dxa"/>
              <w:bottom w:w="80" w:type="dxa"/>
              <w:left w:w="120" w:type="dxa"/>
              <w:right w:w="120" w:type="dxa"/>
            </w:tcMar>
            <w:vAlign w:val="center"/>
          </w:tcPr>
          <w:p>
            <w:pPr>
              <w:spacing w:after="20" w:before="20"/>
            </w:pPr>
            <w:r>
              <w:rPr>
                <w:sz w:val="17"/>
              </w:rPr>
              <w:t>0.0964</w:t>
            </w:r>
          </w:p>
        </w:tc>
        <w:tc>
          <w:tcPr>
            <w:tcW w:type="dxa" w:w="851"/>
            <w:tcMar>
              <w:top w:w="80" w:type="dxa"/>
              <w:bottom w:w="80" w:type="dxa"/>
              <w:left w:w="120" w:type="dxa"/>
              <w:right w:w="120" w:type="dxa"/>
            </w:tcMar>
            <w:vAlign w:val="center"/>
          </w:tcPr>
          <w:p>
            <w:pPr>
              <w:spacing w:after="20" w:before="20"/>
            </w:pPr>
            <w:r>
              <w:rPr>
                <w:sz w:val="17"/>
              </w:rPr>
              <w:t>0.30</w:t>
            </w:r>
          </w:p>
        </w:tc>
        <w:tc>
          <w:tcPr>
            <w:tcW w:type="dxa" w:w="851"/>
            <w:tcMar>
              <w:top w:w="80" w:type="dxa"/>
              <w:bottom w:w="80" w:type="dxa"/>
              <w:left w:w="120" w:type="dxa"/>
              <w:right w:w="120" w:type="dxa"/>
            </w:tcMar>
            <w:vAlign w:val="center"/>
          </w:tcPr>
          <w:p>
            <w:pPr>
              <w:spacing w:after="20" w:before="20"/>
            </w:pPr>
            <w:r>
              <w:rPr>
                <w:sz w:val="17"/>
              </w:rPr>
              <w:t>0.9565</w:t>
            </w:r>
          </w:p>
        </w:tc>
        <w:tc>
          <w:tcPr>
            <w:tcW w:type="dxa" w:w="851"/>
            <w:tcMar>
              <w:top w:w="80" w:type="dxa"/>
              <w:bottom w:w="80" w:type="dxa"/>
              <w:left w:w="120" w:type="dxa"/>
              <w:right w:w="120" w:type="dxa"/>
            </w:tcMar>
            <w:vAlign w:val="center"/>
          </w:tcPr>
          <w:p>
            <w:pPr>
              <w:spacing w:after="20" w:before="20"/>
            </w:pPr>
            <w:r>
              <w:rPr>
                <w:sz w:val="17"/>
              </w:rPr>
              <w:t>0.8500</w:t>
            </w:r>
          </w:p>
        </w:tc>
        <w:tc>
          <w:tcPr>
            <w:tcW w:type="dxa" w:w="851"/>
            <w:tcMar>
              <w:top w:w="80" w:type="dxa"/>
              <w:bottom w:w="80" w:type="dxa"/>
              <w:left w:w="120" w:type="dxa"/>
              <w:right w:w="120" w:type="dxa"/>
            </w:tcMar>
            <w:vAlign w:val="center"/>
          </w:tcPr>
          <w:p>
            <w:pPr>
              <w:spacing w:after="20" w:before="20"/>
            </w:pPr>
            <w:r>
              <w:rPr>
                <w:sz w:val="17"/>
              </w:rPr>
              <w:t>0.9167</w:t>
            </w:r>
          </w:p>
        </w:tc>
      </w:tr>
    </w:tbl>
    <w:p>
      <w:pPr>
        <w:jc w:val="center"/>
      </w:pPr>
      <w:r>
        <w:rPr>
          <w:b/>
        </w:rPr>
        <w:t>Table 2: Performance on Primary Test Cohort (N = 43)</w:t>
      </w:r>
    </w:p>
    <w:p>
      <w:pPr>
        <w:spacing w:after="80"/>
      </w:pPr>
      <w:r>
        <w:t>Honest Scientific Assessment of In-Distribution Results: In the homogeneous primary test partition, baseline M1 is exceptionally strong (AUROC 0.918–0.933) because initial charging current rates and baseline impedance dominate cycle life in the Severson dataset. Adding individual trajectory (M2), peer-relative features (M3), and PMRI (M4) achieves statistical parity (all 95% bootstrap confidence intervals for Delta AUROC span zero, as illustrated in FIG. 7). Peer features do not artificially boost discrimination on identical test conditions.</w:t>
      </w:r>
    </w:p>
    <w:p>
      <w:pPr>
        <w:spacing w:after="80"/>
      </w:pPr>
      <w:r>
        <w:t>Domain-Shift Generalization on Secondary Test Cohort (Batch 3, N=40): The decisive technical contribution of peer-relative features appears under operational distribution shift. In Batch 3, cells incorporate structural packaging modifications and extended cycle lives (&gt; 1000 cycles). As reported in Table 3, baseline M1 suffers severe collapse (AUROC 0.5128 at Cutoff 70; AUROC 0.6667 at Cutoff 100). In contrast, peer-relative models M3 and M4 successfully normalize out the policy shift, achieving AUROC 0.9744 (+0.4616 over baseline):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rPr>
        <w:tc>
          <w:tcPr>
            <w:tcW w:type="dxa" w:w="1040"/>
            <w:tcMar>
              <w:top w:w="80" w:type="dxa"/>
              <w:bottom w:w="80" w:type="dxa"/>
              <w:left w:w="120" w:type="dxa"/>
              <w:right w:w="120" w:type="dxa"/>
            </w:tcMar>
            <w:vAlign w:val="center"/>
            <w:shd w:fill="E2E8F0"/>
          </w:tcPr>
          <w:p>
            <w:pPr>
              <w:spacing w:after="40" w:before="40"/>
            </w:pPr>
            <w:r>
              <w:rPr>
                <w:b/>
                <w:sz w:val="18"/>
              </w:rPr>
              <w:t>Cutoff</w:t>
            </w:r>
          </w:p>
        </w:tc>
        <w:tc>
          <w:tcPr>
            <w:tcW w:type="dxa" w:w="1040"/>
            <w:tcMar>
              <w:top w:w="80" w:type="dxa"/>
              <w:bottom w:w="80" w:type="dxa"/>
              <w:left w:w="120" w:type="dxa"/>
              <w:right w:w="120" w:type="dxa"/>
            </w:tcMar>
            <w:vAlign w:val="center"/>
            <w:shd w:fill="E2E8F0"/>
          </w:tcPr>
          <w:p>
            <w:pPr>
              <w:spacing w:after="40" w:before="40"/>
            </w:pPr>
            <w:r>
              <w:rPr>
                <w:b/>
                <w:sz w:val="18"/>
              </w:rPr>
              <w:t>Model</w:t>
            </w:r>
          </w:p>
        </w:tc>
        <w:tc>
          <w:tcPr>
            <w:tcW w:type="dxa" w:w="1040"/>
            <w:tcMar>
              <w:top w:w="80" w:type="dxa"/>
              <w:bottom w:w="80" w:type="dxa"/>
              <w:left w:w="120" w:type="dxa"/>
              <w:right w:w="120" w:type="dxa"/>
            </w:tcMar>
            <w:vAlign w:val="center"/>
            <w:shd w:fill="E2E8F0"/>
          </w:tcPr>
          <w:p>
            <w:pPr>
              <w:spacing w:after="40" w:before="40"/>
            </w:pPr>
            <w:r>
              <w:rPr>
                <w:b/>
                <w:sz w:val="18"/>
              </w:rPr>
              <w:t>Features</w:t>
            </w:r>
          </w:p>
        </w:tc>
        <w:tc>
          <w:tcPr>
            <w:tcW w:type="dxa" w:w="1040"/>
            <w:tcMar>
              <w:top w:w="80" w:type="dxa"/>
              <w:bottom w:w="80" w:type="dxa"/>
              <w:left w:w="120" w:type="dxa"/>
              <w:right w:w="120" w:type="dxa"/>
            </w:tcMar>
            <w:vAlign w:val="center"/>
            <w:shd w:fill="E2E8F0"/>
          </w:tcPr>
          <w:p>
            <w:pPr>
              <w:spacing w:after="40" w:before="40"/>
            </w:pPr>
            <w:r>
              <w:rPr>
                <w:b/>
                <w:sz w:val="18"/>
              </w:rPr>
              <w:t>AUROC</w:t>
            </w:r>
          </w:p>
        </w:tc>
        <w:tc>
          <w:tcPr>
            <w:tcW w:type="dxa" w:w="1040"/>
            <w:tcMar>
              <w:top w:w="80" w:type="dxa"/>
              <w:bottom w:w="80" w:type="dxa"/>
              <w:left w:w="120" w:type="dxa"/>
              <w:right w:w="120" w:type="dxa"/>
            </w:tcMar>
            <w:vAlign w:val="center"/>
            <w:shd w:fill="E2E8F0"/>
          </w:tcPr>
          <w:p>
            <w:pPr>
              <w:spacing w:after="40" w:before="40"/>
            </w:pPr>
            <w:r>
              <w:rPr>
                <w:b/>
                <w:sz w:val="18"/>
              </w:rPr>
              <w:t>AUPRC</w:t>
            </w:r>
          </w:p>
        </w:tc>
        <w:tc>
          <w:tcPr>
            <w:tcW w:type="dxa" w:w="1040"/>
            <w:tcMar>
              <w:top w:w="80" w:type="dxa"/>
              <w:bottom w:w="80" w:type="dxa"/>
              <w:left w:w="120" w:type="dxa"/>
              <w:right w:w="120" w:type="dxa"/>
            </w:tcMar>
            <w:vAlign w:val="center"/>
            <w:shd w:fill="E2E8F0"/>
          </w:tcPr>
          <w:p>
            <w:pPr>
              <w:spacing w:after="40" w:before="40"/>
            </w:pPr>
            <w:r>
              <w:rPr>
                <w:b/>
                <w:sz w:val="18"/>
              </w:rPr>
              <w:t>Brier Score</w:t>
            </w:r>
          </w:p>
        </w:tc>
        <w:tc>
          <w:tcPr>
            <w:tcW w:type="dxa" w:w="1040"/>
            <w:tcMar>
              <w:top w:w="80" w:type="dxa"/>
              <w:bottom w:w="80" w:type="dxa"/>
              <w:left w:w="120" w:type="dxa"/>
              <w:right w:w="120" w:type="dxa"/>
            </w:tcMar>
            <w:vAlign w:val="center"/>
            <w:shd w:fill="E2E8F0"/>
          </w:tcPr>
          <w:p>
            <w:pPr>
              <w:spacing w:after="40" w:before="40"/>
            </w:pPr>
            <w:r>
              <w:rPr>
                <w:b/>
                <w:sz w:val="18"/>
              </w:rPr>
              <w:t>Specificity</w:t>
            </w:r>
          </w:p>
        </w:tc>
        <w:tc>
          <w:tcPr>
            <w:tcW w:type="dxa" w:w="1040"/>
            <w:tcMar>
              <w:top w:w="80" w:type="dxa"/>
              <w:bottom w:w="80" w:type="dxa"/>
              <w:left w:w="120" w:type="dxa"/>
              <w:right w:w="120" w:type="dxa"/>
            </w:tcMar>
            <w:vAlign w:val="center"/>
            <w:shd w:fill="E2E8F0"/>
          </w:tcPr>
          <w:p>
            <w:pPr>
              <w:spacing w:after="40" w:before="40"/>
            </w:pPr>
            <w:r>
              <w:rPr>
                <w:b/>
                <w:sz w:val="18"/>
              </w:rPr>
              <w:t>FPR</w:t>
            </w:r>
          </w:p>
        </w:tc>
        <w:tc>
          <w:tcPr>
            <w:tcW w:type="dxa" w:w="1040"/>
            <w:tcMar>
              <w:top w:w="80" w:type="dxa"/>
              <w:bottom w:w="80" w:type="dxa"/>
              <w:left w:w="120" w:type="dxa"/>
              <w:right w:w="120" w:type="dxa"/>
            </w:tcMar>
            <w:vAlign w:val="center"/>
            <w:shd w:fill="E2E8F0"/>
          </w:tcPr>
          <w:p>
            <w:pPr>
              <w:spacing w:after="40" w:before="40"/>
            </w:pPr>
            <w:r>
              <w:rPr>
                <w:b/>
                <w:sz w:val="18"/>
              </w:rPr>
              <w:t>Generalization Finding</w:t>
            </w:r>
          </w:p>
        </w:tc>
      </w:tr>
      <w:tr>
        <w:trPr>
          <w:cantSplit/>
        </w:trPr>
        <w:tc>
          <w:tcPr>
            <w:tcW w:type="dxa" w:w="1040"/>
            <w:tcMar>
              <w:top w:w="80" w:type="dxa"/>
              <w:bottom w:w="80" w:type="dxa"/>
              <w:left w:w="120" w:type="dxa"/>
              <w:right w:w="120" w:type="dxa"/>
            </w:tcMar>
            <w:vAlign w:val="center"/>
          </w:tcPr>
          <w:p>
            <w:pPr>
              <w:spacing w:after="20" w:before="20"/>
            </w:pPr>
            <w:r>
              <w:rPr>
                <w:sz w:val="17"/>
              </w:rPr>
              <w:t>70</w:t>
            </w:r>
          </w:p>
        </w:tc>
        <w:tc>
          <w:tcPr>
            <w:tcW w:type="dxa" w:w="1040"/>
            <w:tcMar>
              <w:top w:w="80" w:type="dxa"/>
              <w:bottom w:w="80" w:type="dxa"/>
              <w:left w:w="120" w:type="dxa"/>
              <w:right w:w="120" w:type="dxa"/>
            </w:tcMar>
            <w:vAlign w:val="center"/>
          </w:tcPr>
          <w:p>
            <w:pPr>
              <w:spacing w:after="20" w:before="20"/>
            </w:pPr>
            <w:r>
              <w:rPr>
                <w:sz w:val="17"/>
              </w:rPr>
              <w:t>M1 (Baseline)</w:t>
            </w:r>
          </w:p>
        </w:tc>
        <w:tc>
          <w:tcPr>
            <w:tcW w:type="dxa" w:w="1040"/>
            <w:tcMar>
              <w:top w:w="80" w:type="dxa"/>
              <w:bottom w:w="80" w:type="dxa"/>
              <w:left w:w="120" w:type="dxa"/>
              <w:right w:w="120" w:type="dxa"/>
            </w:tcMar>
            <w:vAlign w:val="center"/>
          </w:tcPr>
          <w:p>
            <w:pPr>
              <w:spacing w:after="20" w:before="20"/>
            </w:pPr>
            <w:r>
              <w:rPr>
                <w:sz w:val="17"/>
              </w:rPr>
              <w:t>18</w:t>
            </w:r>
          </w:p>
        </w:tc>
        <w:tc>
          <w:tcPr>
            <w:tcW w:type="dxa" w:w="1040"/>
            <w:tcMar>
              <w:top w:w="80" w:type="dxa"/>
              <w:bottom w:w="80" w:type="dxa"/>
              <w:left w:w="120" w:type="dxa"/>
              <w:right w:w="120" w:type="dxa"/>
            </w:tcMar>
            <w:vAlign w:val="center"/>
          </w:tcPr>
          <w:p>
            <w:pPr>
              <w:spacing w:after="20" w:before="20"/>
            </w:pPr>
            <w:r>
              <w:rPr>
                <w:sz w:val="17"/>
              </w:rPr>
              <w:t>0.5128</w:t>
            </w:r>
          </w:p>
        </w:tc>
        <w:tc>
          <w:tcPr>
            <w:tcW w:type="dxa" w:w="1040"/>
            <w:tcMar>
              <w:top w:w="80" w:type="dxa"/>
              <w:bottom w:w="80" w:type="dxa"/>
              <w:left w:w="120" w:type="dxa"/>
              <w:right w:w="120" w:type="dxa"/>
            </w:tcMar>
            <w:vAlign w:val="center"/>
          </w:tcPr>
          <w:p>
            <w:pPr>
              <w:spacing w:after="20" w:before="20"/>
            </w:pPr>
            <w:r>
              <w:rPr>
                <w:sz w:val="17"/>
              </w:rPr>
              <w:t>0.0500</w:t>
            </w:r>
          </w:p>
        </w:tc>
        <w:tc>
          <w:tcPr>
            <w:tcW w:type="dxa" w:w="1040"/>
            <w:tcMar>
              <w:top w:w="80" w:type="dxa"/>
              <w:bottom w:w="80" w:type="dxa"/>
              <w:left w:w="120" w:type="dxa"/>
              <w:right w:w="120" w:type="dxa"/>
            </w:tcMar>
            <w:vAlign w:val="center"/>
          </w:tcPr>
          <w:p>
            <w:pPr>
              <w:spacing w:after="20" w:before="20"/>
            </w:pPr>
            <w:r>
              <w:rPr>
                <w:sz w:val="17"/>
              </w:rPr>
              <w:t>0.1428</w:t>
            </w:r>
          </w:p>
        </w:tc>
        <w:tc>
          <w:tcPr>
            <w:tcW w:type="dxa" w:w="1040"/>
            <w:tcMar>
              <w:top w:w="80" w:type="dxa"/>
              <w:bottom w:w="80" w:type="dxa"/>
              <w:left w:w="120" w:type="dxa"/>
              <w:right w:w="120" w:type="dxa"/>
            </w:tcMar>
            <w:vAlign w:val="center"/>
          </w:tcPr>
          <w:p>
            <w:pPr>
              <w:spacing w:after="20" w:before="20"/>
            </w:pPr>
            <w:r>
              <w:rPr>
                <w:sz w:val="17"/>
              </w:rPr>
              <w:t>0.8462</w:t>
            </w:r>
          </w:p>
        </w:tc>
        <w:tc>
          <w:tcPr>
            <w:tcW w:type="dxa" w:w="1040"/>
            <w:tcMar>
              <w:top w:w="80" w:type="dxa"/>
              <w:bottom w:w="80" w:type="dxa"/>
              <w:left w:w="120" w:type="dxa"/>
              <w:right w:w="120" w:type="dxa"/>
            </w:tcMar>
            <w:vAlign w:val="center"/>
          </w:tcPr>
          <w:p>
            <w:pPr>
              <w:spacing w:after="20" w:before="20"/>
            </w:pPr>
            <w:r>
              <w:rPr>
                <w:sz w:val="17"/>
              </w:rPr>
              <w:t>0.1538</w:t>
            </w:r>
          </w:p>
        </w:tc>
        <w:tc>
          <w:tcPr>
            <w:tcW w:type="dxa" w:w="1040"/>
            <w:tcMar>
              <w:top w:w="80" w:type="dxa"/>
              <w:bottom w:w="80" w:type="dxa"/>
              <w:left w:w="120" w:type="dxa"/>
              <w:right w:w="120" w:type="dxa"/>
            </w:tcMar>
            <w:vAlign w:val="center"/>
          </w:tcPr>
          <w:p>
            <w:pPr>
              <w:spacing w:after="20" w:before="20"/>
            </w:pPr>
            <w:r>
              <w:rPr>
                <w:sz w:val="17"/>
              </w:rPr>
              <w:t>Severe baseline collapse under domain shift</w:t>
            </w:r>
          </w:p>
        </w:tc>
      </w:tr>
      <w:tr>
        <w:trPr>
          <w:cantSplit/>
        </w:trPr>
        <w:tc>
          <w:tcPr>
            <w:tcW w:type="dxa" w:w="1040"/>
            <w:tcMar>
              <w:top w:w="80" w:type="dxa"/>
              <w:bottom w:w="80" w:type="dxa"/>
              <w:left w:w="120" w:type="dxa"/>
              <w:right w:w="120" w:type="dxa"/>
            </w:tcMar>
            <w:vAlign w:val="center"/>
          </w:tcPr>
          <w:p>
            <w:pPr>
              <w:spacing w:after="20" w:before="20"/>
            </w:pPr>
            <w:r>
              <w:rPr>
                <w:sz w:val="17"/>
              </w:rPr>
              <w:t>70</w:t>
            </w:r>
          </w:p>
        </w:tc>
        <w:tc>
          <w:tcPr>
            <w:tcW w:type="dxa" w:w="1040"/>
            <w:tcMar>
              <w:top w:w="80" w:type="dxa"/>
              <w:bottom w:w="80" w:type="dxa"/>
              <w:left w:w="120" w:type="dxa"/>
              <w:right w:w="120" w:type="dxa"/>
            </w:tcMar>
            <w:vAlign w:val="center"/>
          </w:tcPr>
          <w:p>
            <w:pPr>
              <w:spacing w:after="20" w:before="20"/>
            </w:pPr>
            <w:r>
              <w:rPr>
                <w:sz w:val="17"/>
              </w:rPr>
              <w:t>M2 (Trajectory)</w:t>
            </w:r>
          </w:p>
        </w:tc>
        <w:tc>
          <w:tcPr>
            <w:tcW w:type="dxa" w:w="1040"/>
            <w:tcMar>
              <w:top w:w="80" w:type="dxa"/>
              <w:bottom w:w="80" w:type="dxa"/>
              <w:left w:w="120" w:type="dxa"/>
              <w:right w:w="120" w:type="dxa"/>
            </w:tcMar>
            <w:vAlign w:val="center"/>
          </w:tcPr>
          <w:p>
            <w:pPr>
              <w:spacing w:after="20" w:before="20"/>
            </w:pPr>
            <w:r>
              <w:rPr>
                <w:sz w:val="17"/>
              </w:rPr>
              <w:t>34</w:t>
            </w:r>
          </w:p>
        </w:tc>
        <w:tc>
          <w:tcPr>
            <w:tcW w:type="dxa" w:w="1040"/>
            <w:tcMar>
              <w:top w:w="80" w:type="dxa"/>
              <w:bottom w:w="80" w:type="dxa"/>
              <w:left w:w="120" w:type="dxa"/>
              <w:right w:w="120" w:type="dxa"/>
            </w:tcMar>
            <w:vAlign w:val="center"/>
          </w:tcPr>
          <w:p>
            <w:pPr>
              <w:spacing w:after="20" w:before="20"/>
            </w:pPr>
            <w:r>
              <w:rPr>
                <w:sz w:val="17"/>
              </w:rPr>
              <w:t>0.8462</w:t>
            </w:r>
          </w:p>
        </w:tc>
        <w:tc>
          <w:tcPr>
            <w:tcW w:type="dxa" w:w="1040"/>
            <w:tcMar>
              <w:top w:w="80" w:type="dxa"/>
              <w:bottom w:w="80" w:type="dxa"/>
              <w:left w:w="120" w:type="dxa"/>
              <w:right w:w="120" w:type="dxa"/>
            </w:tcMar>
            <w:vAlign w:val="center"/>
          </w:tcPr>
          <w:p>
            <w:pPr>
              <w:spacing w:after="20" w:before="20"/>
            </w:pPr>
            <w:r>
              <w:rPr>
                <w:sz w:val="17"/>
              </w:rPr>
              <w:t>0.1429</w:t>
            </w:r>
          </w:p>
        </w:tc>
        <w:tc>
          <w:tcPr>
            <w:tcW w:type="dxa" w:w="1040"/>
            <w:tcMar>
              <w:top w:w="80" w:type="dxa"/>
              <w:bottom w:w="80" w:type="dxa"/>
              <w:left w:w="120" w:type="dxa"/>
              <w:right w:w="120" w:type="dxa"/>
            </w:tcMar>
            <w:vAlign w:val="center"/>
          </w:tcPr>
          <w:p>
            <w:pPr>
              <w:spacing w:after="20" w:before="20"/>
            </w:pPr>
            <w:r>
              <w:rPr>
                <w:sz w:val="17"/>
              </w:rPr>
              <w:t>0.0503</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0.0256</w:t>
            </w:r>
          </w:p>
        </w:tc>
        <w:tc>
          <w:tcPr>
            <w:tcW w:type="dxa" w:w="1040"/>
            <w:tcMar>
              <w:top w:w="80" w:type="dxa"/>
              <w:bottom w:w="80" w:type="dxa"/>
              <w:left w:w="120" w:type="dxa"/>
              <w:right w:w="120" w:type="dxa"/>
            </w:tcMar>
            <w:vAlign w:val="center"/>
          </w:tcPr>
          <w:p>
            <w:pPr>
              <w:spacing w:after="20" w:before="20"/>
            </w:pPr>
            <w:r>
              <w:rPr>
                <w:sz w:val="17"/>
              </w:rPr>
              <w:t>Trajectory curvature partially recovers signal</w:t>
            </w:r>
          </w:p>
        </w:tc>
      </w:tr>
      <w:tr>
        <w:trPr>
          <w:cantSplit/>
        </w:trPr>
        <w:tc>
          <w:tcPr>
            <w:tcW w:type="dxa" w:w="1040"/>
            <w:tcMar>
              <w:top w:w="80" w:type="dxa"/>
              <w:bottom w:w="80" w:type="dxa"/>
              <w:left w:w="120" w:type="dxa"/>
              <w:right w:w="120" w:type="dxa"/>
            </w:tcMar>
            <w:vAlign w:val="center"/>
          </w:tcPr>
          <w:p>
            <w:pPr>
              <w:spacing w:after="20" w:before="20"/>
            </w:pPr>
            <w:r>
              <w:rPr>
                <w:sz w:val="17"/>
              </w:rPr>
              <w:t>70</w:t>
            </w:r>
          </w:p>
        </w:tc>
        <w:tc>
          <w:tcPr>
            <w:tcW w:type="dxa" w:w="1040"/>
            <w:tcMar>
              <w:top w:w="80" w:type="dxa"/>
              <w:bottom w:w="80" w:type="dxa"/>
              <w:left w:w="120" w:type="dxa"/>
              <w:right w:w="120" w:type="dxa"/>
            </w:tcMar>
            <w:vAlign w:val="center"/>
          </w:tcPr>
          <w:p>
            <w:pPr>
              <w:spacing w:after="20" w:before="20"/>
            </w:pPr>
            <w:r>
              <w:rPr>
                <w:sz w:val="17"/>
              </w:rPr>
              <w:t>M3 (Peer-Relative)</w:t>
            </w:r>
          </w:p>
        </w:tc>
        <w:tc>
          <w:tcPr>
            <w:tcW w:type="dxa" w:w="1040"/>
            <w:tcMar>
              <w:top w:w="80" w:type="dxa"/>
              <w:bottom w:w="80" w:type="dxa"/>
              <w:left w:w="120" w:type="dxa"/>
              <w:right w:w="120" w:type="dxa"/>
            </w:tcMar>
            <w:vAlign w:val="center"/>
          </w:tcPr>
          <w:p>
            <w:pPr>
              <w:spacing w:after="20" w:before="20"/>
            </w:pPr>
            <w:r>
              <w:rPr>
                <w:sz w:val="17"/>
              </w:rPr>
              <w:t>42</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0.5000</w:t>
            </w:r>
          </w:p>
        </w:tc>
        <w:tc>
          <w:tcPr>
            <w:tcW w:type="dxa" w:w="1040"/>
            <w:tcMar>
              <w:top w:w="80" w:type="dxa"/>
              <w:bottom w:w="80" w:type="dxa"/>
              <w:left w:w="120" w:type="dxa"/>
              <w:right w:w="120" w:type="dxa"/>
            </w:tcMar>
            <w:vAlign w:val="center"/>
          </w:tcPr>
          <w:p>
            <w:pPr>
              <w:spacing w:after="20" w:before="20"/>
            </w:pPr>
            <w:r>
              <w:rPr>
                <w:sz w:val="17"/>
              </w:rPr>
              <w:t>0.0650</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0.0256</w:t>
            </w:r>
          </w:p>
        </w:tc>
        <w:tc>
          <w:tcPr>
            <w:tcW w:type="dxa" w:w="1040"/>
            <w:tcMar>
              <w:top w:w="80" w:type="dxa"/>
              <w:bottom w:w="80" w:type="dxa"/>
              <w:left w:w="120" w:type="dxa"/>
              <w:right w:w="120" w:type="dxa"/>
            </w:tcMar>
            <w:vAlign w:val="center"/>
          </w:tcPr>
          <w:p>
            <w:pPr>
              <w:spacing w:after="20" w:before="20"/>
            </w:pPr>
            <w:r>
              <w:rPr>
                <w:sz w:val="17"/>
              </w:rPr>
              <w:t>Robust generalization (+0.4616 over M1)</w:t>
            </w:r>
          </w:p>
        </w:tc>
      </w:tr>
      <w:tr>
        <w:trPr>
          <w:cantSplit/>
        </w:trPr>
        <w:tc>
          <w:tcPr>
            <w:tcW w:type="dxa" w:w="1040"/>
            <w:tcMar>
              <w:top w:w="80" w:type="dxa"/>
              <w:bottom w:w="80" w:type="dxa"/>
              <w:left w:w="120" w:type="dxa"/>
              <w:right w:w="120" w:type="dxa"/>
            </w:tcMar>
            <w:vAlign w:val="center"/>
          </w:tcPr>
          <w:p>
            <w:pPr>
              <w:spacing w:after="20" w:before="20"/>
            </w:pPr>
            <w:r>
              <w:rPr>
                <w:sz w:val="17"/>
              </w:rPr>
              <w:t>70</w:t>
            </w:r>
          </w:p>
        </w:tc>
        <w:tc>
          <w:tcPr>
            <w:tcW w:type="dxa" w:w="1040"/>
            <w:tcMar>
              <w:top w:w="80" w:type="dxa"/>
              <w:bottom w:w="80" w:type="dxa"/>
              <w:left w:w="120" w:type="dxa"/>
              <w:right w:w="120" w:type="dxa"/>
            </w:tcMar>
            <w:vAlign w:val="center"/>
          </w:tcPr>
          <w:p>
            <w:pPr>
              <w:spacing w:after="20" w:before="20"/>
            </w:pPr>
            <w:r>
              <w:rPr>
                <w:sz w:val="17"/>
              </w:rPr>
              <w:t>M4 (Full System)</w:t>
            </w:r>
          </w:p>
        </w:tc>
        <w:tc>
          <w:tcPr>
            <w:tcW w:type="dxa" w:w="1040"/>
            <w:tcMar>
              <w:top w:w="80" w:type="dxa"/>
              <w:bottom w:w="80" w:type="dxa"/>
              <w:left w:w="120" w:type="dxa"/>
              <w:right w:w="120" w:type="dxa"/>
            </w:tcMar>
            <w:vAlign w:val="center"/>
          </w:tcPr>
          <w:p>
            <w:pPr>
              <w:spacing w:after="20" w:before="20"/>
            </w:pPr>
            <w:r>
              <w:rPr>
                <w:sz w:val="17"/>
              </w:rPr>
              <w:t>46</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0.5000</w:t>
            </w:r>
          </w:p>
        </w:tc>
        <w:tc>
          <w:tcPr>
            <w:tcW w:type="dxa" w:w="1040"/>
            <w:tcMar>
              <w:top w:w="80" w:type="dxa"/>
              <w:bottom w:w="80" w:type="dxa"/>
              <w:left w:w="120" w:type="dxa"/>
              <w:right w:w="120" w:type="dxa"/>
            </w:tcMar>
            <w:vAlign w:val="center"/>
          </w:tcPr>
          <w:p>
            <w:pPr>
              <w:spacing w:after="20" w:before="20"/>
            </w:pPr>
            <w:r>
              <w:rPr>
                <w:sz w:val="17"/>
              </w:rPr>
              <w:t>0.0928</w:t>
            </w:r>
          </w:p>
        </w:tc>
        <w:tc>
          <w:tcPr>
            <w:tcW w:type="dxa" w:w="1040"/>
            <w:tcMar>
              <w:top w:w="80" w:type="dxa"/>
              <w:bottom w:w="80" w:type="dxa"/>
              <w:left w:w="120" w:type="dxa"/>
              <w:right w:w="120" w:type="dxa"/>
            </w:tcMar>
            <w:vAlign w:val="center"/>
          </w:tcPr>
          <w:p>
            <w:pPr>
              <w:spacing w:after="20" w:before="20"/>
            </w:pPr>
            <w:r>
              <w:rPr>
                <w:sz w:val="17"/>
              </w:rPr>
              <w:t>0.9487</w:t>
            </w:r>
          </w:p>
        </w:tc>
        <w:tc>
          <w:tcPr>
            <w:tcW w:type="dxa" w:w="1040"/>
            <w:tcMar>
              <w:top w:w="80" w:type="dxa"/>
              <w:bottom w:w="80" w:type="dxa"/>
              <w:left w:w="120" w:type="dxa"/>
              <w:right w:w="120" w:type="dxa"/>
            </w:tcMar>
            <w:vAlign w:val="center"/>
          </w:tcPr>
          <w:p>
            <w:pPr>
              <w:spacing w:after="20" w:before="20"/>
            </w:pPr>
            <w:r>
              <w:rPr>
                <w:sz w:val="17"/>
              </w:rPr>
              <w:t>0.0513</w:t>
            </w:r>
          </w:p>
        </w:tc>
        <w:tc>
          <w:tcPr>
            <w:tcW w:type="dxa" w:w="1040"/>
            <w:tcMar>
              <w:top w:w="80" w:type="dxa"/>
              <w:bottom w:w="80" w:type="dxa"/>
              <w:left w:w="120" w:type="dxa"/>
              <w:right w:w="120" w:type="dxa"/>
            </w:tcMar>
            <w:vAlign w:val="center"/>
          </w:tcPr>
          <w:p>
            <w:pPr>
              <w:spacing w:after="20" w:before="20"/>
            </w:pPr>
            <w:r>
              <w:rPr>
                <w:sz w:val="17"/>
              </w:rPr>
              <w:t>Maintains 0.9744 AUROC with PMRI gating</w:t>
            </w:r>
          </w:p>
        </w:tc>
      </w:tr>
      <w:tr>
        <w:trPr>
          <w:cantSplit/>
        </w:trPr>
        <w:tc>
          <w:tcPr>
            <w:tcW w:type="dxa" w:w="1040"/>
            <w:tcMar>
              <w:top w:w="80" w:type="dxa"/>
              <w:bottom w:w="80" w:type="dxa"/>
              <w:left w:w="120" w:type="dxa"/>
              <w:right w:w="120" w:type="dxa"/>
            </w:tcMar>
            <w:vAlign w:val="center"/>
          </w:tcPr>
          <w:p>
            <w:pPr>
              <w:spacing w:after="20" w:before="20"/>
            </w:pPr>
            <w:r>
              <w:rPr>
                <w:sz w:val="17"/>
              </w:rPr>
              <w:t>100</w:t>
            </w:r>
          </w:p>
        </w:tc>
        <w:tc>
          <w:tcPr>
            <w:tcW w:type="dxa" w:w="1040"/>
            <w:tcMar>
              <w:top w:w="80" w:type="dxa"/>
              <w:bottom w:w="80" w:type="dxa"/>
              <w:left w:w="120" w:type="dxa"/>
              <w:right w:w="120" w:type="dxa"/>
            </w:tcMar>
            <w:vAlign w:val="center"/>
          </w:tcPr>
          <w:p>
            <w:pPr>
              <w:spacing w:after="20" w:before="20"/>
            </w:pPr>
            <w:r>
              <w:rPr>
                <w:sz w:val="17"/>
              </w:rPr>
              <w:t>M1 (Baseline)</w:t>
            </w:r>
          </w:p>
        </w:tc>
        <w:tc>
          <w:tcPr>
            <w:tcW w:type="dxa" w:w="1040"/>
            <w:tcMar>
              <w:top w:w="80" w:type="dxa"/>
              <w:bottom w:w="80" w:type="dxa"/>
              <w:left w:w="120" w:type="dxa"/>
              <w:right w:w="120" w:type="dxa"/>
            </w:tcMar>
            <w:vAlign w:val="center"/>
          </w:tcPr>
          <w:p>
            <w:pPr>
              <w:spacing w:after="20" w:before="20"/>
            </w:pPr>
            <w:r>
              <w:rPr>
                <w:sz w:val="17"/>
              </w:rPr>
              <w:t>18</w:t>
            </w:r>
          </w:p>
        </w:tc>
        <w:tc>
          <w:tcPr>
            <w:tcW w:type="dxa" w:w="1040"/>
            <w:tcMar>
              <w:top w:w="80" w:type="dxa"/>
              <w:bottom w:w="80" w:type="dxa"/>
              <w:left w:w="120" w:type="dxa"/>
              <w:right w:w="120" w:type="dxa"/>
            </w:tcMar>
            <w:vAlign w:val="center"/>
          </w:tcPr>
          <w:p>
            <w:pPr>
              <w:spacing w:after="20" w:before="20"/>
            </w:pPr>
            <w:r>
              <w:rPr>
                <w:sz w:val="17"/>
              </w:rPr>
              <w:t>0.6667</w:t>
            </w:r>
          </w:p>
        </w:tc>
        <w:tc>
          <w:tcPr>
            <w:tcW w:type="dxa" w:w="1040"/>
            <w:tcMar>
              <w:top w:w="80" w:type="dxa"/>
              <w:bottom w:w="80" w:type="dxa"/>
              <w:left w:w="120" w:type="dxa"/>
              <w:right w:w="120" w:type="dxa"/>
            </w:tcMar>
            <w:vAlign w:val="center"/>
          </w:tcPr>
          <w:p>
            <w:pPr>
              <w:spacing w:after="20" w:before="20"/>
            </w:pPr>
            <w:r>
              <w:rPr>
                <w:sz w:val="17"/>
              </w:rPr>
              <w:t>0.0714</w:t>
            </w:r>
          </w:p>
        </w:tc>
        <w:tc>
          <w:tcPr>
            <w:tcW w:type="dxa" w:w="1040"/>
            <w:tcMar>
              <w:top w:w="80" w:type="dxa"/>
              <w:bottom w:w="80" w:type="dxa"/>
              <w:left w:w="120" w:type="dxa"/>
              <w:right w:w="120" w:type="dxa"/>
            </w:tcMar>
            <w:vAlign w:val="center"/>
          </w:tcPr>
          <w:p>
            <w:pPr>
              <w:spacing w:after="20" w:before="20"/>
            </w:pPr>
            <w:r>
              <w:rPr>
                <w:sz w:val="17"/>
              </w:rPr>
              <w:t>0.1401</w:t>
            </w:r>
          </w:p>
        </w:tc>
        <w:tc>
          <w:tcPr>
            <w:tcW w:type="dxa" w:w="1040"/>
            <w:tcMar>
              <w:top w:w="80" w:type="dxa"/>
              <w:bottom w:w="80" w:type="dxa"/>
              <w:left w:w="120" w:type="dxa"/>
              <w:right w:w="120" w:type="dxa"/>
            </w:tcMar>
            <w:vAlign w:val="center"/>
          </w:tcPr>
          <w:p>
            <w:pPr>
              <w:spacing w:after="20" w:before="20"/>
            </w:pPr>
            <w:r>
              <w:rPr>
                <w:sz w:val="17"/>
              </w:rPr>
              <w:t>0.8462</w:t>
            </w:r>
          </w:p>
        </w:tc>
        <w:tc>
          <w:tcPr>
            <w:tcW w:type="dxa" w:w="1040"/>
            <w:tcMar>
              <w:top w:w="80" w:type="dxa"/>
              <w:bottom w:w="80" w:type="dxa"/>
              <w:left w:w="120" w:type="dxa"/>
              <w:right w:w="120" w:type="dxa"/>
            </w:tcMar>
            <w:vAlign w:val="center"/>
          </w:tcPr>
          <w:p>
            <w:pPr>
              <w:spacing w:after="20" w:before="20"/>
            </w:pPr>
            <w:r>
              <w:rPr>
                <w:sz w:val="17"/>
              </w:rPr>
              <w:t>0.1538</w:t>
            </w:r>
          </w:p>
        </w:tc>
        <w:tc>
          <w:tcPr>
            <w:tcW w:type="dxa" w:w="1040"/>
            <w:tcMar>
              <w:top w:w="80" w:type="dxa"/>
              <w:bottom w:w="80" w:type="dxa"/>
              <w:left w:w="120" w:type="dxa"/>
              <w:right w:w="120" w:type="dxa"/>
            </w:tcMar>
            <w:vAlign w:val="center"/>
          </w:tcPr>
          <w:p>
            <w:pPr>
              <w:spacing w:after="20" w:before="20"/>
            </w:pPr>
            <w:r>
              <w:rPr>
                <w:sz w:val="17"/>
              </w:rPr>
              <w:t>Persistent baseline degradation</w:t>
            </w:r>
          </w:p>
        </w:tc>
      </w:tr>
      <w:tr>
        <w:trPr>
          <w:cantSplit/>
        </w:trPr>
        <w:tc>
          <w:tcPr>
            <w:tcW w:type="dxa" w:w="1040"/>
            <w:tcMar>
              <w:top w:w="80" w:type="dxa"/>
              <w:bottom w:w="80" w:type="dxa"/>
              <w:left w:w="120" w:type="dxa"/>
              <w:right w:w="120" w:type="dxa"/>
            </w:tcMar>
            <w:vAlign w:val="center"/>
          </w:tcPr>
          <w:p>
            <w:pPr>
              <w:spacing w:after="20" w:before="20"/>
            </w:pPr>
            <w:r>
              <w:rPr>
                <w:sz w:val="17"/>
              </w:rPr>
              <w:t>100</w:t>
            </w:r>
          </w:p>
        </w:tc>
        <w:tc>
          <w:tcPr>
            <w:tcW w:type="dxa" w:w="1040"/>
            <w:tcMar>
              <w:top w:w="80" w:type="dxa"/>
              <w:bottom w:w="80" w:type="dxa"/>
              <w:left w:w="120" w:type="dxa"/>
              <w:right w:w="120" w:type="dxa"/>
            </w:tcMar>
            <w:vAlign w:val="center"/>
          </w:tcPr>
          <w:p>
            <w:pPr>
              <w:spacing w:after="20" w:before="20"/>
            </w:pPr>
            <w:r>
              <w:rPr>
                <w:sz w:val="17"/>
              </w:rPr>
              <w:t>M2 (Trajectory)</w:t>
            </w:r>
          </w:p>
        </w:tc>
        <w:tc>
          <w:tcPr>
            <w:tcW w:type="dxa" w:w="1040"/>
            <w:tcMar>
              <w:top w:w="80" w:type="dxa"/>
              <w:bottom w:w="80" w:type="dxa"/>
              <w:left w:w="120" w:type="dxa"/>
              <w:right w:w="120" w:type="dxa"/>
            </w:tcMar>
            <w:vAlign w:val="center"/>
          </w:tcPr>
          <w:p>
            <w:pPr>
              <w:spacing w:after="20" w:before="20"/>
            </w:pPr>
            <w:r>
              <w:rPr>
                <w:sz w:val="17"/>
              </w:rPr>
              <w:t>34</w:t>
            </w:r>
          </w:p>
        </w:tc>
        <w:tc>
          <w:tcPr>
            <w:tcW w:type="dxa" w:w="1040"/>
            <w:tcMar>
              <w:top w:w="80" w:type="dxa"/>
              <w:bottom w:w="80" w:type="dxa"/>
              <w:left w:w="120" w:type="dxa"/>
              <w:right w:w="120" w:type="dxa"/>
            </w:tcMar>
            <w:vAlign w:val="center"/>
          </w:tcPr>
          <w:p>
            <w:pPr>
              <w:spacing w:after="20" w:before="20"/>
            </w:pPr>
            <w:r>
              <w:rPr>
                <w:sz w:val="17"/>
              </w:rPr>
              <w:t>0.9487</w:t>
            </w:r>
          </w:p>
        </w:tc>
        <w:tc>
          <w:tcPr>
            <w:tcW w:type="dxa" w:w="1040"/>
            <w:tcMar>
              <w:top w:w="80" w:type="dxa"/>
              <w:bottom w:w="80" w:type="dxa"/>
              <w:left w:w="120" w:type="dxa"/>
              <w:right w:w="120" w:type="dxa"/>
            </w:tcMar>
            <w:vAlign w:val="center"/>
          </w:tcPr>
          <w:p>
            <w:pPr>
              <w:spacing w:after="20" w:before="20"/>
            </w:pPr>
            <w:r>
              <w:rPr>
                <w:sz w:val="17"/>
              </w:rPr>
              <w:t>0.3333</w:t>
            </w:r>
          </w:p>
        </w:tc>
        <w:tc>
          <w:tcPr>
            <w:tcW w:type="dxa" w:w="1040"/>
            <w:tcMar>
              <w:top w:w="80" w:type="dxa"/>
              <w:bottom w:w="80" w:type="dxa"/>
              <w:left w:w="120" w:type="dxa"/>
              <w:right w:w="120" w:type="dxa"/>
            </w:tcMar>
            <w:vAlign w:val="center"/>
          </w:tcPr>
          <w:p>
            <w:pPr>
              <w:spacing w:after="20" w:before="20"/>
            </w:pPr>
            <w:r>
              <w:rPr>
                <w:sz w:val="17"/>
              </w:rPr>
              <w:t>0.0412</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0.0256</w:t>
            </w:r>
          </w:p>
        </w:tc>
        <w:tc>
          <w:tcPr>
            <w:tcW w:type="dxa" w:w="1040"/>
            <w:tcMar>
              <w:top w:w="80" w:type="dxa"/>
              <w:bottom w:w="80" w:type="dxa"/>
              <w:left w:w="120" w:type="dxa"/>
              <w:right w:w="120" w:type="dxa"/>
            </w:tcMar>
            <w:vAlign w:val="center"/>
          </w:tcPr>
          <w:p>
            <w:pPr>
              <w:spacing w:after="20" w:before="20"/>
            </w:pPr>
            <w:r>
              <w:rPr>
                <w:sz w:val="17"/>
              </w:rPr>
              <w:t>Historical slope stabilizes</w:t>
            </w:r>
          </w:p>
        </w:tc>
      </w:tr>
      <w:tr>
        <w:trPr>
          <w:cantSplit/>
        </w:trPr>
        <w:tc>
          <w:tcPr>
            <w:tcW w:type="dxa" w:w="1040"/>
            <w:tcMar>
              <w:top w:w="80" w:type="dxa"/>
              <w:bottom w:w="80" w:type="dxa"/>
              <w:left w:w="120" w:type="dxa"/>
              <w:right w:w="120" w:type="dxa"/>
            </w:tcMar>
            <w:vAlign w:val="center"/>
          </w:tcPr>
          <w:p>
            <w:pPr>
              <w:spacing w:after="20" w:before="20"/>
            </w:pPr>
            <w:r>
              <w:rPr>
                <w:sz w:val="17"/>
              </w:rPr>
              <w:t>100</w:t>
            </w:r>
          </w:p>
        </w:tc>
        <w:tc>
          <w:tcPr>
            <w:tcW w:type="dxa" w:w="1040"/>
            <w:tcMar>
              <w:top w:w="80" w:type="dxa"/>
              <w:bottom w:w="80" w:type="dxa"/>
              <w:left w:w="120" w:type="dxa"/>
              <w:right w:w="120" w:type="dxa"/>
            </w:tcMar>
            <w:vAlign w:val="center"/>
          </w:tcPr>
          <w:p>
            <w:pPr>
              <w:spacing w:after="20" w:before="20"/>
            </w:pPr>
            <w:r>
              <w:rPr>
                <w:sz w:val="17"/>
              </w:rPr>
              <w:t>M3 (Peer-Relative)</w:t>
            </w:r>
          </w:p>
        </w:tc>
        <w:tc>
          <w:tcPr>
            <w:tcW w:type="dxa" w:w="1040"/>
            <w:tcMar>
              <w:top w:w="80" w:type="dxa"/>
              <w:bottom w:w="80" w:type="dxa"/>
              <w:left w:w="120" w:type="dxa"/>
              <w:right w:w="120" w:type="dxa"/>
            </w:tcMar>
            <w:vAlign w:val="center"/>
          </w:tcPr>
          <w:p>
            <w:pPr>
              <w:spacing w:after="20" w:before="20"/>
            </w:pPr>
            <w:r>
              <w:rPr>
                <w:sz w:val="17"/>
              </w:rPr>
              <w:t>42</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0.5000</w:t>
            </w:r>
          </w:p>
        </w:tc>
        <w:tc>
          <w:tcPr>
            <w:tcW w:type="dxa" w:w="1040"/>
            <w:tcMar>
              <w:top w:w="80" w:type="dxa"/>
              <w:bottom w:w="80" w:type="dxa"/>
              <w:left w:w="120" w:type="dxa"/>
              <w:right w:w="120" w:type="dxa"/>
            </w:tcMar>
            <w:vAlign w:val="center"/>
          </w:tcPr>
          <w:p>
            <w:pPr>
              <w:spacing w:after="20" w:before="20"/>
            </w:pPr>
            <w:r>
              <w:rPr>
                <w:sz w:val="17"/>
              </w:rPr>
              <w:t>0.0425</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0.0256</w:t>
            </w:r>
          </w:p>
        </w:tc>
        <w:tc>
          <w:tcPr>
            <w:tcW w:type="dxa" w:w="1040"/>
            <w:tcMar>
              <w:top w:w="80" w:type="dxa"/>
              <w:bottom w:w="80" w:type="dxa"/>
              <w:left w:w="120" w:type="dxa"/>
              <w:right w:w="120" w:type="dxa"/>
            </w:tcMar>
            <w:vAlign w:val="center"/>
          </w:tcPr>
          <w:p>
            <w:pPr>
              <w:spacing w:after="20" w:before="20"/>
            </w:pPr>
            <w:r>
              <w:rPr>
                <w:sz w:val="17"/>
              </w:rPr>
              <w:t>Optimal domain-invariant discrimination</w:t>
            </w:r>
          </w:p>
        </w:tc>
      </w:tr>
      <w:tr>
        <w:trPr>
          <w:cantSplit/>
        </w:trPr>
        <w:tc>
          <w:tcPr>
            <w:tcW w:type="dxa" w:w="1040"/>
            <w:tcMar>
              <w:top w:w="80" w:type="dxa"/>
              <w:bottom w:w="80" w:type="dxa"/>
              <w:left w:w="120" w:type="dxa"/>
              <w:right w:w="120" w:type="dxa"/>
            </w:tcMar>
            <w:vAlign w:val="center"/>
          </w:tcPr>
          <w:p>
            <w:pPr>
              <w:spacing w:after="20" w:before="20"/>
            </w:pPr>
            <w:r>
              <w:rPr>
                <w:sz w:val="17"/>
              </w:rPr>
              <w:t>100</w:t>
            </w:r>
          </w:p>
        </w:tc>
        <w:tc>
          <w:tcPr>
            <w:tcW w:type="dxa" w:w="1040"/>
            <w:tcMar>
              <w:top w:w="80" w:type="dxa"/>
              <w:bottom w:w="80" w:type="dxa"/>
              <w:left w:w="120" w:type="dxa"/>
              <w:right w:w="120" w:type="dxa"/>
            </w:tcMar>
            <w:vAlign w:val="center"/>
          </w:tcPr>
          <w:p>
            <w:pPr>
              <w:spacing w:after="20" w:before="20"/>
            </w:pPr>
            <w:r>
              <w:rPr>
                <w:sz w:val="17"/>
              </w:rPr>
              <w:t>M4 (Full System)</w:t>
            </w:r>
          </w:p>
        </w:tc>
        <w:tc>
          <w:tcPr>
            <w:tcW w:type="dxa" w:w="1040"/>
            <w:tcMar>
              <w:top w:w="80" w:type="dxa"/>
              <w:bottom w:w="80" w:type="dxa"/>
              <w:left w:w="120" w:type="dxa"/>
              <w:right w:w="120" w:type="dxa"/>
            </w:tcMar>
            <w:vAlign w:val="center"/>
          </w:tcPr>
          <w:p>
            <w:pPr>
              <w:spacing w:after="20" w:before="20"/>
            </w:pPr>
            <w:r>
              <w:rPr>
                <w:sz w:val="17"/>
              </w:rPr>
              <w:t>46</w:t>
            </w:r>
          </w:p>
        </w:tc>
        <w:tc>
          <w:tcPr>
            <w:tcW w:type="dxa" w:w="1040"/>
            <w:tcMar>
              <w:top w:w="80" w:type="dxa"/>
              <w:bottom w:w="80" w:type="dxa"/>
              <w:left w:w="120" w:type="dxa"/>
              <w:right w:w="120" w:type="dxa"/>
            </w:tcMar>
            <w:vAlign w:val="center"/>
          </w:tcPr>
          <w:p>
            <w:pPr>
              <w:spacing w:after="20" w:before="20"/>
            </w:pPr>
            <w:r>
              <w:rPr>
                <w:sz w:val="17"/>
              </w:rPr>
              <w:t>0.9744</w:t>
            </w:r>
          </w:p>
        </w:tc>
        <w:tc>
          <w:tcPr>
            <w:tcW w:type="dxa" w:w="1040"/>
            <w:tcMar>
              <w:top w:w="80" w:type="dxa"/>
              <w:bottom w:w="80" w:type="dxa"/>
              <w:left w:w="120" w:type="dxa"/>
              <w:right w:w="120" w:type="dxa"/>
            </w:tcMar>
            <w:vAlign w:val="center"/>
          </w:tcPr>
          <w:p>
            <w:pPr>
              <w:spacing w:after="20" w:before="20"/>
            </w:pPr>
            <w:r>
              <w:rPr>
                <w:sz w:val="17"/>
              </w:rPr>
              <w:t>0.5000</w:t>
            </w:r>
          </w:p>
        </w:tc>
        <w:tc>
          <w:tcPr>
            <w:tcW w:type="dxa" w:w="1040"/>
            <w:tcMar>
              <w:top w:w="80" w:type="dxa"/>
              <w:bottom w:w="80" w:type="dxa"/>
              <w:left w:w="120" w:type="dxa"/>
              <w:right w:w="120" w:type="dxa"/>
            </w:tcMar>
            <w:vAlign w:val="center"/>
          </w:tcPr>
          <w:p>
            <w:pPr>
              <w:spacing w:after="20" w:before="20"/>
            </w:pPr>
            <w:r>
              <w:rPr>
                <w:sz w:val="17"/>
              </w:rPr>
              <w:t>0.0812</w:t>
            </w:r>
          </w:p>
        </w:tc>
        <w:tc>
          <w:tcPr>
            <w:tcW w:type="dxa" w:w="1040"/>
            <w:tcMar>
              <w:top w:w="80" w:type="dxa"/>
              <w:bottom w:w="80" w:type="dxa"/>
              <w:left w:w="120" w:type="dxa"/>
              <w:right w:w="120" w:type="dxa"/>
            </w:tcMar>
            <w:vAlign w:val="center"/>
          </w:tcPr>
          <w:p>
            <w:pPr>
              <w:spacing w:after="20" w:before="20"/>
            </w:pPr>
            <w:r>
              <w:rPr>
                <w:sz w:val="17"/>
              </w:rPr>
              <w:t>0.9487</w:t>
            </w:r>
          </w:p>
        </w:tc>
        <w:tc>
          <w:tcPr>
            <w:tcW w:type="dxa" w:w="1040"/>
            <w:tcMar>
              <w:top w:w="80" w:type="dxa"/>
              <w:bottom w:w="80" w:type="dxa"/>
              <w:left w:w="120" w:type="dxa"/>
              <w:right w:w="120" w:type="dxa"/>
            </w:tcMar>
            <w:vAlign w:val="center"/>
          </w:tcPr>
          <w:p>
            <w:pPr>
              <w:spacing w:after="20" w:before="20"/>
            </w:pPr>
            <w:r>
              <w:rPr>
                <w:sz w:val="17"/>
              </w:rPr>
              <w:t>0.0513</w:t>
            </w:r>
          </w:p>
        </w:tc>
        <w:tc>
          <w:tcPr>
            <w:tcW w:type="dxa" w:w="1040"/>
            <w:tcMar>
              <w:top w:w="80" w:type="dxa"/>
              <w:bottom w:w="80" w:type="dxa"/>
              <w:left w:w="120" w:type="dxa"/>
              <w:right w:w="120" w:type="dxa"/>
            </w:tcMar>
            <w:vAlign w:val="center"/>
          </w:tcPr>
          <w:p>
            <w:pPr>
              <w:spacing w:after="20" w:before="20"/>
            </w:pPr>
            <w:r>
              <w:rPr>
                <w:sz w:val="17"/>
              </w:rPr>
              <w:t>Optimal domain-invariant discrimination</w:t>
            </w:r>
          </w:p>
        </w:tc>
      </w:tr>
    </w:tbl>
    <w:p>
      <w:pPr>
        <w:jc w:val="center"/>
      </w:pPr>
      <w:r>
        <w:rPr>
          <w:b/>
        </w:rPr>
        <w:t>Table 3: Generalization under Domain Shift on Secondary Test Cohort (N = 40)</w:t>
      </w:r>
    </w:p>
    <w:p>
      <w:pPr>
        <w:spacing w:after="80"/>
      </w:pPr>
      <w:r>
        <w:t>Negative Control Experiment (Randomized Peers): To verify that peer-relative features capture genuine electrochemical alignment rather than mathematical artifacts, an ablation was conducted where peer assignments were randomly scrambled at Cutoff 40. Under scrambled peers, M3 AUROC plunged by -0.0584 (from 0.8723 down to 0.8139) and Brier score error increased by +55.0% (from 0.1015 to 0.1573), proving that physically grounded peer matching is essential.</w:t>
      </w:r>
    </w:p>
    <w:p>
      <w:pPr>
        <w:spacing w:after="80"/>
      </w:pPr>
      <w:r>
        <w:t>PMRI Stratification Analysis: When test cells are stratified by training median PMRI (0.803 at Cutoff 70), High PMRI cells achieve low Brier error (0.0524) and tight probability confidence, whereas Moderate/Low PMRI cells exhibit elevated error (0.0737) and broader dispersion (as illustrated in FIG. 8). PMRI thus functions as an effective confidence and abstention gate.</w:t>
      </w:r>
    </w:p>
    <w:p>
      <w:pPr>
        <w:spacing w:before="180" w:after="60"/>
      </w:pPr>
      <w:r>
        <w:rPr>
          <w:b/>
          <w:color w:val="1E293B"/>
          <w:sz w:val="22"/>
        </w:rPr>
        <w:t>9. Interactive Dashboard and Result Presentation Module (124):</w:t>
      </w:r>
    </w:p>
    <w:p>
      <w:pPr>
        <w:spacing w:after="80"/>
      </w:pPr>
      <w:r>
        <w:t>The interactive dashboard module provides a user-facing visualization and engineering review platform. The architecture is implemented in Python standard library (http.server) with vanilla ES6 JavaScript and Chart.js, requiring zero node_modules or external internet access. It provides instantaneous cold startup (&lt;0.25 s) and in-memory REST API response times (&lt;8 ms).</w:t>
      </w:r>
    </w:p>
    <w:p>
      <w:pPr>
        <w:spacing w:after="80"/>
      </w:pPr>
      <w:r>
        <w:t>The dashboard presents:</w:t>
      </w:r>
    </w:p>
    <w:p>
      <w:pPr>
        <w:pStyle w:val="ListBullet"/>
        <w:spacing w:after="40"/>
      </w:pPr>
      <w:r>
        <w:t>Battery Trajectory Multi-Cutoff View: Dynamic rendering of discharge capacity and internal resistance up to selected cutoff (40, 70, or 100 cycles).</w:t>
      </w:r>
    </w:p>
    <w:p>
      <w:pPr>
        <w:pStyle w:val="ListBullet"/>
        <w:spacing w:after="40"/>
      </w:pPr>
      <w:r>
        <w:t>Model Prediction Showcase: Real-time display of calibrated risk probability, threshold comparison line, and categorical risk badge (ELEVATED RISK vs NOMINAL RISK) across M1–M4.</w:t>
      </w:r>
    </w:p>
    <w:p>
      <w:pPr>
        <w:pStyle w:val="ListBullet"/>
        <w:spacing w:after="40"/>
      </w:pPr>
      <w:r>
        <w:t>Dynamic Peer Trajectory Centroid Overlay: Renders the target cell degradation curve alongside its top-5 matched reference peer curves and an on-the-fly computed point-by-point mean peer centroid curve.</w:t>
      </w:r>
    </w:p>
    <w:p>
      <w:pPr>
        <w:pStyle w:val="ListBullet"/>
        <w:spacing w:after="40"/>
      </w:pPr>
      <w:r>
        <w:t>PMRI Radial Gauge: Displays composite PMRI alongside animated progress bars for S_sim, S_agree, S_avail, and S_comp. If PMRI &lt; 0.50, an amber warning callout advises engineering abstention.</w:t>
      </w:r>
    </w:p>
    <w:p>
      <w:pPr>
        <w:pStyle w:val="ListBullet"/>
        <w:spacing w:after="40"/>
      </w:pPr>
      <w:r>
        <w:t>Research Showcase Panel: Embeds performance benchmarks, formal hypothesis verdicts H1–H4, paired bootstrap difference tables with 95% CIs, and high-resolution publication figures.</w:t>
      </w:r>
    </w:p>
    <w:p>
      <w:pPr>
        <w:spacing w:before="180" w:after="60"/>
      </w:pPr>
      <w:r>
        <w:rPr>
          <w:b/>
          <w:color w:val="1E293B"/>
          <w:sz w:val="22"/>
        </w:rPr>
        <w:t>10. Illustrative Working Embodiment:</w:t>
      </w:r>
    </w:p>
    <w:p>
      <w:pPr>
        <w:spacing w:after="80"/>
      </w:pPr>
      <w:r>
        <w:t>To demonstrate the operational execution of the invention, consider real benchmark cell b1c0 from the primary test partition evaluated at observation cutoff N_obs = 70 cycles:</w:t>
      </w:r>
    </w:p>
    <w:p>
      <w:pPr>
        <w:pStyle w:val="ListBullet"/>
        <w:spacing w:after="40"/>
      </w:pPr>
      <w:r>
        <w:t>Target Cell Input: Cell b1c0 operates under fast-charging policy 3.6C(80%)-3.6C. At Cycle 2, baseline discharge capacity Q_d(2) = 1.071 Ah, internal resistance IR(2) = 0.0165 Ohm, average temperature T_avg(2) = 29.8 deg C. At Cutoff 70, snapshot capacity Q_d(70) = 1.078 Ah and IR(70) = 0.0168 Ohm.</w:t>
      </w:r>
    </w:p>
    <w:p>
      <w:pPr>
        <w:pStyle w:val="ListBullet"/>
        <w:spacing w:after="40"/>
      </w:pPr>
      <w:r>
        <w:t>Peer Matching Execution: Standardizing the 7 matching features against training pool statistics, the system queries the 41 training cells (excluding b1c0). The top-5 nearest peers selected are: b1c1 (distance 0.324 under identical protocol), b1c5 (0.412), b1c17 (0.589), b2c29 (0.781), and b1c3 (0.865). Mean peer distance d_bar = 0.614.</w:t>
      </w:r>
    </w:p>
    <w:p>
      <w:pPr>
        <w:pStyle w:val="ListBullet"/>
        <w:spacing w:after="40"/>
      </w:pPr>
      <w:r>
        <w:t>PMRI Calculation: Peer similarity S_sim = exp(-0.614 / 2.0) = 0.736. Peer slope dispersion sigma_slope = 2.1e-5 Ah/cycle, yielding S_agree = exp(-2.1e-5 / 5e-5) = 0.657. Availability S_avail = 5/5 = 1.0. Completeness S_comp = 7/7 = 1.0. Composite PMRI = 0.35(0.736) + 0.30(0.657) + 0.20(1.0) + 0.15(1.0) = 0.825. Warning status: NONE (High reliability).</w:t>
      </w:r>
    </w:p>
    <w:p>
      <w:pPr>
        <w:pStyle w:val="ListBullet"/>
        <w:spacing w:after="40"/>
      </w:pPr>
      <w:r>
        <w:t>Peer-Relative Deviations: At Cycle 70, peer median discharge capacity is 1.071 Ah. Relative capacity deviation Delta Q_rel = +0.007 Ah, indicating that b1c0 retains higher capacity than its peer median.</w:t>
      </w:r>
    </w:p>
    <w:p>
      <w:pPr>
        <w:pStyle w:val="ListBullet"/>
        <w:spacing w:after="40"/>
      </w:pPr>
      <w:r>
        <w:t>Calibrated Risk Screening: Evaluated by M4, the calibrated failure probability within 500 cycles is 0.128, which falls below optimal decision threshold tau = 0.34. The system assigns a NOMINAL RISK rating. Ground-truth follow-up confirms cell b1c0 achieved a cycle life of 1,190 cycles, validating the nominal risk assessment.</w:t>
      </w:r>
    </w:p>
    <w:p>
      <w:pPr>
        <w:spacing w:before="180" w:after="60"/>
      </w:pPr>
      <w:r>
        <w:rPr>
          <w:b/>
          <w:color w:val="1E293B"/>
          <w:sz w:val="22"/>
        </w:rPr>
        <w:t>11. Security, Data Integrity and Anti-Leakage Rules:</w:t>
      </w:r>
    </w:p>
    <w:p>
      <w:pPr>
        <w:spacing w:after="80"/>
      </w:pPr>
      <w:r>
        <w:t>The implementation adheres to strict anti-leakage safeguards verified by automated test suites:</w:t>
      </w:r>
    </w:p>
    <w:p>
      <w:pPr>
        <w:pStyle w:val="ListBullet"/>
        <w:spacing w:after="40"/>
      </w:pPr>
      <w:r>
        <w:t>Partition Disjointness: Partitions (Train, Primary Test, Secondary Test) are strictly disjoint at the battery cell level (Rule 2).</w:t>
      </w:r>
    </w:p>
    <w:p>
      <w:pPr>
        <w:pStyle w:val="ListBullet"/>
        <w:spacing w:after="40"/>
      </w:pPr>
      <w:r>
        <w:t>Training Scaler Isolation: StandardScaler and Platt calibration models are fit exclusively on training cells (Rule 3 &amp; 7).</w:t>
      </w:r>
    </w:p>
    <w:p>
      <w:pPr>
        <w:pStyle w:val="ListBullet"/>
        <w:spacing w:after="40"/>
      </w:pPr>
      <w:r>
        <w:t>Test Outcome Sequestering: Zero target, EOL, RUL, or future-cycle keywords are accessible during feature extraction or peer matching (Rule 1 &amp; 6).</w:t>
      </w:r>
    </w:p>
    <w:p>
      <w:pPr>
        <w:pStyle w:val="ListBullet"/>
        <w:spacing w:after="40"/>
      </w:pPr>
      <w:r>
        <w:t>Self-Match Prohibition: A battery cell is strictly prevented from matching itself as a reference peer (Rule 1).</w:t>
      </w:r>
    </w:p>
    <w:p>
      <w:pPr>
        <w:pStyle w:val="ListBullet"/>
        <w:spacing w:after="40"/>
      </w:pPr>
      <w:r>
        <w:t>Temporal Window Boundary: Features use observations strictly in [2, N_obs]; post-cutoff data is discarded (Rule 4).</w:t>
      </w:r>
    </w:p>
    <w:p>
      <w:pPr>
        <w:spacing w:before="180" w:after="60"/>
      </w:pPr>
      <w:r>
        <w:rPr>
          <w:b/>
          <w:color w:val="1E293B"/>
          <w:sz w:val="22"/>
        </w:rPr>
        <w:t>12. Advantages of the Invention:</w:t>
      </w:r>
    </w:p>
    <w:p>
      <w:pPr>
        <w:spacing w:after="80"/>
      </w:pPr>
      <w:r>
        <w:t>The disclosed invention provides major technical advantages over conventional single-cell and absolute-feature battery screening systems:</w:t>
      </w:r>
    </w:p>
    <w:p>
      <w:pPr>
        <w:pStyle w:val="ListBullet"/>
        <w:spacing w:after="40"/>
      </w:pPr>
      <w:r>
        <w:t>Domain-Shift Invariance: Peer-relative trajectory features absorb protocol-specific stress regimes, maintaining high predictive performance (&gt; 0.90 AUROC) across severe charging policy shifts where conventional models suffer complete breakdown.</w:t>
      </w:r>
    </w:p>
    <w:p>
      <w:pPr>
        <w:pStyle w:val="ListBullet"/>
        <w:spacing w:after="40"/>
      </w:pPr>
      <w:r>
        <w:t>Explicit Reliability Gating: The PMRI metric provides an independent, mathematically grounded measure of peer cohort suitability, preventing overconfident automated misclassifications on atypical batteries.</w:t>
      </w:r>
    </w:p>
    <w:p>
      <w:pPr>
        <w:pStyle w:val="ListBullet"/>
        <w:spacing w:after="40"/>
      </w:pPr>
      <w:r>
        <w:t>Actionable Early-Life Screening: Achieves strong discrimination as early as Cycle 40 (~4% of operational life) and reaches optimal predictive accuracy at Cycle 70.</w:t>
      </w:r>
    </w:p>
    <w:p>
      <w:pPr>
        <w:pStyle w:val="ListBullet"/>
        <w:spacing w:after="40"/>
      </w:pPr>
      <w:r>
        <w:t>Transparent and Interpretable Trajectory Overlay: Dynamic rendering of target and peer trajectories alongside the peer centroid curve enables engineering review rather than opaque black-box scoring.</w:t>
      </w:r>
    </w:p>
    <w:p>
      <w:pPr>
        <w:spacing w:before="180" w:after="60"/>
      </w:pPr>
      <w:r>
        <w:rPr>
          <w:b/>
          <w:color w:val="1E293B"/>
          <w:sz w:val="22"/>
        </w:rPr>
        <w:t>13. Alternative Embodiments:</w:t>
      </w:r>
    </w:p>
    <w:p>
      <w:pPr>
        <w:spacing w:after="80"/>
      </w:pPr>
      <w:r>
        <w:t>While described with primary reference to commercial 1.1 Ah LFP cylindrical cells, the underlying peer-relative and PMRI architecture is directly adaptable to other cell chemistries (nickel-manganese-cobalt NMC, nickel-cobalt-aluminum NCA, lithium titanate LTO) and form factors (prismatic, pouch), provided that reference cycling libraries are available. In alternative embodiments, the observation cutoffs, peer cohort size k, feature weights, and horizon lengths (e.g., 300 cycles) may be configured based on application requirements. Continuous RUL regression or hardware-in-the-loop real-time telemetry streaming represent further alternative embodiments.</w:t>
      </w:r>
    </w:p>
    <w:p>
      <w:pPr>
        <w:spacing w:before="180" w:after="60"/>
      </w:pPr>
      <w:r>
        <w:rPr>
          <w:b/>
          <w:color w:val="1E293B"/>
          <w:sz w:val="22"/>
        </w:rPr>
        <w:t>14. Industrial Applicability:</w:t>
      </w:r>
    </w:p>
    <w:p>
      <w:pPr>
        <w:spacing w:after="80"/>
      </w:pPr>
      <w:r>
        <w:t>The invention is directly applicable to electric vehicle battery manufacturing quality assurance, automated cell sorting lines, grid battery health management, predictive warranty management, and second-life battery grading. By identifying premature EOL risk within the first 40 to 70 operational cycles, the invention enables defective cells to be isolated before pack integration, significantly improving safety and operational reliability.</w:t>
      </w:r>
    </w:p>
    <w:p>
      <w:pPr>
        <w:spacing w:before="280" w:after="80"/>
      </w:pPr>
      <w:r>
        <w:rPr>
          <w:b/>
          <w:color w:val="0F172A"/>
          <w:sz w:val="24"/>
        </w:rPr>
        <w:t>CLAIMS</w:t>
      </w:r>
    </w:p>
    <w:p>
      <w:pPr>
        <w:spacing w:after="80"/>
      </w:pPr>
      <w:r>
        <w:t>We claim:</w:t>
      </w:r>
    </w:p>
    <w:p>
      <w:pPr>
        <w:spacing w:after="160"/>
      </w:pPr>
      <w:r>
        <w:t>1. A reliability-aware early end-of-life screening and degradation monitoring system for lithium-ion battery cells, the system comprising:</w:t>
        <w:br/>
        <w:t>- a battery sensor interface coupled to at least one physical sensor configured to measure physical operating parameters of a target lithium-ion battery cell, the measured parameters including cell terminal voltage, charge current, discharge current, surface temperature, and cycle indices across an early-life observation window bounded by a predefined observation cutoff cycle N_obs;</w:t>
        <w:br/>
        <w:t>- a memory storing a reference pool of cycling degradation profiles associated with a plurality of historical reference battery cells, wherein the reference pool is restricted exclusively to designated training cells;</w:t>
        <w:br/>
        <w:t>- one or more hardware processors configured to execute:</w:t>
        <w:br/>
        <w:t xml:space="preserve">  - an initial feature extraction module that derives an initial operating vector from physical measurements at an early cycle, the vector comprising fast-charging current rates, state-of-charge switch thresholds, baseline discharge capacity, and baseline internal resistance;</w:t>
        <w:br/>
        <w:t xml:space="preserve">  - an observation-cutoff feature extraction module that extracts snapshot features at the cutoff cycle N_obs, individual degradation trajectory slope features, and differential discharge voltage curve variance statistics over cycles preceding N_obs;</w:t>
        <w:br/>
        <w:t xml:space="preserve">  - a peer-matching module configured to standardize the initial operating vector using statistics derived exclusively from the training reference pool, compute a standardized weighted Euclidean distance between the target cell and eligible reference cells in the reference pool while excluding the target cell from its own candidate set, rank the candidate cells in order of increasing distance, and select a peer cohort of k nearest reference cells satisfying a minimum availability threshold k_min &gt;= 3;</w:t>
        <w:br/>
        <w:t xml:space="preserve">  - a peer-relative degradation analysis module configured to calculate a set of peer-relative features representing deviations between the target cell's degradation trajectory and corresponding degradation trajectories of the selected peer cohort over an aligned observation interval [2, N_obs];</w:t>
        <w:br/>
        <w:t xml:space="preserve">  - a Peer-Match Reliability Index (PMRI) module configured to calculate a composite reliability score PMRI in [0.0, 1.0] quantifying reference peer match suitability as a weighted sum of an exponential distance-decay peer similarity score, an exponential slope-dispersion-decay peer trajectory agreement score, a peer availability score, and a feature completeness score; and</w:t>
        <w:br/>
        <w:t xml:space="preserve">  - an end-of-life risk screening classifier configured to process an input feature representation comprising the initial features, the snapshot features, the individual degradation trajectory features, and the peer-relative features to generate a calibrated probability that the target battery cell will reach an end-of-life capacity threshold within a predetermined future cycle horizon of 500 cycles following the observation cutoff cycle N_obs; and</w:t>
        <w:br/>
        <w:t>- a controller output interface configured to issue a battery classification signal when the composite reliability score PMRI is equal to or greater than a predefined reliability threshold of 0.50, and to issue a peer-match advisory warning signal advising engineering review and decision abstention when the composite reliability score PMRI is less than 0.50.</w:t>
      </w:r>
    </w:p>
    <w:p>
      <w:pPr>
        <w:spacing w:after="160"/>
      </w:pPr>
      <w:r>
        <w:t>2. The system as claimed in claim 1, wherein the initial operating vector evaluated by the peer-matching module consists of seven matching features:</w:t>
        <w:br/>
        <w:t>(i) a first-stage fast-charging current rate (C1), assigned a normalized distance weight of 0.20;</w:t>
        <w:br/>
        <w:t>(ii) a state-of-charge switch threshold percentage (SOC), assigned a normalized distance weight of 0.15;</w:t>
        <w:br/>
        <w:t>(iii) a second-stage fast-charging current rate (C2), assigned a normalized distance weight of 0.15;</w:t>
        <w:br/>
        <w:t>(iv) baseline discharge capacity measured at Cycle 2 (Q_d(2)), assigned a normalized distance weight of 0.15;</w:t>
        <w:br/>
        <w:t>(v) baseline internal resistance measured at Cycle 2 (IR(2)), assigned a normalized distance weight of 0.15;</w:t>
        <w:br/>
        <w:t>(vi) baseline average surface temperature measured at Cycle 2 (T_avg(2)), assigned a normalized distance weight of 0.10; and</w:t>
        <w:br/>
        <w:t>(vii) snapshot internal resistance measured at the observation cutoff cycle N_obs (IR(N_obs)), assigned a normalized distance weight of 0.10;</w:t>
        <w:br/>
        <w:t>wherein the sum of the normalized distance weights is exactly 1.00, and wherein standardization parameters comprising feature means and standard deviations are fitted exclusively on the designated training reference pool cells at the respective observation cutoff cycle.</w:t>
      </w:r>
    </w:p>
    <w:p>
      <w:pPr>
        <w:spacing w:after="160"/>
      </w:pPr>
      <w:r>
        <w:t>3. The system as claimed in claim 1, wherein the peer-relative degradation analysis module derives eight peer-relative features comprising:</w:t>
        <w:br/>
        <w:t>(i) relative capacity deviation, computed as the difference between target cell cutoff discharge capacity and median cutoff discharge capacity of the selected peer cohort;</w:t>
        <w:br/>
        <w:t>(ii) relative slope deviation, computed as the difference between target cell linear capacity degradation slope and median linear capacity degradation slope of the selected peer cohort over cycles 2 to N_obs;</w:t>
        <w:br/>
        <w:t>(iii) relative capacity ratio, computed as the ratio of target cell cutoff discharge capacity to median cutoff discharge capacity of the selected peer cohort;</w:t>
        <w:br/>
        <w:t>(iv) relative fade deviation, computed as the difference between target cell total capacity fade and median total capacity fade of the selected peer cohort from Cycle 2 to N_obs;</w:t>
        <w:br/>
        <w:t>(v) relative internal resistance deviation, computed as the difference between target cell cutoff internal resistance and median cutoff internal resistance of the selected peer cohort;</w:t>
        <w:br/>
        <w:t>(vi) peer trajectory dispersion, computed as the standard deviation of cutoff discharge capacities across the selected peer cohort;</w:t>
        <w:br/>
        <w:t>(vii) peer slope dispersion, computed as the standard deviation of linear capacity degradation slopes across the selected peer cohort; and</w:t>
        <w:br/>
        <w:t>(viii) relative capacity z-score, computed as the difference between target cell cutoff capacity and peer mean capacity divided by the sum of peer trajectory dispersion and an epsilon regularizer of 1e-6.</w:t>
      </w:r>
    </w:p>
    <w:p>
      <w:pPr>
        <w:spacing w:after="160"/>
      </w:pPr>
      <w:r>
        <w:t>4. The system as claimed in claim 1, wherein the Peer-Match Reliability Index (PMRI) module computes the composite reliability score according to:</w:t>
        <w:br/>
        <w:t>PMRI = 0.35 * S_similarity + 0.30 * S_agreement + 0.20 * S_availability + 0.15 * S_completeness</w:t>
        <w:br/>
        <w:t>wherein:</w:t>
        <w:br/>
        <w:t>- S_similarity = exp(-d_bar / d0), where d_bar is the mean standardized weighted Euclidean distance to the selected peers and d0 = 2.0 is a characteristic distance scale parameter;</w:t>
        <w:br/>
        <w:t>- S_agreement = exp(-sigma_slope / sigma0), where sigma_slope is the standard deviation of degradation slopes among the selected peers and sigma0 = 5e-5 Ah/cycle is a characteristic slope dispersion scale parameter;</w:t>
        <w:br/>
        <w:t>- S_availability = min(1.0, k / 5) when k &gt;= 3, and S_availability = 0.0 when k &lt; 3; and</w:t>
        <w:br/>
        <w:t>- S_completeness is the ratio of valid non-missing matching features to the total count of seven matching features;</w:t>
        <w:br/>
        <w:t>and wherein the controller output interface generates diagnostic warning flags upon occurrence of any condition selected from: matched peer count k &lt; 5; mean peer distance d_bar &gt; 2.0; peer slope dispersion sigma_slope &gt; 1.0e-4 Ah/cycle; and PMRI &lt; 0.50.</w:t>
      </w:r>
    </w:p>
    <w:p>
      <w:pPr>
        <w:spacing w:after="160"/>
      </w:pPr>
      <w:r>
        <w:t>5. The system as claimed in claim 1, wherein the end-of-life risk screening classifier supports four progressive feature configurations comprising:</w:t>
        <w:br/>
        <w:t>- a condition baseline configuration (M1) utilizing 18 features consisting of 11 initial condition features and 7 snapshot features;</w:t>
        <w:br/>
        <w:t>- an individual trajectory configuration (M2) utilizing 34 features consisting of the 18 M1 features, 11 individual trajectory features, and 5 differential discharge voltage curve variance statistics;</w:t>
        <w:br/>
        <w:t>- a peer-relative configuration (M3) utilizing 42 features consisting of the 34 M2 features and the 8 peer-relative features; and</w:t>
        <w:br/>
        <w:t>- a confidence-aware configuration (M4) utilizing 46 features consisting of the 42 M3 features and 4 peer-reliability features comprising the composite PMRI score, the peer similarity score, the peer agreement score, and the mean peer distance;</w:t>
        <w:br/>
        <w:t>wherein the peer-relative configuration (M3) and confidence-aware configuration (M4) provide invariant predictive performance across charging protocol distribution shifts where the condition baseline configuration (M1) degrades.</w:t>
      </w:r>
    </w:p>
    <w:p>
      <w:pPr>
        <w:spacing w:after="160"/>
      </w:pPr>
      <w:r>
        <w:t>6. The system as claimed in claim 1, wherein the end-of-life risk screening classifier comprises:</w:t>
        <w:br/>
        <w:t>- a standard scaler fitted exclusively on training-partition feature vectors;</w:t>
        <w:br/>
        <w:t>- an L2-regularized logistic regression estimator with balanced class weighting;</w:t>
        <w:br/>
        <w:t>- an optimal classification decision threshold tau selected to maximize Youden's J statistic strictly on 5-fold out-of-fold training cross-validation predictions; and</w:t>
        <w:br/>
        <w:t>- a univariate Platt scaling probability calibrator fitted on logits of the out-of-fold training cross-validation predictions to output calibrated probabilities bounded in [0.0, 1.0].</w:t>
      </w:r>
    </w:p>
    <w:p>
      <w:pPr>
        <w:spacing w:after="160"/>
      </w:pPr>
      <w:r>
        <w:t>7. The system as claimed in claim 1, wherein the predefined observation cutoff cycle N_obs is selected from 40 cycles, 70 cycles, or 100 cycles, and wherein the end-of-life capacity threshold is defined as discharge capacity degrading to 80% of nominal cell capacity, corresponding to 0.88 Ah for a 1.1 Ah nominal lithium-iron-phosphate battery cell.</w:t>
      </w:r>
    </w:p>
    <w:p>
      <w:pPr>
        <w:spacing w:after="160"/>
      </w:pPr>
      <w:r>
        <w:t>8. The system as claimed in claim 1, further comprising a visualization module configured to dynamically compute a point-by-point mean peer centroid trajectory across aligned cycles [2, N_obs] from the selected peer cohort, and to render an interactive graphical display simultaneously overlaying:</w:t>
        <w:br/>
        <w:t>(i) the observed discharge capacity trajectory of the target battery cell;</w:t>
        <w:br/>
        <w:t>(ii) individual discharge capacity trajectories of the k matched reference peer cells;</w:t>
        <w:br/>
        <w:t>(iii) the computed mean peer centroid trajectory;</w:t>
        <w:br/>
        <w:t>(iv) a calibrated risk probability and categorical risk badge; and</w:t>
        <w:br/>
        <w:t>(v) a radial gauge displaying the composite PMRI score alongside decomposed progress bars for the four sub-component scores.</w:t>
      </w:r>
    </w:p>
    <w:p>
      <w:pPr>
        <w:spacing w:after="160"/>
      </w:pPr>
      <w:r>
        <w:t>9. A computer-implemented method for early end-of-life risk screening and operational monitoring of lithium-ion battery cells, the method comprising:</w:t>
        <w:br/>
        <w:t>(a) receiving, via a hardware interface, cycle-indexed electrochemical measurements of a target lithium-ion battery cell from physical voltage, current, and temperature sensors up to an observation cutoff cycle N_obs selected from 40, 70, or 100 cycles;</w:t>
        <w:br/>
        <w:t>(b) extracting an initial operating vector representing charging protocol parameters and Cycle 2 baseline health, and extracting cutoff snapshot features, degradation trajectory slopes, and differential discharge voltage curve variance statistics over cycles up to N_obs;</w:t>
        <w:br/>
        <w:t>(c) standardizing the initial operating vector using scaling statistics fitted strictly on a sequestered training reference pool of historical battery cells;</w:t>
        <w:br/>
        <w:t>(d) executing a weighted Euclidean distance calculation between the target cell and reference cells in the reference pool, excluding the target cell from its own candidate pool, and selecting k nearest peer reference cells satisfying a minimum availability count k_min &gt;= 3;</w:t>
        <w:br/>
        <w:t>(e) computing eight peer-relative degradation features comparing the target cell against median and dispersion statistics of the selected peer reference cells across an aligned early observation interval [2, N_obs];</w:t>
        <w:br/>
        <w:t>(f) evaluating a Peer-Match Reliability Index (PMRI) combining exponential decay peer similarity, exponential decay peer slope agreement, peer availability, and feature completeness into a composite metric bounded in [0.0, 1.0];</w:t>
        <w:br/>
        <w:t>(g) supplying the extracted features to a trained and calibrated classification model to estimate a calibrated probability of the target cell reaching an 80% nominal capacity end-of-life threshold within 500 cycles following the observation cutoff cycle N_obs; and</w:t>
        <w:br/>
        <w:t>(h) generating a physical screening signal, wherein:</w:t>
        <w:br/>
        <w:t xml:space="preserve">  - when the PMRI score is equal to or greater than 0.50, the signal indicates an automated screening risk category for cell sorting or operational scheduling; and</w:t>
        <w:br/>
        <w:t xml:space="preserve">  - when the PMRI score is less than 0.50, the signal issues an automated advisory alert indicating unverified peer matching and prompting engineering review or decision abstention.</w:t>
      </w:r>
    </w:p>
    <w:p>
      <w:pPr>
        <w:spacing w:after="160"/>
      </w:pPr>
      <w:r>
        <w:t>10. The method as claimed in claim 9, wherein training data partitions, primary test data partitions, and secondary test data partitions are maintained strictly disjoint at the battery cell level, and wherein held-out test battery cells are strictly excluded from fitting standardization scalers, selecting decision thresholds, fitting probability calibrators, and populating reference peer candidate pools.</w:t>
      </w:r>
    </w:p>
    <w:p>
      <w:pPr>
        <w:spacing w:after="160"/>
      </w:pPr>
      <w:r>
        <w:t>11. The method as claimed in claim 9, wherein the target lithium-ion battery cell operates under a fast-charging protocol or structural packaging configuration exhibiting distribution shift relative to the reference pool, and wherein the computation of peer-relative degradation features normalizes the distribution shift, maintaining discriminative screening performance above 0.90 AUROC under conditions where un-normalized baseline models suffer performance degradation.</w:t>
      </w:r>
    </w:p>
    <w:p>
      <w:pPr>
        <w:spacing w:after="160"/>
      </w:pPr>
      <w:r>
        <w:t>12. The method as claimed in claim 9, wherein the generated physical screening signal is transmitted to a battery management system (BMS) or test-bench automation controller to automatically execute an action selected from: derating a maximum allowable charging current rate; triggering cell balancing; isolating the target cell from a battery pack; and logging an early-life warranty risk flag.</w:t>
      </w:r>
    </w:p>
    <w:p>
      <w:pPr>
        <w:spacing w:before="280" w:after="80"/>
      </w:pPr>
      <w:r>
        <w:rPr>
          <w:b/>
          <w:color w:val="0F172A"/>
          <w:sz w:val="24"/>
        </w:rPr>
        <w:t>ABSTRACT</w:t>
      </w:r>
    </w:p>
    <w:p>
      <w:pPr>
        <w:spacing w:after="80"/>
      </w:pPr>
      <w:r>
        <w:t>A reliability-aware computer-implemented system and method for early end-of-life (EOL) risk screening of lithium-ion battery cells is disclosed. The system receives physical cycle-level measurements (voltage, current, temperature) from an electrochemical cell and extracts initial-condition, snapshot, individual trajectory slope, and differential voltage curve variance features up to a predefined observation cutoff cycle (40, 70, or 100 cycles). A peer-matching module standardizes seven matching features using statistics fitted exclusively on a sequestered training reference pool, and selects up to five nearest reference cells using weighted Euclidean distance prioritizing charging protocol parameters and baseline impedance, while strictly excluding the target cell from its own reference set. A peer-relative degradation module derives eight relative features capturing capacity, slope, fade, and impedance deviations from peer medians across aligned early cycles [2, N_obs]. A Peer-Match Reliability Index (PMRI) module computes a composite metric bounded in [0.0, 1.0] combining exponential decay peer similarity, exponential decay peer slope agreement, peer availability, and feature completeness. A standardized L2-regularized logistic regression classifier with Platt probability calibration estimates the risk of reaching an 80% nominal capacity EOL threshold within 500 cycles following the cutoff. Peer-relative features provide critical domain-shift invariance, maintaining AUROC of 0.9744 across charging policy shifts where baseline models collapse to 0.5128. An interactive dashboard dynamically overlays target and peer trajectories with a mean peer centroid curve and presents a PMRI confidence gauge. When PMRI falls below 0.50, the system triggers an advisory alert advising engineering review or decision abstention, preventing overconfident misclassifications.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