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0F652" w14:textId="58AFB90D" w:rsidR="00630627" w:rsidRDefault="00200E02" w:rsidP="00200E02">
      <w:pPr>
        <w:pStyle w:val="Title"/>
        <w:jc w:val="center"/>
      </w:pPr>
      <w:r>
        <w:t>New Banking Regulations 2025 -2030</w:t>
      </w:r>
    </w:p>
    <w:p w14:paraId="538AABC4" w14:textId="77777777" w:rsidR="00200E02" w:rsidRDefault="00200E02" w:rsidP="00200E02"/>
    <w:p w14:paraId="53033AA1" w14:textId="0465D703" w:rsidR="00200E02" w:rsidRPr="00200E02" w:rsidRDefault="00200E02" w:rsidP="00200E02">
      <w:r w:rsidRPr="00200E02">
        <w:t xml:space="preserve">Below is </w:t>
      </w:r>
      <w:r>
        <w:t>a</w:t>
      </w:r>
      <w:r w:rsidRPr="00200E02">
        <w:t xml:space="preserve"> set of key banking</w:t>
      </w:r>
      <w:r w:rsidRPr="00200E02">
        <w:rPr>
          <w:rFonts w:ascii="Cambria Math" w:hAnsi="Cambria Math" w:cs="Cambria Math"/>
        </w:rPr>
        <w:t>‐</w:t>
      </w:r>
      <w:r w:rsidRPr="00200E02">
        <w:t>industry regulations (plus related data/security/sustainability laws) that must be in place by 2030, listing their jurisdictions, scopes, and firm implementation deadlines: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2"/>
        <w:gridCol w:w="1079"/>
        <w:gridCol w:w="4305"/>
        <w:gridCol w:w="1934"/>
      </w:tblGrid>
      <w:tr w:rsidR="00200E02" w:rsidRPr="00200E02" w14:paraId="3757A667" w14:textId="77777777" w:rsidTr="00200E02">
        <w:trPr>
          <w:tblHeader/>
          <w:tblCellSpacing w:w="15" w:type="dxa"/>
        </w:trPr>
        <w:tc>
          <w:tcPr>
            <w:tcW w:w="1987" w:type="dxa"/>
            <w:vAlign w:val="center"/>
            <w:hideMark/>
          </w:tcPr>
          <w:p w14:paraId="3DED23B5" w14:textId="77777777" w:rsidR="00200E02" w:rsidRPr="00200E02" w:rsidRDefault="00200E02" w:rsidP="00200E02">
            <w:pPr>
              <w:rPr>
                <w:b/>
                <w:bCs/>
              </w:rPr>
            </w:pPr>
            <w:r w:rsidRPr="00200E02">
              <w:rPr>
                <w:b/>
                <w:bCs/>
              </w:rPr>
              <w:t>Regulation &amp; Scope</w:t>
            </w:r>
          </w:p>
        </w:tc>
        <w:tc>
          <w:tcPr>
            <w:tcW w:w="1019" w:type="dxa"/>
            <w:vAlign w:val="center"/>
            <w:hideMark/>
          </w:tcPr>
          <w:p w14:paraId="4D7F9BD6" w14:textId="78A95511" w:rsidR="00200E02" w:rsidRPr="00200E02" w:rsidRDefault="00200E02" w:rsidP="00200E02">
            <w:pPr>
              <w:rPr>
                <w:b/>
                <w:bCs/>
              </w:rPr>
            </w:pPr>
            <w:r w:rsidRPr="00200E02">
              <w:rPr>
                <w:b/>
                <w:bCs/>
              </w:rPr>
              <w:t>Juris</w:t>
            </w:r>
            <w:r>
              <w:rPr>
                <w:b/>
                <w:bCs/>
              </w:rPr>
              <w:t xml:space="preserve"> -</w:t>
            </w:r>
            <w:r w:rsidRPr="00200E02">
              <w:rPr>
                <w:b/>
                <w:bCs/>
              </w:rPr>
              <w:t>diction</w:t>
            </w:r>
          </w:p>
        </w:tc>
        <w:tc>
          <w:tcPr>
            <w:tcW w:w="0" w:type="auto"/>
            <w:vAlign w:val="center"/>
            <w:hideMark/>
          </w:tcPr>
          <w:p w14:paraId="338A4CB7" w14:textId="77777777" w:rsidR="00200E02" w:rsidRPr="00200E02" w:rsidRDefault="00200E02" w:rsidP="00200E02">
            <w:pPr>
              <w:rPr>
                <w:b/>
                <w:bCs/>
              </w:rPr>
            </w:pPr>
            <w:r w:rsidRPr="00200E02">
              <w:rPr>
                <w:b/>
                <w:bCs/>
              </w:rPr>
              <w:t>Description &amp; Key Requirements</w:t>
            </w:r>
          </w:p>
        </w:tc>
        <w:tc>
          <w:tcPr>
            <w:tcW w:w="0" w:type="auto"/>
            <w:vAlign w:val="center"/>
            <w:hideMark/>
          </w:tcPr>
          <w:p w14:paraId="5BADD881" w14:textId="77777777" w:rsidR="00200E02" w:rsidRPr="00200E02" w:rsidRDefault="00200E02" w:rsidP="00200E02">
            <w:pPr>
              <w:rPr>
                <w:b/>
                <w:bCs/>
              </w:rPr>
            </w:pPr>
            <w:r w:rsidRPr="00200E02">
              <w:rPr>
                <w:b/>
                <w:bCs/>
              </w:rPr>
              <w:t>Implementation Date(s)</w:t>
            </w:r>
          </w:p>
        </w:tc>
      </w:tr>
      <w:tr w:rsidR="00200E02" w:rsidRPr="00200E02" w14:paraId="58AC6E05" w14:textId="77777777" w:rsidTr="00200E02">
        <w:trPr>
          <w:tblCellSpacing w:w="15" w:type="dxa"/>
        </w:trPr>
        <w:tc>
          <w:tcPr>
            <w:tcW w:w="1987" w:type="dxa"/>
            <w:vAlign w:val="center"/>
            <w:hideMark/>
          </w:tcPr>
          <w:p w14:paraId="38979995" w14:textId="77777777" w:rsidR="00200E02" w:rsidRPr="00200E02" w:rsidRDefault="00200E02" w:rsidP="00200E02">
            <w:r w:rsidRPr="00200E02">
              <w:rPr>
                <w:b/>
                <w:bCs/>
              </w:rPr>
              <w:t>CFPB Section 1071</w:t>
            </w:r>
            <w:r w:rsidRPr="00200E02">
              <w:t xml:space="preserve"> – Small Business Lending Data Collection</w:t>
            </w:r>
          </w:p>
        </w:tc>
        <w:tc>
          <w:tcPr>
            <w:tcW w:w="1019" w:type="dxa"/>
            <w:vAlign w:val="center"/>
            <w:hideMark/>
          </w:tcPr>
          <w:p w14:paraId="2AEBACA4" w14:textId="77777777" w:rsidR="00200E02" w:rsidRPr="00200E02" w:rsidRDefault="00200E02" w:rsidP="00200E02">
            <w:r w:rsidRPr="00200E02">
              <w:t>United States</w:t>
            </w:r>
          </w:p>
        </w:tc>
        <w:tc>
          <w:tcPr>
            <w:tcW w:w="0" w:type="auto"/>
            <w:vAlign w:val="center"/>
            <w:hideMark/>
          </w:tcPr>
          <w:p w14:paraId="2E4ADC4E" w14:textId="77777777" w:rsidR="00200E02" w:rsidRPr="00200E02" w:rsidRDefault="00200E02" w:rsidP="00200E02">
            <w:r w:rsidRPr="00200E02">
              <w:t>Requires covered lenders to collect/report demographic and loan</w:t>
            </w:r>
            <w:r w:rsidRPr="00200E02">
              <w:rPr>
                <w:rFonts w:ascii="Cambria Math" w:hAnsi="Cambria Math" w:cs="Cambria Math"/>
              </w:rPr>
              <w:t>‐</w:t>
            </w:r>
            <w:r w:rsidRPr="00200E02">
              <w:t>level data on small-business loans. Three tiers based on origination volume determine when to start compliance and first</w:t>
            </w:r>
            <w:r w:rsidRPr="00200E02">
              <w:rPr>
                <w:rFonts w:ascii="Cambria Math" w:hAnsi="Cambria Math" w:cs="Cambria Math"/>
              </w:rPr>
              <w:t>‐</w:t>
            </w:r>
            <w:r w:rsidRPr="00200E02">
              <w:t xml:space="preserve">filing deadlines. </w:t>
            </w:r>
            <w:hyperlink r:id="rId5" w:tgtFrame="_blank" w:history="1">
              <w:r w:rsidRPr="00200E02">
                <w:rPr>
                  <w:rStyle w:val="Hyperlink"/>
                </w:rPr>
                <w:t>cooley.com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08F2762E" w14:textId="77777777" w:rsidR="00200E02" w:rsidRPr="00200E02" w:rsidRDefault="00200E02" w:rsidP="00200E02">
            <w:r w:rsidRPr="00200E02">
              <w:t xml:space="preserve">• </w:t>
            </w:r>
            <w:r w:rsidRPr="00200E02">
              <w:rPr>
                <w:b/>
                <w:bCs/>
              </w:rPr>
              <w:t>Tier 1</w:t>
            </w:r>
            <w:r w:rsidRPr="00200E02">
              <w:t>: Begin compliance July 1, 2026 (first filing June 1, 2027)</w:t>
            </w:r>
          </w:p>
        </w:tc>
      </w:tr>
      <w:tr w:rsidR="00200E02" w:rsidRPr="00200E02" w14:paraId="4CE90283" w14:textId="77777777" w:rsidTr="00200E02">
        <w:trPr>
          <w:tblCellSpacing w:w="15" w:type="dxa"/>
        </w:trPr>
        <w:tc>
          <w:tcPr>
            <w:tcW w:w="1987" w:type="dxa"/>
            <w:vAlign w:val="center"/>
            <w:hideMark/>
          </w:tcPr>
          <w:p w14:paraId="6A058F34" w14:textId="77777777" w:rsidR="00200E02" w:rsidRPr="00200E02" w:rsidRDefault="00200E02" w:rsidP="00200E02">
            <w:r w:rsidRPr="00200E02">
              <w:t xml:space="preserve">• </w:t>
            </w:r>
            <w:r w:rsidRPr="00200E02">
              <w:rPr>
                <w:b/>
                <w:bCs/>
              </w:rPr>
              <w:t>Tier 2</w:t>
            </w:r>
            <w:r w:rsidRPr="00200E02">
              <w:t>: Begin compliance January 1, 2027 (first filing June 1, 2028)</w:t>
            </w:r>
          </w:p>
        </w:tc>
        <w:tc>
          <w:tcPr>
            <w:tcW w:w="1019" w:type="dxa"/>
            <w:vAlign w:val="center"/>
            <w:hideMark/>
          </w:tcPr>
          <w:p w14:paraId="7253B27A" w14:textId="77777777" w:rsidR="00200E02" w:rsidRPr="00200E02" w:rsidRDefault="00200E02" w:rsidP="00200E02"/>
        </w:tc>
        <w:tc>
          <w:tcPr>
            <w:tcW w:w="0" w:type="auto"/>
            <w:vAlign w:val="center"/>
            <w:hideMark/>
          </w:tcPr>
          <w:p w14:paraId="0FF2E470" w14:textId="77777777" w:rsidR="00200E02" w:rsidRPr="00200E02" w:rsidRDefault="00200E02" w:rsidP="00200E02"/>
        </w:tc>
        <w:tc>
          <w:tcPr>
            <w:tcW w:w="0" w:type="auto"/>
            <w:vAlign w:val="center"/>
            <w:hideMark/>
          </w:tcPr>
          <w:p w14:paraId="743268BD" w14:textId="77777777" w:rsidR="00200E02" w:rsidRPr="00200E02" w:rsidRDefault="00200E02" w:rsidP="00200E02"/>
        </w:tc>
      </w:tr>
      <w:tr w:rsidR="00200E02" w:rsidRPr="00200E02" w14:paraId="4388DDBF" w14:textId="77777777" w:rsidTr="00200E02">
        <w:trPr>
          <w:tblCellSpacing w:w="15" w:type="dxa"/>
        </w:trPr>
        <w:tc>
          <w:tcPr>
            <w:tcW w:w="1987" w:type="dxa"/>
            <w:vAlign w:val="center"/>
            <w:hideMark/>
          </w:tcPr>
          <w:p w14:paraId="22122C24" w14:textId="77777777" w:rsidR="00200E02" w:rsidRPr="00200E02" w:rsidRDefault="00200E02" w:rsidP="00200E02">
            <w:r w:rsidRPr="00200E02">
              <w:t xml:space="preserve">• </w:t>
            </w:r>
            <w:r w:rsidRPr="00200E02">
              <w:rPr>
                <w:b/>
                <w:bCs/>
              </w:rPr>
              <w:t>Tier 3</w:t>
            </w:r>
            <w:r w:rsidRPr="00200E02">
              <w:t>: Begin compliance October 1, 2027 (first filing June 1, 2028)</w:t>
            </w:r>
          </w:p>
        </w:tc>
        <w:tc>
          <w:tcPr>
            <w:tcW w:w="1019" w:type="dxa"/>
            <w:vAlign w:val="center"/>
            <w:hideMark/>
          </w:tcPr>
          <w:p w14:paraId="2E341EAC" w14:textId="77777777" w:rsidR="00200E02" w:rsidRPr="00200E02" w:rsidRDefault="00200E02" w:rsidP="00200E02"/>
        </w:tc>
        <w:tc>
          <w:tcPr>
            <w:tcW w:w="0" w:type="auto"/>
            <w:vAlign w:val="center"/>
            <w:hideMark/>
          </w:tcPr>
          <w:p w14:paraId="20896BCD" w14:textId="77777777" w:rsidR="00200E02" w:rsidRPr="00200E02" w:rsidRDefault="00200E02" w:rsidP="00200E02"/>
        </w:tc>
        <w:tc>
          <w:tcPr>
            <w:tcW w:w="0" w:type="auto"/>
            <w:vAlign w:val="center"/>
            <w:hideMark/>
          </w:tcPr>
          <w:p w14:paraId="52F95D9B" w14:textId="77777777" w:rsidR="00200E02" w:rsidRPr="00200E02" w:rsidRDefault="00200E02" w:rsidP="00200E02"/>
        </w:tc>
      </w:tr>
      <w:tr w:rsidR="00200E02" w:rsidRPr="00200E02" w14:paraId="0CC51A54" w14:textId="77777777" w:rsidTr="00200E02">
        <w:trPr>
          <w:tblCellSpacing w:w="15" w:type="dxa"/>
        </w:trPr>
        <w:tc>
          <w:tcPr>
            <w:tcW w:w="1987" w:type="dxa"/>
            <w:vAlign w:val="center"/>
            <w:hideMark/>
          </w:tcPr>
          <w:p w14:paraId="74AFCB70" w14:textId="77777777" w:rsidR="00200E02" w:rsidRPr="00200E02" w:rsidRDefault="00200E02" w:rsidP="00200E02">
            <w:r w:rsidRPr="00200E02">
              <w:rPr>
                <w:b/>
                <w:bCs/>
              </w:rPr>
              <w:t>FDIC Signage &amp; Advertising Rule (12 CFR 328.4/328.5)</w:t>
            </w:r>
            <w:r w:rsidRPr="00200E02">
              <w:t xml:space="preserve"> – Digital Channels &amp; ATMs</w:t>
            </w:r>
          </w:p>
        </w:tc>
        <w:tc>
          <w:tcPr>
            <w:tcW w:w="1019" w:type="dxa"/>
            <w:vAlign w:val="center"/>
            <w:hideMark/>
          </w:tcPr>
          <w:p w14:paraId="171C8CD7" w14:textId="77777777" w:rsidR="00200E02" w:rsidRPr="00200E02" w:rsidRDefault="00200E02" w:rsidP="00200E02">
            <w:r w:rsidRPr="00200E02">
              <w:t>United States</w:t>
            </w:r>
          </w:p>
        </w:tc>
        <w:tc>
          <w:tcPr>
            <w:tcW w:w="0" w:type="auto"/>
            <w:vAlign w:val="center"/>
            <w:hideMark/>
          </w:tcPr>
          <w:p w14:paraId="3D53BF0A" w14:textId="77777777" w:rsidR="00200E02" w:rsidRPr="00200E02" w:rsidRDefault="00200E02" w:rsidP="00200E02">
            <w:r w:rsidRPr="00200E02">
              <w:t xml:space="preserve">Mandates display of FDIC’s official digital sign on insured depository institutions’ websites, mobile apps, and ATMs. Originally May 1, 2025; postponed to address implementation feedback. </w:t>
            </w:r>
            <w:hyperlink r:id="rId6" w:tgtFrame="_blank" w:history="1">
              <w:r w:rsidRPr="00200E02">
                <w:rPr>
                  <w:rStyle w:val="Hyperlink"/>
                </w:rPr>
                <w:t>fdic.gov</w:t>
              </w:r>
            </w:hyperlink>
            <w:hyperlink r:id="rId7" w:tgtFrame="_blank" w:history="1">
              <w:r w:rsidRPr="00200E02">
                <w:rPr>
                  <w:rStyle w:val="Hyperlink"/>
                </w:rPr>
                <w:t>consumerfinancemonitor.com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50D4BF8B" w14:textId="77777777" w:rsidR="00200E02" w:rsidRPr="00200E02" w:rsidRDefault="00200E02" w:rsidP="00200E02">
            <w:r w:rsidRPr="00200E02">
              <w:rPr>
                <w:b/>
                <w:bCs/>
              </w:rPr>
              <w:t>March 1, 2026</w:t>
            </w:r>
            <w:r w:rsidRPr="00200E02">
              <w:t xml:space="preserve"> (for digital channels &amp; ATMs)</w:t>
            </w:r>
          </w:p>
        </w:tc>
      </w:tr>
      <w:tr w:rsidR="00200E02" w:rsidRPr="00200E02" w14:paraId="78A4C294" w14:textId="77777777" w:rsidTr="00200E02">
        <w:trPr>
          <w:tblCellSpacing w:w="15" w:type="dxa"/>
        </w:trPr>
        <w:tc>
          <w:tcPr>
            <w:tcW w:w="1987" w:type="dxa"/>
            <w:vAlign w:val="center"/>
            <w:hideMark/>
          </w:tcPr>
          <w:p w14:paraId="008FD266" w14:textId="77777777" w:rsidR="00200E02" w:rsidRPr="00200E02" w:rsidRDefault="00200E02" w:rsidP="00200E02">
            <w:r w:rsidRPr="00200E02">
              <w:rPr>
                <w:b/>
                <w:bCs/>
              </w:rPr>
              <w:t xml:space="preserve">Digital Operational Resilience Act </w:t>
            </w:r>
            <w:r w:rsidRPr="00200E02">
              <w:rPr>
                <w:b/>
                <w:bCs/>
              </w:rPr>
              <w:lastRenderedPageBreak/>
              <w:t>(DORA)</w:t>
            </w:r>
            <w:r w:rsidRPr="00200E02">
              <w:t xml:space="preserve"> – ICT Disruption Resilience</w:t>
            </w:r>
          </w:p>
        </w:tc>
        <w:tc>
          <w:tcPr>
            <w:tcW w:w="1019" w:type="dxa"/>
            <w:vAlign w:val="center"/>
            <w:hideMark/>
          </w:tcPr>
          <w:p w14:paraId="28874A47" w14:textId="77777777" w:rsidR="00200E02" w:rsidRPr="00200E02" w:rsidRDefault="00200E02" w:rsidP="00200E02">
            <w:r w:rsidRPr="00200E02">
              <w:lastRenderedPageBreak/>
              <w:t>European Union</w:t>
            </w:r>
          </w:p>
        </w:tc>
        <w:tc>
          <w:tcPr>
            <w:tcW w:w="0" w:type="auto"/>
            <w:vAlign w:val="center"/>
            <w:hideMark/>
          </w:tcPr>
          <w:p w14:paraId="69395A9C" w14:textId="77777777" w:rsidR="00200E02" w:rsidRPr="00200E02" w:rsidRDefault="00200E02" w:rsidP="00200E02">
            <w:r w:rsidRPr="00200E02">
              <w:t xml:space="preserve">Establishes ICT risk-management, incident-reporting, and testing requirements for banks, insurers, and </w:t>
            </w:r>
            <w:r w:rsidRPr="00200E02">
              <w:lastRenderedPageBreak/>
              <w:t xml:space="preserve">other financial entities to withstand cyber and tech disruptions. </w:t>
            </w:r>
            <w:hyperlink r:id="rId8" w:tgtFrame="_blank" w:history="1">
              <w:r w:rsidRPr="00200E02">
                <w:rPr>
                  <w:rStyle w:val="Hyperlink"/>
                </w:rPr>
                <w:t>eiopa.europa.eu</w:t>
              </w:r>
            </w:hyperlink>
          </w:p>
        </w:tc>
        <w:tc>
          <w:tcPr>
            <w:tcW w:w="0" w:type="auto"/>
            <w:vAlign w:val="center"/>
            <w:hideMark/>
          </w:tcPr>
          <w:p w14:paraId="58560FB0" w14:textId="77777777" w:rsidR="00200E02" w:rsidRPr="00200E02" w:rsidRDefault="00200E02" w:rsidP="00200E02">
            <w:r w:rsidRPr="00200E02">
              <w:rPr>
                <w:b/>
                <w:bCs/>
              </w:rPr>
              <w:lastRenderedPageBreak/>
              <w:t>January 17, 2025</w:t>
            </w:r>
          </w:p>
        </w:tc>
      </w:tr>
      <w:tr w:rsidR="00200E02" w:rsidRPr="00200E02" w14:paraId="427E6B36" w14:textId="77777777" w:rsidTr="00200E02">
        <w:trPr>
          <w:tblCellSpacing w:w="15" w:type="dxa"/>
        </w:trPr>
        <w:tc>
          <w:tcPr>
            <w:tcW w:w="1987" w:type="dxa"/>
            <w:vAlign w:val="center"/>
            <w:hideMark/>
          </w:tcPr>
          <w:p w14:paraId="63C99A54" w14:textId="77777777" w:rsidR="00200E02" w:rsidRPr="00200E02" w:rsidRDefault="00200E02" w:rsidP="00200E02">
            <w:r w:rsidRPr="00200E02">
              <w:rPr>
                <w:b/>
                <w:bCs/>
              </w:rPr>
              <w:t>6th Anti-Money Laundering Directive (AMLD 6)</w:t>
            </w:r>
          </w:p>
        </w:tc>
        <w:tc>
          <w:tcPr>
            <w:tcW w:w="1019" w:type="dxa"/>
            <w:vAlign w:val="center"/>
            <w:hideMark/>
          </w:tcPr>
          <w:p w14:paraId="48327E61" w14:textId="77777777" w:rsidR="00200E02" w:rsidRPr="00200E02" w:rsidRDefault="00200E02" w:rsidP="00200E02">
            <w:r w:rsidRPr="00200E02">
              <w:t>European Union</w:t>
            </w:r>
          </w:p>
        </w:tc>
        <w:tc>
          <w:tcPr>
            <w:tcW w:w="0" w:type="auto"/>
            <w:vAlign w:val="center"/>
            <w:hideMark/>
          </w:tcPr>
          <w:p w14:paraId="54271E5D" w14:textId="77777777" w:rsidR="00200E02" w:rsidRPr="00200E02" w:rsidRDefault="00200E02" w:rsidP="00200E02">
            <w:r w:rsidRPr="00200E02">
              <w:t xml:space="preserve">Extends AML/CFT rules, enhances beneficial-ownership registers, and broadens inspection powers. Member states must transpose into national law. </w:t>
            </w:r>
            <w:hyperlink r:id="rId9" w:tgtFrame="_blank" w:history="1">
              <w:r w:rsidRPr="00200E02">
                <w:rPr>
                  <w:rStyle w:val="Hyperlink"/>
                </w:rPr>
                <w:t>dlapiper.com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7BC4A86E" w14:textId="77777777" w:rsidR="00200E02" w:rsidRPr="00200E02" w:rsidRDefault="00200E02" w:rsidP="00200E02">
            <w:r w:rsidRPr="00200E02">
              <w:rPr>
                <w:b/>
                <w:bCs/>
              </w:rPr>
              <w:t>By July 10, 2027</w:t>
            </w:r>
            <w:r w:rsidRPr="00200E02">
              <w:t xml:space="preserve"> (latest transposition deadline)</w:t>
            </w:r>
          </w:p>
        </w:tc>
      </w:tr>
      <w:tr w:rsidR="00200E02" w:rsidRPr="00200E02" w14:paraId="3456AEBA" w14:textId="77777777" w:rsidTr="00200E02">
        <w:trPr>
          <w:tblCellSpacing w:w="15" w:type="dxa"/>
        </w:trPr>
        <w:tc>
          <w:tcPr>
            <w:tcW w:w="1987" w:type="dxa"/>
            <w:vAlign w:val="center"/>
            <w:hideMark/>
          </w:tcPr>
          <w:p w14:paraId="06E3DC26" w14:textId="77777777" w:rsidR="00200E02" w:rsidRPr="00200E02" w:rsidRDefault="00200E02" w:rsidP="00200E02">
            <w:r w:rsidRPr="00200E02">
              <w:rPr>
                <w:b/>
                <w:bCs/>
              </w:rPr>
              <w:t>Markets in Crypto-Assets Regulation (MiCA)</w:t>
            </w:r>
          </w:p>
        </w:tc>
        <w:tc>
          <w:tcPr>
            <w:tcW w:w="1019" w:type="dxa"/>
            <w:vAlign w:val="center"/>
            <w:hideMark/>
          </w:tcPr>
          <w:p w14:paraId="6E815600" w14:textId="77777777" w:rsidR="00200E02" w:rsidRPr="00200E02" w:rsidRDefault="00200E02" w:rsidP="00200E02">
            <w:r w:rsidRPr="00200E02">
              <w:t>European Union</w:t>
            </w:r>
          </w:p>
        </w:tc>
        <w:tc>
          <w:tcPr>
            <w:tcW w:w="0" w:type="auto"/>
            <w:vAlign w:val="center"/>
            <w:hideMark/>
          </w:tcPr>
          <w:p w14:paraId="72CD20AE" w14:textId="77777777" w:rsidR="00200E02" w:rsidRPr="00200E02" w:rsidRDefault="00200E02" w:rsidP="00200E02">
            <w:r w:rsidRPr="00200E02">
              <w:t xml:space="preserve">Comprehensive framework for crypto-asset services (custody, issuance, trading), including stablecoins. </w:t>
            </w:r>
            <w:hyperlink r:id="rId10" w:tgtFrame="_blank" w:history="1">
              <w:r w:rsidRPr="00200E02">
                <w:rPr>
                  <w:rStyle w:val="Hyperlink"/>
                </w:rPr>
                <w:t>en.wikipedia.org</w:t>
              </w:r>
            </w:hyperlink>
          </w:p>
        </w:tc>
        <w:tc>
          <w:tcPr>
            <w:tcW w:w="0" w:type="auto"/>
            <w:vAlign w:val="center"/>
            <w:hideMark/>
          </w:tcPr>
          <w:p w14:paraId="426B9598" w14:textId="77777777" w:rsidR="00200E02" w:rsidRPr="00200E02" w:rsidRDefault="00200E02" w:rsidP="00200E02">
            <w:r w:rsidRPr="00200E02">
              <w:rPr>
                <w:b/>
                <w:bCs/>
              </w:rPr>
              <w:t>Fully applicable since December 30, 2024</w:t>
            </w:r>
          </w:p>
        </w:tc>
      </w:tr>
      <w:tr w:rsidR="00200E02" w:rsidRPr="00200E02" w14:paraId="349C7CDE" w14:textId="77777777" w:rsidTr="00200E02">
        <w:trPr>
          <w:tblCellSpacing w:w="15" w:type="dxa"/>
        </w:trPr>
        <w:tc>
          <w:tcPr>
            <w:tcW w:w="1987" w:type="dxa"/>
            <w:vAlign w:val="center"/>
            <w:hideMark/>
          </w:tcPr>
          <w:p w14:paraId="7C79EC7C" w14:textId="77777777" w:rsidR="00200E02" w:rsidRPr="00200E02" w:rsidRDefault="00200E02" w:rsidP="00200E02">
            <w:r w:rsidRPr="00200E02">
              <w:rPr>
                <w:b/>
                <w:bCs/>
              </w:rPr>
              <w:t>Basel III “Endgame”</w:t>
            </w:r>
            <w:r w:rsidRPr="00200E02">
              <w:t xml:space="preserve"> – Final Capital &amp; Liquidity Reforms</w:t>
            </w:r>
          </w:p>
        </w:tc>
        <w:tc>
          <w:tcPr>
            <w:tcW w:w="1019" w:type="dxa"/>
            <w:vAlign w:val="center"/>
            <w:hideMark/>
          </w:tcPr>
          <w:p w14:paraId="6C7245DC" w14:textId="77777777" w:rsidR="00200E02" w:rsidRPr="00200E02" w:rsidRDefault="00200E02" w:rsidP="00200E02">
            <w:r w:rsidRPr="00200E02">
              <w:t>Global / United States</w:t>
            </w:r>
          </w:p>
        </w:tc>
        <w:tc>
          <w:tcPr>
            <w:tcW w:w="0" w:type="auto"/>
            <w:vAlign w:val="center"/>
            <w:hideMark/>
          </w:tcPr>
          <w:p w14:paraId="76EEE9A7" w14:textId="77777777" w:rsidR="00200E02" w:rsidRPr="00200E02" w:rsidRDefault="00200E02" w:rsidP="00200E02">
            <w:r w:rsidRPr="00200E02">
              <w:t xml:space="preserve">Raises capital floors, leverage, and market-risk requirements to strengthen bank loss-absorbing capacity. </w:t>
            </w:r>
            <w:hyperlink r:id="rId11" w:tgtFrame="_blank" w:history="1">
              <w:r w:rsidRPr="00200E02">
                <w:rPr>
                  <w:rStyle w:val="Hyperlink"/>
                </w:rPr>
                <w:t>pwc.com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468698B0" w14:textId="77777777" w:rsidR="00200E02" w:rsidRPr="00200E02" w:rsidRDefault="00200E02" w:rsidP="00200E02">
            <w:r w:rsidRPr="00200E02">
              <w:rPr>
                <w:b/>
                <w:bCs/>
              </w:rPr>
              <w:t>Effective July 1, 2025</w:t>
            </w:r>
            <w:r w:rsidRPr="00200E02">
              <w:t xml:space="preserve">, with a three-year phase-in through </w:t>
            </w:r>
            <w:r w:rsidRPr="00200E02">
              <w:rPr>
                <w:b/>
                <w:bCs/>
              </w:rPr>
              <w:t>June 30, 2028</w:t>
            </w:r>
          </w:p>
        </w:tc>
      </w:tr>
      <w:tr w:rsidR="00200E02" w:rsidRPr="00200E02" w14:paraId="1B668648" w14:textId="77777777" w:rsidTr="00200E02">
        <w:trPr>
          <w:tblCellSpacing w:w="15" w:type="dxa"/>
        </w:trPr>
        <w:tc>
          <w:tcPr>
            <w:tcW w:w="1987" w:type="dxa"/>
            <w:vAlign w:val="center"/>
            <w:hideMark/>
          </w:tcPr>
          <w:p w14:paraId="726F1DD2" w14:textId="77777777" w:rsidR="00200E02" w:rsidRPr="00200E02" w:rsidRDefault="00200E02" w:rsidP="00200E02">
            <w:r w:rsidRPr="00200E02">
              <w:rPr>
                <w:b/>
                <w:bCs/>
              </w:rPr>
              <w:t>Fundamental Review of the Trading Book (FRTB)</w:t>
            </w:r>
            <w:r w:rsidRPr="00200E02">
              <w:t xml:space="preserve"> – Market-Risk Reforms</w:t>
            </w:r>
          </w:p>
        </w:tc>
        <w:tc>
          <w:tcPr>
            <w:tcW w:w="1019" w:type="dxa"/>
            <w:vAlign w:val="center"/>
            <w:hideMark/>
          </w:tcPr>
          <w:p w14:paraId="2BD804F1" w14:textId="77777777" w:rsidR="00200E02" w:rsidRPr="00200E02" w:rsidRDefault="00200E02" w:rsidP="00200E02">
            <w:r w:rsidRPr="00200E02">
              <w:t>European Union</w:t>
            </w:r>
          </w:p>
        </w:tc>
        <w:tc>
          <w:tcPr>
            <w:tcW w:w="0" w:type="auto"/>
            <w:vAlign w:val="center"/>
            <w:hideMark/>
          </w:tcPr>
          <w:p w14:paraId="19424A93" w14:textId="77777777" w:rsidR="00200E02" w:rsidRPr="00200E02" w:rsidRDefault="00200E02" w:rsidP="00200E02">
            <w:r w:rsidRPr="00200E02">
              <w:t xml:space="preserve">Revises market-risk capital rules under Basel III. Most EU rules effective January 1, 2025; FRTB component was delayed one year. </w:t>
            </w:r>
            <w:hyperlink r:id="rId12" w:tgtFrame="_blank" w:history="1">
              <w:r w:rsidRPr="00200E02">
                <w:rPr>
                  <w:rStyle w:val="Hyperlink"/>
                </w:rPr>
                <w:t>reuters.com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1F33A5A6" w14:textId="77777777" w:rsidR="00200E02" w:rsidRPr="00200E02" w:rsidRDefault="00200E02" w:rsidP="00200E02">
            <w:r w:rsidRPr="00200E02">
              <w:rPr>
                <w:b/>
                <w:bCs/>
              </w:rPr>
              <w:t>January 1, 2026</w:t>
            </w:r>
          </w:p>
        </w:tc>
      </w:tr>
      <w:tr w:rsidR="00200E02" w:rsidRPr="00200E02" w14:paraId="34B4FC4A" w14:textId="77777777" w:rsidTr="00200E02">
        <w:trPr>
          <w:tblCellSpacing w:w="15" w:type="dxa"/>
        </w:trPr>
        <w:tc>
          <w:tcPr>
            <w:tcW w:w="1987" w:type="dxa"/>
            <w:vAlign w:val="center"/>
            <w:hideMark/>
          </w:tcPr>
          <w:p w14:paraId="473A3BBE" w14:textId="77777777" w:rsidR="00200E02" w:rsidRPr="00200E02" w:rsidRDefault="00200E02" w:rsidP="00200E02">
            <w:r w:rsidRPr="00200E02">
              <w:rPr>
                <w:b/>
                <w:bCs/>
              </w:rPr>
              <w:t>EU AI Act</w:t>
            </w:r>
            <w:r w:rsidRPr="00200E02">
              <w:t xml:space="preserve"> – Risk-Based AI System Requirements</w:t>
            </w:r>
          </w:p>
        </w:tc>
        <w:tc>
          <w:tcPr>
            <w:tcW w:w="1019" w:type="dxa"/>
            <w:vAlign w:val="center"/>
            <w:hideMark/>
          </w:tcPr>
          <w:p w14:paraId="2012BBB8" w14:textId="77777777" w:rsidR="00200E02" w:rsidRPr="00200E02" w:rsidRDefault="00200E02" w:rsidP="00200E02">
            <w:r w:rsidRPr="00200E02">
              <w:t>European Union</w:t>
            </w:r>
          </w:p>
        </w:tc>
        <w:tc>
          <w:tcPr>
            <w:tcW w:w="0" w:type="auto"/>
            <w:vAlign w:val="center"/>
            <w:hideMark/>
          </w:tcPr>
          <w:p w14:paraId="09B85791" w14:textId="77777777" w:rsidR="00200E02" w:rsidRPr="00200E02" w:rsidRDefault="00200E02" w:rsidP="00200E02">
            <w:r w:rsidRPr="00200E02">
              <w:t xml:space="preserve">Classifies AI systems by risk level, prohibiting “unacceptable risk” uses and imposing obligations on high-risk systems (e.g., governance, transparency, human oversight). </w:t>
            </w:r>
            <w:hyperlink r:id="rId13" w:tgtFrame="_blank" w:history="1">
              <w:r w:rsidRPr="00200E02">
                <w:rPr>
                  <w:rStyle w:val="Hyperlink"/>
                </w:rPr>
                <w:t>goodwinlaw.com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0004015D" w14:textId="77777777" w:rsidR="00200E02" w:rsidRPr="00200E02" w:rsidRDefault="00200E02" w:rsidP="00200E02">
            <w:r w:rsidRPr="00200E02">
              <w:t xml:space="preserve">• </w:t>
            </w:r>
            <w:r w:rsidRPr="00200E02">
              <w:rPr>
                <w:b/>
                <w:bCs/>
              </w:rPr>
              <w:t>In force</w:t>
            </w:r>
            <w:r w:rsidRPr="00200E02">
              <w:t xml:space="preserve"> August 1, 2024</w:t>
            </w:r>
          </w:p>
        </w:tc>
      </w:tr>
      <w:tr w:rsidR="00200E02" w:rsidRPr="00200E02" w14:paraId="68FC5A83" w14:textId="77777777" w:rsidTr="00200E02">
        <w:trPr>
          <w:tblCellSpacing w:w="15" w:type="dxa"/>
        </w:trPr>
        <w:tc>
          <w:tcPr>
            <w:tcW w:w="1987" w:type="dxa"/>
            <w:vAlign w:val="center"/>
            <w:hideMark/>
          </w:tcPr>
          <w:p w14:paraId="1E3F82DF" w14:textId="77777777" w:rsidR="00200E02" w:rsidRPr="00200E02" w:rsidRDefault="00200E02" w:rsidP="00200E02">
            <w:r w:rsidRPr="00200E02">
              <w:t>• Prohibitions start February 2025</w:t>
            </w:r>
          </w:p>
        </w:tc>
        <w:tc>
          <w:tcPr>
            <w:tcW w:w="1019" w:type="dxa"/>
            <w:vAlign w:val="center"/>
            <w:hideMark/>
          </w:tcPr>
          <w:p w14:paraId="058C5A1A" w14:textId="77777777" w:rsidR="00200E02" w:rsidRPr="00200E02" w:rsidRDefault="00200E02" w:rsidP="00200E02"/>
        </w:tc>
        <w:tc>
          <w:tcPr>
            <w:tcW w:w="0" w:type="auto"/>
            <w:vAlign w:val="center"/>
            <w:hideMark/>
          </w:tcPr>
          <w:p w14:paraId="7469524C" w14:textId="77777777" w:rsidR="00200E02" w:rsidRPr="00200E02" w:rsidRDefault="00200E02" w:rsidP="00200E02"/>
        </w:tc>
        <w:tc>
          <w:tcPr>
            <w:tcW w:w="0" w:type="auto"/>
            <w:vAlign w:val="center"/>
            <w:hideMark/>
          </w:tcPr>
          <w:p w14:paraId="078734AC" w14:textId="77777777" w:rsidR="00200E02" w:rsidRPr="00200E02" w:rsidRDefault="00200E02" w:rsidP="00200E02"/>
        </w:tc>
      </w:tr>
      <w:tr w:rsidR="00200E02" w:rsidRPr="00200E02" w14:paraId="34D39420" w14:textId="77777777" w:rsidTr="00200E02">
        <w:trPr>
          <w:tblCellSpacing w:w="15" w:type="dxa"/>
        </w:trPr>
        <w:tc>
          <w:tcPr>
            <w:tcW w:w="1987" w:type="dxa"/>
            <w:vAlign w:val="center"/>
            <w:hideMark/>
          </w:tcPr>
          <w:p w14:paraId="34293DFD" w14:textId="77777777" w:rsidR="00200E02" w:rsidRPr="00200E02" w:rsidRDefault="00200E02" w:rsidP="00200E02">
            <w:r w:rsidRPr="00200E02">
              <w:lastRenderedPageBreak/>
              <w:t xml:space="preserve">• Full compliance for high-risk systems by </w:t>
            </w:r>
            <w:r w:rsidRPr="00200E02">
              <w:rPr>
                <w:b/>
                <w:bCs/>
              </w:rPr>
              <w:t>2027</w:t>
            </w:r>
          </w:p>
        </w:tc>
        <w:tc>
          <w:tcPr>
            <w:tcW w:w="1019" w:type="dxa"/>
            <w:vAlign w:val="center"/>
            <w:hideMark/>
          </w:tcPr>
          <w:p w14:paraId="2D3BEA0E" w14:textId="77777777" w:rsidR="00200E02" w:rsidRPr="00200E02" w:rsidRDefault="00200E02" w:rsidP="00200E02"/>
        </w:tc>
        <w:tc>
          <w:tcPr>
            <w:tcW w:w="0" w:type="auto"/>
            <w:vAlign w:val="center"/>
            <w:hideMark/>
          </w:tcPr>
          <w:p w14:paraId="6E8ED813" w14:textId="77777777" w:rsidR="00200E02" w:rsidRPr="00200E02" w:rsidRDefault="00200E02" w:rsidP="00200E02"/>
        </w:tc>
        <w:tc>
          <w:tcPr>
            <w:tcW w:w="0" w:type="auto"/>
            <w:vAlign w:val="center"/>
            <w:hideMark/>
          </w:tcPr>
          <w:p w14:paraId="79044B8F" w14:textId="77777777" w:rsidR="00200E02" w:rsidRPr="00200E02" w:rsidRDefault="00200E02" w:rsidP="00200E02"/>
        </w:tc>
      </w:tr>
      <w:tr w:rsidR="00200E02" w:rsidRPr="00200E02" w14:paraId="613372BA" w14:textId="77777777" w:rsidTr="00200E02">
        <w:trPr>
          <w:tblCellSpacing w:w="15" w:type="dxa"/>
        </w:trPr>
        <w:tc>
          <w:tcPr>
            <w:tcW w:w="1987" w:type="dxa"/>
            <w:vAlign w:val="center"/>
            <w:hideMark/>
          </w:tcPr>
          <w:p w14:paraId="33E66E1C" w14:textId="77777777" w:rsidR="00200E02" w:rsidRPr="00200E02" w:rsidRDefault="00200E02" w:rsidP="00200E02">
            <w:r w:rsidRPr="00200E02">
              <w:rPr>
                <w:b/>
                <w:bCs/>
              </w:rPr>
              <w:t>EU Data Act</w:t>
            </w:r>
            <w:r w:rsidRPr="00200E02">
              <w:t xml:space="preserve"> – Access &amp; Portability of IoT-Generated Data</w:t>
            </w:r>
          </w:p>
        </w:tc>
        <w:tc>
          <w:tcPr>
            <w:tcW w:w="1019" w:type="dxa"/>
            <w:vAlign w:val="center"/>
            <w:hideMark/>
          </w:tcPr>
          <w:p w14:paraId="2A1B03E3" w14:textId="77777777" w:rsidR="00200E02" w:rsidRPr="00200E02" w:rsidRDefault="00200E02" w:rsidP="00200E02">
            <w:r w:rsidRPr="00200E02">
              <w:t>European Union</w:t>
            </w:r>
          </w:p>
        </w:tc>
        <w:tc>
          <w:tcPr>
            <w:tcW w:w="0" w:type="auto"/>
            <w:vAlign w:val="center"/>
            <w:hideMark/>
          </w:tcPr>
          <w:p w14:paraId="6970DB87" w14:textId="77777777" w:rsidR="00200E02" w:rsidRPr="00200E02" w:rsidRDefault="00200E02" w:rsidP="00200E02">
            <w:r w:rsidRPr="00200E02">
              <w:t xml:space="preserve">Governs use and sharing of data produced by connected devices, preventing vendor lock-in and fostering competition. </w:t>
            </w:r>
            <w:hyperlink r:id="rId14" w:tgtFrame="_blank" w:history="1">
              <w:r w:rsidRPr="00200E02">
                <w:rPr>
                  <w:rStyle w:val="Hyperlink"/>
                </w:rPr>
                <w:t>skadden.com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29A2AF7F" w14:textId="77777777" w:rsidR="00200E02" w:rsidRPr="00200E02" w:rsidRDefault="00200E02" w:rsidP="00200E02">
            <w:r w:rsidRPr="00200E02">
              <w:rPr>
                <w:b/>
                <w:bCs/>
              </w:rPr>
              <w:t>Provisions applicable September 12, 2025</w:t>
            </w:r>
          </w:p>
        </w:tc>
      </w:tr>
      <w:tr w:rsidR="00200E02" w:rsidRPr="00200E02" w14:paraId="23D70142" w14:textId="77777777" w:rsidTr="00200E02">
        <w:trPr>
          <w:tblCellSpacing w:w="15" w:type="dxa"/>
        </w:trPr>
        <w:tc>
          <w:tcPr>
            <w:tcW w:w="1987" w:type="dxa"/>
            <w:vAlign w:val="center"/>
            <w:hideMark/>
          </w:tcPr>
          <w:p w14:paraId="0DC53060" w14:textId="77777777" w:rsidR="00200E02" w:rsidRPr="00200E02" w:rsidRDefault="00200E02" w:rsidP="00200E02">
            <w:r w:rsidRPr="00200E02">
              <w:rPr>
                <w:b/>
                <w:bCs/>
              </w:rPr>
              <w:t>Corporate Sustainability Reporting Directive (CSRD)</w:t>
            </w:r>
            <w:r w:rsidRPr="00200E02">
              <w:t xml:space="preserve"> – ESG &amp; Sustainability Disclosures</w:t>
            </w:r>
          </w:p>
        </w:tc>
        <w:tc>
          <w:tcPr>
            <w:tcW w:w="1019" w:type="dxa"/>
            <w:vAlign w:val="center"/>
            <w:hideMark/>
          </w:tcPr>
          <w:p w14:paraId="60DD8E71" w14:textId="77777777" w:rsidR="00200E02" w:rsidRPr="00200E02" w:rsidRDefault="00200E02" w:rsidP="00200E02">
            <w:r w:rsidRPr="00200E02">
              <w:t>European Union</w:t>
            </w:r>
          </w:p>
        </w:tc>
        <w:tc>
          <w:tcPr>
            <w:tcW w:w="0" w:type="auto"/>
            <w:vAlign w:val="center"/>
            <w:hideMark/>
          </w:tcPr>
          <w:p w14:paraId="2EAE6E67" w14:textId="77777777" w:rsidR="00200E02" w:rsidRPr="00200E02" w:rsidRDefault="00200E02" w:rsidP="00200E02">
            <w:r w:rsidRPr="00200E02">
              <w:t>Expands non-financial reporting:</w:t>
            </w:r>
          </w:p>
        </w:tc>
        <w:tc>
          <w:tcPr>
            <w:tcW w:w="0" w:type="auto"/>
            <w:vAlign w:val="center"/>
            <w:hideMark/>
          </w:tcPr>
          <w:p w14:paraId="74CE27BA" w14:textId="77777777" w:rsidR="00200E02" w:rsidRPr="00200E02" w:rsidRDefault="00200E02" w:rsidP="00200E02"/>
        </w:tc>
      </w:tr>
    </w:tbl>
    <w:p w14:paraId="0A581008" w14:textId="77777777" w:rsidR="00200E02" w:rsidRPr="00200E02" w:rsidRDefault="00200E02" w:rsidP="00200E02">
      <w:pPr>
        <w:numPr>
          <w:ilvl w:val="0"/>
          <w:numId w:val="1"/>
        </w:numPr>
      </w:pPr>
      <w:r w:rsidRPr="00200E02">
        <w:t>Large public-interest entities (FY 2024) → report in 2025</w:t>
      </w:r>
    </w:p>
    <w:p w14:paraId="6F6BA838" w14:textId="77777777" w:rsidR="00200E02" w:rsidRPr="00200E02" w:rsidRDefault="00200E02" w:rsidP="00200E02">
      <w:pPr>
        <w:numPr>
          <w:ilvl w:val="0"/>
          <w:numId w:val="1"/>
        </w:numPr>
      </w:pPr>
      <w:r w:rsidRPr="00200E02">
        <w:t>Other large companies (FY 2025) → report in 2026</w:t>
      </w:r>
    </w:p>
    <w:p w14:paraId="102157B8" w14:textId="77777777" w:rsidR="00200E02" w:rsidRPr="00200E02" w:rsidRDefault="00200E02" w:rsidP="00200E02">
      <w:pPr>
        <w:numPr>
          <w:ilvl w:val="0"/>
          <w:numId w:val="1"/>
        </w:numPr>
      </w:pPr>
      <w:r w:rsidRPr="00200E02">
        <w:t>Listed SMEs &amp; certain institutions (FY 2026) → report in 2027</w:t>
      </w:r>
    </w:p>
    <w:p w14:paraId="6A2EEC8E" w14:textId="77777777" w:rsidR="00200E02" w:rsidRPr="00200E02" w:rsidRDefault="00200E02" w:rsidP="00200E02">
      <w:pPr>
        <w:numPr>
          <w:ilvl w:val="0"/>
          <w:numId w:val="1"/>
        </w:numPr>
      </w:pPr>
      <w:r w:rsidRPr="00200E02">
        <w:t xml:space="preserve">Non-EU companies (FY 2028) → report in 2029 </w:t>
      </w:r>
      <w:hyperlink r:id="rId15" w:tgtFrame="_blank" w:history="1">
        <w:r w:rsidRPr="00200E02">
          <w:rPr>
            <w:rStyle w:val="Hyperlink"/>
          </w:rPr>
          <w:t>plana.earth</w:t>
        </w:r>
      </w:hyperlink>
      <w:hyperlink r:id="rId16" w:tgtFrame="_blank" w:history="1">
        <w:r w:rsidRPr="00200E02">
          <w:rPr>
            <w:rStyle w:val="Hyperlink"/>
          </w:rPr>
          <w:t>sweep.net</w:t>
        </w:r>
      </w:hyperlink>
      <w:r w:rsidRPr="00200E02">
        <w:t xml:space="preserve"> | Phased:</w:t>
      </w:r>
      <w:r w:rsidRPr="00200E02">
        <w:br/>
        <w:t xml:space="preserve">• </w:t>
      </w:r>
      <w:r w:rsidRPr="00200E02">
        <w:rPr>
          <w:b/>
          <w:bCs/>
        </w:rPr>
        <w:t>Jan 1, 2024</w:t>
      </w:r>
      <w:r w:rsidRPr="00200E02">
        <w:t xml:space="preserve"> (report FY 2024 in 2025)</w:t>
      </w:r>
      <w:r w:rsidRPr="00200E02">
        <w:br/>
        <w:t xml:space="preserve">• </w:t>
      </w:r>
      <w:r w:rsidRPr="00200E02">
        <w:rPr>
          <w:b/>
          <w:bCs/>
        </w:rPr>
        <w:t>Jan 1, 2025</w:t>
      </w:r>
      <w:r w:rsidRPr="00200E02">
        <w:t xml:space="preserve"> → report FY 2025 in 2026</w:t>
      </w:r>
      <w:r w:rsidRPr="00200E02">
        <w:br/>
        <w:t xml:space="preserve">• </w:t>
      </w:r>
      <w:r w:rsidRPr="00200E02">
        <w:rPr>
          <w:b/>
          <w:bCs/>
        </w:rPr>
        <w:t>Jan 1, 2026</w:t>
      </w:r>
      <w:r w:rsidRPr="00200E02">
        <w:t xml:space="preserve"> → report FY 2026 in 2027</w:t>
      </w:r>
      <w:r w:rsidRPr="00200E02">
        <w:br/>
        <w:t xml:space="preserve">• </w:t>
      </w:r>
      <w:r w:rsidRPr="00200E02">
        <w:rPr>
          <w:b/>
          <w:bCs/>
        </w:rPr>
        <w:t>Jan 1, 2028</w:t>
      </w:r>
      <w:r w:rsidRPr="00200E02">
        <w:t xml:space="preserve"> → report FY 2028 in 2029 |</w:t>
      </w:r>
      <w:r w:rsidRPr="00200E02">
        <w:br/>
        <w:t xml:space="preserve">| </w:t>
      </w:r>
      <w:r w:rsidRPr="00200E02">
        <w:rPr>
          <w:b/>
          <w:bCs/>
        </w:rPr>
        <w:t>IFRS S2</w:t>
      </w:r>
      <w:r w:rsidRPr="00200E02">
        <w:t xml:space="preserve"> – Climate-Related Financial Disclosures | Global | Establishes requirements for reporting climate-related risks and opportunities in annual financial reports. </w:t>
      </w:r>
      <w:hyperlink r:id="rId17" w:tgtFrame="_blank" w:history="1">
        <w:r w:rsidRPr="00200E02">
          <w:rPr>
            <w:rStyle w:val="Hyperlink"/>
          </w:rPr>
          <w:t>iasplus.com</w:t>
        </w:r>
      </w:hyperlink>
      <w:r w:rsidRPr="00200E02">
        <w:t xml:space="preserve"> | </w:t>
      </w:r>
      <w:r w:rsidRPr="00200E02">
        <w:rPr>
          <w:b/>
          <w:bCs/>
        </w:rPr>
        <w:t>Applies to reporting periods beginning on or after January 1, 2024</w:t>
      </w:r>
      <w:r w:rsidRPr="00200E02">
        <w:t xml:space="preserve"> |</w:t>
      </w:r>
    </w:p>
    <w:p w14:paraId="25360510" w14:textId="77777777" w:rsidR="00200E02" w:rsidRPr="00200E02" w:rsidRDefault="00200E02" w:rsidP="00200E02">
      <w:r w:rsidRPr="00200E02">
        <w:rPr>
          <w:b/>
          <w:bCs/>
        </w:rPr>
        <w:t>By 2030</w:t>
      </w:r>
      <w:r w:rsidRPr="00200E02">
        <w:t>, all the above—spanning prudential, consumer</w:t>
      </w:r>
      <w:r w:rsidRPr="00200E02">
        <w:rPr>
          <w:rFonts w:ascii="Cambria Math" w:hAnsi="Cambria Math" w:cs="Cambria Math"/>
        </w:rPr>
        <w:t>‐</w:t>
      </w:r>
      <w:r w:rsidRPr="00200E02">
        <w:t>protection, digital-resilience, sustainability, and emerging-tech rules</w:t>
      </w:r>
      <w:r w:rsidRPr="00200E02">
        <w:rPr>
          <w:rFonts w:ascii="Aptos" w:hAnsi="Aptos" w:cs="Aptos"/>
        </w:rPr>
        <w:t>—</w:t>
      </w:r>
      <w:r w:rsidRPr="00200E02">
        <w:t>will be in full effect across major banking jurisdictions, ensuring a robust, transparent, and ethically-aligned financial ecosystem.</w:t>
      </w:r>
    </w:p>
    <w:p w14:paraId="4C591FE4" w14:textId="77777777" w:rsidR="00200E02" w:rsidRPr="00200E02" w:rsidRDefault="00200E02" w:rsidP="00200E02"/>
    <w:sectPr w:rsidR="00200E02" w:rsidRPr="00200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A553D4"/>
    <w:multiLevelType w:val="multilevel"/>
    <w:tmpl w:val="80C0A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6646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27"/>
    <w:rsid w:val="00200E02"/>
    <w:rsid w:val="002275FB"/>
    <w:rsid w:val="003A37FD"/>
    <w:rsid w:val="0063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650C6"/>
  <w15:chartTrackingRefBased/>
  <w15:docId w15:val="{4231FC6C-742E-4D50-BB35-22CB1B40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6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6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6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6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6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6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6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6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6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6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6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6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6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6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6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6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6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6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6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6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6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6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6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6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6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6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6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6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0E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E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3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663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0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426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iopa.europa.eu/digital-operational-resilience-act-dora_en?utm_source=chatgpt.com" TargetMode="External"/><Relationship Id="rId13" Type="http://schemas.openxmlformats.org/officeDocument/2006/relationships/hyperlink" Target="https://www.goodwinlaw.com/en/insights/publications/2024/10/insights-technology-aiml-eu-ai-act-implementation-timeline?utm_source=chatgpt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nsumerfinancemonitor.com/2025/03/05/fdic-further-delays-fdic-insurance-sign-compliance-date-for-atms-and-digital-channels/?utm_source=chatgpt.com" TargetMode="External"/><Relationship Id="rId12" Type="http://schemas.openxmlformats.org/officeDocument/2006/relationships/hyperlink" Target="https://www.reuters.com/business/finance/eu-says-delay-core-element-basel-bank-capital-rules-2024-06-18/?utm_source=chatgpt.com" TargetMode="External"/><Relationship Id="rId17" Type="http://schemas.openxmlformats.org/officeDocument/2006/relationships/hyperlink" Target="https://www.iasplus.com/en/standards/ifrs-sds/ifrs-s2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weep.net/blog/navigating-csrd-the-implementation-timeline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dic.gov/news/press-releases/2025/fdic-board-directors-approves-delay-compliance-date-certain-provisions?utm_source=chatgpt.com" TargetMode="External"/><Relationship Id="rId11" Type="http://schemas.openxmlformats.org/officeDocument/2006/relationships/hyperlink" Target="https://www.pwc.com/us/en/industries/financial-services/library/basel-iii-endgame.html?utm_source=chatgpt.com" TargetMode="External"/><Relationship Id="rId5" Type="http://schemas.openxmlformats.org/officeDocument/2006/relationships/hyperlink" Target="https://www.cooley.com/news/insight/2025/2025-06-25-cfpb-issues-interim-final-rule-extending-small-business-lending-rule-compliance-deadlines?utm_source=chatgpt.com" TargetMode="External"/><Relationship Id="rId15" Type="http://schemas.openxmlformats.org/officeDocument/2006/relationships/hyperlink" Target="https://plana.earth/academy/timeline-csrd?utm_source=chatgpt.com" TargetMode="External"/><Relationship Id="rId10" Type="http://schemas.openxmlformats.org/officeDocument/2006/relationships/hyperlink" Target="https://en.wikipedia.org/wiki/Markets_in_Crypto-Assets?utm_source=chatgpt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dlapiper.com/en-at/insights/publications/global-anti-corruption-perspective/new-eu-anti-money-laundering-rules-what-to-know?utm_source=chatgpt.com" TargetMode="External"/><Relationship Id="rId14" Type="http://schemas.openxmlformats.org/officeDocument/2006/relationships/hyperlink" Target="https://www.skadden.com/insights/publications/2025/06/eu-data-act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Nath</dc:creator>
  <cp:keywords/>
  <dc:description/>
  <cp:lastModifiedBy>Jayant Nath</cp:lastModifiedBy>
  <cp:revision>1</cp:revision>
  <dcterms:created xsi:type="dcterms:W3CDTF">2025-07-01T23:36:00Z</dcterms:created>
  <dcterms:modified xsi:type="dcterms:W3CDTF">2025-07-02T19:43:00Z</dcterms:modified>
</cp:coreProperties>
</file>