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7385E"/>
        </w:rPr>
        <w:t>MedQuAD Golden Dataset — Processing Pipeline</w:t>
      </w:r>
    </w:p>
    <w:p>
      <w:pPr>
        <w:jc w:val="center"/>
      </w:pPr>
      <w:r>
        <w:rPr>
          <w:i/>
          <w:color w:val="606060"/>
          <w:sz w:val="20"/>
        </w:rPr>
        <w:t>Page Owner: Data Team     |     Last Updated: 2026-05-06     |     Source: scripts/build_golden_dataset.py</w:t>
      </w:r>
    </w:p>
    <w:p/>
    <w:p>
      <w:pPr>
        <w:pStyle w:val="Heading1"/>
      </w:pPr>
      <w:r>
        <w:rPr>
          <w:color w:val="17385E"/>
        </w:rPr>
        <w:t>Overview</w:t>
      </w:r>
    </w:p>
    <w:p>
      <w:r>
        <w:rPr>
          <w:b w:val="0"/>
          <w:sz w:val="22"/>
        </w:rPr>
        <w:t>The golden dataset is a curated set of 100 unique medical question-answer pairs derived from the raw MedQuAD dataset. It is used as a ground-truth reference for evaluation and retrieval tasks.</w:t>
      </w:r>
    </w:p>
    <w:p/>
    <w:p>
      <w:r>
        <w:rPr>
          <w:b w:val="0"/>
          <w:sz w:val="22"/>
        </w:rPr>
        <w:t>Raw input:   data/raw/medquad.csv — 16,412 rows, 4 columns (question, answer, source, focus_area)</w:t>
      </w:r>
    </w:p>
    <w:p>
      <w:r>
        <w:rPr>
          <w:b w:val="0"/>
          <w:sz w:val="22"/>
        </w:rPr>
        <w:t>Final output:  data/processed/golden_medquad.csv — 100 rows, 9 columns</w:t>
      </w:r>
    </w:p>
    <w:p>
      <w:pPr>
        <w:pStyle w:val="Heading1"/>
      </w:pPr>
      <w:r>
        <w:rPr>
          <w:color w:val="17385E"/>
        </w:rPr>
        <w:t>Pipeline at a Glance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F578A" w:color="auto" w:val="clear"/>
          </w:tcPr>
          <w:p>
            <w:r>
              <w:rPr>
                <w:b/>
                <w:color w:val="FFFFFF"/>
                <w:sz w:val="20"/>
              </w:rPr>
              <w:t>Step</w:t>
            </w:r>
          </w:p>
        </w:tc>
        <w:tc>
          <w:tcPr>
            <w:tcW w:type="dxa" w:w="1814"/>
            <w:shd w:fill="1F578A" w:color="auto" w:val="clear"/>
          </w:tcPr>
          <w:p>
            <w:r>
              <w:rPr>
                <w:b/>
                <w:color w:val="FFFFFF"/>
                <w:sz w:val="20"/>
              </w:rPr>
              <w:t>Name</w:t>
            </w:r>
          </w:p>
        </w:tc>
        <w:tc>
          <w:tcPr>
            <w:tcW w:type="dxa" w:w="1814"/>
            <w:shd w:fill="1F578A" w:color="auto" w:val="clear"/>
          </w:tcPr>
          <w:p>
            <w:r>
              <w:rPr>
                <w:b/>
                <w:color w:val="FFFFFF"/>
                <w:sz w:val="20"/>
              </w:rPr>
              <w:t>Input Rows</w:t>
            </w:r>
          </w:p>
        </w:tc>
        <w:tc>
          <w:tcPr>
            <w:tcW w:type="dxa" w:w="1814"/>
            <w:shd w:fill="1F578A" w:color="auto" w:val="clear"/>
          </w:tcPr>
          <w:p>
            <w:r>
              <w:rPr>
                <w:b/>
                <w:color w:val="FFFFFF"/>
                <w:sz w:val="20"/>
              </w:rPr>
              <w:t>Output Rows</w:t>
            </w:r>
          </w:p>
        </w:tc>
        <w:tc>
          <w:tcPr>
            <w:tcW w:type="dxa" w:w="1814"/>
            <w:shd w:fill="1F578A" w:color="auto" w:val="clear"/>
          </w:tcPr>
          <w:p>
            <w:r>
              <w:rPr>
                <w:b/>
                <w:color w:val="FFFFFF"/>
                <w:sz w:val="20"/>
              </w:rPr>
              <w:t>Output File</w:t>
            </w:r>
          </w:p>
        </w:tc>
      </w:tr>
      <w:tr>
        <w:tc>
          <w:tcPr>
            <w:tcW w:type="dxa" w:w="1814"/>
            <w:shd w:fill="EAF2FB" w:color="auto" w:val="clear"/>
          </w:tcPr>
          <w:p>
            <w:r>
              <w:rPr>
                <w:sz w:val="20"/>
              </w:rPr>
              <w:t>1</w:t>
            </w:r>
          </w:p>
        </w:tc>
        <w:tc>
          <w:tcPr>
            <w:tcW w:type="dxa" w:w="1814"/>
            <w:shd w:fill="EAF2FB" w:color="auto" w:val="clear"/>
          </w:tcPr>
          <w:p>
            <w:r>
              <w:rPr>
                <w:sz w:val="20"/>
              </w:rPr>
              <w:t>Basic Cleaning</w:t>
            </w:r>
          </w:p>
        </w:tc>
        <w:tc>
          <w:tcPr>
            <w:tcW w:type="dxa" w:w="1814"/>
            <w:shd w:fill="EAF2FB" w:color="auto" w:val="clear"/>
          </w:tcPr>
          <w:p>
            <w:r>
              <w:rPr>
                <w:sz w:val="20"/>
              </w:rPr>
              <w:t>16,412</w:t>
            </w:r>
          </w:p>
        </w:tc>
        <w:tc>
          <w:tcPr>
            <w:tcW w:type="dxa" w:w="1814"/>
            <w:shd w:fill="EAF2FB" w:color="auto" w:val="clear"/>
          </w:tcPr>
          <w:p>
            <w:r>
              <w:rPr>
                <w:sz w:val="20"/>
              </w:rPr>
              <w:t>~9,661</w:t>
            </w:r>
          </w:p>
        </w:tc>
        <w:tc>
          <w:tcPr>
            <w:tcW w:type="dxa" w:w="1814"/>
            <w:shd w:fill="EAF2FB" w:color="auto" w:val="clear"/>
          </w:tcPr>
          <w:p>
            <w:r>
              <w:rPr>
                <w:sz w:val="20"/>
              </w:rPr>
              <w:t>medquad_cleaned.csv</w:t>
            </w:r>
          </w:p>
        </w:tc>
      </w:tr>
      <w:tr>
        <w:tc>
          <w:tcPr>
            <w:tcW w:type="dxa" w:w="1814"/>
            <w:shd w:fill="FFFFFF" w:color="auto" w:val="clear"/>
          </w:tcPr>
          <w:p>
            <w:r>
              <w:rPr>
                <w:sz w:val="20"/>
              </w:rPr>
              <w:t>2a</w:t>
            </w:r>
          </w:p>
        </w:tc>
        <w:tc>
          <w:tcPr>
            <w:tcW w:type="dxa" w:w="1814"/>
            <w:shd w:fill="FFFFFF" w:color="auto" w:val="clear"/>
          </w:tcPr>
          <w:p>
            <w:r>
              <w:rPr>
                <w:sz w:val="20"/>
              </w:rPr>
              <w:t>Literal URL Reference Filter</w:t>
            </w:r>
          </w:p>
        </w:tc>
        <w:tc>
          <w:tcPr>
            <w:tcW w:type="dxa" w:w="1814"/>
            <w:shd w:fill="FFFFFF" w:color="auto" w:val="clear"/>
          </w:tcPr>
          <w:p>
            <w:r>
              <w:rPr>
                <w:sz w:val="20"/>
              </w:rPr>
              <w:t>9,661</w:t>
            </w:r>
          </w:p>
        </w:tc>
        <w:tc>
          <w:tcPr>
            <w:tcW w:type="dxa" w:w="1814"/>
            <w:shd w:fill="FFFFFF" w:color="auto" w:val="clear"/>
          </w:tcPr>
          <w:p>
            <w:r>
              <w:rPr>
                <w:sz w:val="20"/>
              </w:rPr>
              <w:t>~45</w:t>
            </w:r>
          </w:p>
        </w:tc>
        <w:tc>
          <w:tcPr>
            <w:tcW w:type="dxa" w:w="1814"/>
            <w:shd w:fill="FFFFFF" w:color="auto" w:val="clear"/>
          </w:tcPr>
          <w:p>
            <w:r>
              <w:rPr>
                <w:sz w:val="20"/>
              </w:rPr>
              <w:t>medquad_url_filtered.csv</w:t>
            </w:r>
          </w:p>
        </w:tc>
      </w:tr>
      <w:tr>
        <w:tc>
          <w:tcPr>
            <w:tcW w:type="dxa" w:w="1814"/>
            <w:shd w:fill="EAF2FB" w:color="auto" w:val="clear"/>
          </w:tcPr>
          <w:p>
            <w:r>
              <w:rPr>
                <w:sz w:val="20"/>
              </w:rPr>
              <w:t>2b</w:t>
            </w:r>
          </w:p>
        </w:tc>
        <w:tc>
          <w:tcPr>
            <w:tcW w:type="dxa" w:w="1814"/>
            <w:shd w:fill="EAF2FB" w:color="auto" w:val="clear"/>
          </w:tcPr>
          <w:p>
            <w:r>
              <w:rPr>
                <w:sz w:val="20"/>
              </w:rPr>
              <w:t>Website Link Resolution</w:t>
            </w:r>
          </w:p>
        </w:tc>
        <w:tc>
          <w:tcPr>
            <w:tcW w:type="dxa" w:w="1814"/>
            <w:shd w:fill="EAF2FB" w:color="auto" w:val="clear"/>
          </w:tcPr>
          <w:p>
            <w:r>
              <w:rPr>
                <w:sz w:val="20"/>
              </w:rPr>
              <w:t>9,661</w:t>
            </w:r>
          </w:p>
        </w:tc>
        <w:tc>
          <w:tcPr>
            <w:tcW w:type="dxa" w:w="1814"/>
            <w:shd w:fill="EAF2FB" w:color="auto" w:val="clear"/>
          </w:tcPr>
          <w:p>
            <w:r>
              <w:rPr>
                <w:sz w:val="20"/>
              </w:rPr>
              <w:t>9,661</w:t>
            </w:r>
          </w:p>
        </w:tc>
        <w:tc>
          <w:tcPr>
            <w:tcW w:type="dxa" w:w="1814"/>
            <w:shd w:fill="EAF2FB" w:color="auto" w:val="clear"/>
          </w:tcPr>
          <w:p>
            <w:r>
              <w:rPr>
                <w:sz w:val="20"/>
              </w:rPr>
              <w:t>(in-memory)</w:t>
            </w:r>
          </w:p>
        </w:tc>
      </w:tr>
      <w:tr>
        <w:tc>
          <w:tcPr>
            <w:tcW w:type="dxa" w:w="1814"/>
            <w:shd w:fill="FFFFFF" w:color="auto" w:val="clear"/>
          </w:tcPr>
          <w:p>
            <w:r>
              <w:rPr>
                <w:sz w:val="20"/>
              </w:rPr>
              <w:t>3</w:t>
            </w:r>
          </w:p>
        </w:tc>
        <w:tc>
          <w:tcPr>
            <w:tcW w:type="dxa" w:w="1814"/>
            <w:shd w:fill="FFFFFF" w:color="auto" w:val="clear"/>
          </w:tcPr>
          <w:p>
            <w:r>
              <w:rPr>
                <w:sz w:val="20"/>
              </w:rPr>
              <w:t>Enrichment</w:t>
            </w:r>
          </w:p>
        </w:tc>
        <w:tc>
          <w:tcPr>
            <w:tcW w:type="dxa" w:w="1814"/>
            <w:shd w:fill="FFFFFF" w:color="auto" w:val="clear"/>
          </w:tcPr>
          <w:p>
            <w:r>
              <w:rPr>
                <w:sz w:val="20"/>
              </w:rPr>
              <w:t>9,661</w:t>
            </w:r>
          </w:p>
        </w:tc>
        <w:tc>
          <w:tcPr>
            <w:tcW w:type="dxa" w:w="1814"/>
            <w:shd w:fill="FFFFFF" w:color="auto" w:val="clear"/>
          </w:tcPr>
          <w:p>
            <w:r>
              <w:rPr>
                <w:sz w:val="20"/>
              </w:rPr>
              <w:t>9,661</w:t>
            </w:r>
          </w:p>
        </w:tc>
        <w:tc>
          <w:tcPr>
            <w:tcW w:type="dxa" w:w="1814"/>
            <w:shd w:fill="FFFFFF" w:color="auto" w:val="clear"/>
          </w:tcPr>
          <w:p>
            <w:r>
              <w:rPr>
                <w:sz w:val="20"/>
              </w:rPr>
              <w:t>(in-memory)</w:t>
            </w:r>
          </w:p>
        </w:tc>
      </w:tr>
      <w:tr>
        <w:tc>
          <w:tcPr>
            <w:tcW w:type="dxa" w:w="1814"/>
            <w:shd w:fill="EAF2FB" w:color="auto" w:val="clear"/>
          </w:tcPr>
          <w:p>
            <w:r>
              <w:rPr>
                <w:sz w:val="20"/>
              </w:rPr>
              <w:t>4</w:t>
            </w:r>
          </w:p>
        </w:tc>
        <w:tc>
          <w:tcPr>
            <w:tcW w:type="dxa" w:w="1814"/>
            <w:shd w:fill="EAF2FB" w:color="auto" w:val="clear"/>
          </w:tcPr>
          <w:p>
            <w:r>
              <w:rPr>
                <w:sz w:val="20"/>
              </w:rPr>
              <w:t>Golden Sampling</w:t>
            </w:r>
          </w:p>
        </w:tc>
        <w:tc>
          <w:tcPr>
            <w:tcW w:type="dxa" w:w="1814"/>
            <w:shd w:fill="EAF2FB" w:color="auto" w:val="clear"/>
          </w:tcPr>
          <w:p>
            <w:r>
              <w:rPr>
                <w:sz w:val="20"/>
              </w:rPr>
              <w:t>9,661</w:t>
            </w:r>
          </w:p>
        </w:tc>
        <w:tc>
          <w:tcPr>
            <w:tcW w:type="dxa" w:w="1814"/>
            <w:shd w:fill="EAF2FB" w:color="auto" w:val="clear"/>
          </w:tcPr>
          <w:p>
            <w:r>
              <w:rPr>
                <w:sz w:val="20"/>
              </w:rPr>
              <w:t>100</w:t>
            </w:r>
          </w:p>
        </w:tc>
        <w:tc>
          <w:tcPr>
            <w:tcW w:type="dxa" w:w="1814"/>
            <w:shd w:fill="EAF2FB" w:color="auto" w:val="clear"/>
          </w:tcPr>
          <w:p>
            <w:r>
              <w:rPr>
                <w:sz w:val="20"/>
              </w:rPr>
              <w:t>golden_medquad.csv / .parquet</w:t>
            </w:r>
          </w:p>
        </w:tc>
      </w:tr>
    </w:tbl>
    <w:p/>
    <w:p>
      <w:pPr>
        <w:pStyle w:val="Heading1"/>
      </w:pPr>
      <w:r>
        <w:rPr>
          <w:color w:val="17385E"/>
        </w:rPr>
        <w:t>Step 1 — Basic Cleaning</w:t>
      </w:r>
    </w:p>
    <w:p>
      <w:r>
        <w:rPr>
          <w:b/>
          <w:sz w:val="22"/>
        </w:rPr>
        <w:t>Function: clean_medquad()  in  src/medqa/transform.py</w:t>
      </w:r>
    </w:p>
    <w:p/>
    <w:p>
      <w:r>
        <w:rPr>
          <w:b w:val="0"/>
          <w:sz w:val="22"/>
        </w:rPr>
        <w:t>All four text fields (question, answer, source, focus_area) are Unicode-normalised and whitespace-collapsed first. The following filters are then applied in order:</w:t>
      </w:r>
    </w:p>
    <w:tbl>
      <w:tblPr>
        <w:tblStyle w:val="TableGrid"/>
        <w:tblW w:type="auto" w:w="0"/>
        <w:tblLook w:firstColumn="1" w:firstRow="1" w:lastColumn="0" w:lastRow="0" w:noHBand="0" w:noVBand="1" w:val="04A0"/>
      </w:tblPr>
      <w:tblGrid>
        <w:gridCol w:w="3024"/>
        <w:gridCol w:w="3024"/>
        <w:gridCol w:w="3024"/>
      </w:tblGrid>
      <w:tr>
        <w:tc>
          <w:tcPr>
            <w:tcW w:type="dxa" w:w="3024"/>
            <w:shd w:fill="1F578A" w:color="auto" w:val="clear"/>
          </w:tcPr>
          <w:p>
            <w:r>
              <w:rPr>
                <w:b/>
                <w:color w:val="FFFFFF"/>
                <w:sz w:val="20"/>
              </w:rPr>
              <w:t>#</w:t>
            </w:r>
          </w:p>
        </w:tc>
        <w:tc>
          <w:tcPr>
            <w:tcW w:type="dxa" w:w="3024"/>
            <w:shd w:fill="1F578A" w:color="auto" w:val="clear"/>
          </w:tcPr>
          <w:p>
            <w:r>
              <w:rPr>
                <w:b/>
                <w:color w:val="FFFFFF"/>
                <w:sz w:val="20"/>
              </w:rPr>
              <w:t>Rule</w:t>
            </w:r>
          </w:p>
        </w:tc>
        <w:tc>
          <w:tcPr>
            <w:tcW w:type="dxa" w:w="3024"/>
            <w:shd w:fill="1F578A" w:color="auto" w:val="clear"/>
          </w:tcPr>
          <w:p>
            <w:r>
              <w:rPr>
                <w:b/>
                <w:color w:val="FFFFFF"/>
                <w:sz w:val="20"/>
              </w:rPr>
              <w:t>Detail</w:t>
            </w:r>
          </w:p>
        </w:tc>
      </w:tr>
      <w:tr>
        <w:tc>
          <w:tcPr>
            <w:tcW w:type="dxa" w:w="3024"/>
            <w:shd w:fill="EAF2FB" w:color="auto" w:val="clear"/>
          </w:tcPr>
          <w:p>
            <w:r>
              <w:rPr>
                <w:sz w:val="20"/>
              </w:rPr>
              <w:t>1</w:t>
            </w:r>
          </w:p>
        </w:tc>
        <w:tc>
          <w:tcPr>
            <w:tcW w:type="dxa" w:w="3024"/>
            <w:shd w:fill="EAF2FB" w:color="auto" w:val="clear"/>
          </w:tcPr>
          <w:p>
            <w:r>
              <w:rPr>
                <w:sz w:val="20"/>
              </w:rPr>
              <w:t>Drop missing question</w:t>
            </w:r>
          </w:p>
        </w:tc>
        <w:tc>
          <w:tcPr>
            <w:tcW w:type="dxa" w:w="3024"/>
            <w:shd w:fill="EAF2FB" w:color="auto" w:val="clear"/>
          </w:tcPr>
          <w:p>
            <w:r>
              <w:rPr>
                <w:sz w:val="20"/>
              </w:rPr>
              <w:t>Rows where question is empty after normalisation → removed</w:t>
            </w:r>
          </w:p>
        </w:tc>
      </w:tr>
      <w:tr>
        <w:tc>
          <w:tcPr>
            <w:tcW w:type="dxa" w:w="3024"/>
            <w:shd w:fill="FFFFFF" w:color="auto" w:val="clear"/>
          </w:tcPr>
          <w:p>
            <w:r>
              <w:rPr>
                <w:sz w:val="20"/>
              </w:rPr>
              <w:t>2</w:t>
            </w:r>
          </w:p>
        </w:tc>
        <w:tc>
          <w:tcPr>
            <w:tcW w:type="dxa" w:w="3024"/>
            <w:shd w:fill="FFFFFF" w:color="auto" w:val="clear"/>
          </w:tcPr>
          <w:p>
            <w:r>
              <w:rPr>
                <w:sz w:val="20"/>
              </w:rPr>
              <w:t>Drop missing answer</w:t>
            </w:r>
          </w:p>
        </w:tc>
        <w:tc>
          <w:tcPr>
            <w:tcW w:type="dxa" w:w="3024"/>
            <w:shd w:fill="FFFFFF" w:color="auto" w:val="clear"/>
          </w:tcPr>
          <w:p>
            <w:r>
              <w:rPr>
                <w:sz w:val="20"/>
              </w:rPr>
              <w:t>Rows where answer is empty after normalisation → removed</w:t>
            </w:r>
          </w:p>
        </w:tc>
      </w:tr>
      <w:tr>
        <w:tc>
          <w:tcPr>
            <w:tcW w:type="dxa" w:w="3024"/>
            <w:shd w:fill="EAF2FB" w:color="auto" w:val="clear"/>
          </w:tcPr>
          <w:p>
            <w:r>
              <w:rPr>
                <w:sz w:val="20"/>
              </w:rPr>
              <w:t>3</w:t>
            </w:r>
          </w:p>
        </w:tc>
        <w:tc>
          <w:tcPr>
            <w:tcW w:type="dxa" w:w="3024"/>
            <w:shd w:fill="EAF2FB" w:color="auto" w:val="clear"/>
          </w:tcPr>
          <w:p>
            <w:r>
              <w:rPr>
                <w:sz w:val="20"/>
              </w:rPr>
              <w:t>Drop missing focus area</w:t>
            </w:r>
          </w:p>
        </w:tc>
        <w:tc>
          <w:tcPr>
            <w:tcW w:type="dxa" w:w="3024"/>
            <w:shd w:fill="EAF2FB" w:color="auto" w:val="clear"/>
          </w:tcPr>
          <w:p>
            <w:r>
              <w:rPr>
                <w:sz w:val="20"/>
              </w:rPr>
              <w:t>Rows where focus_area is empty → removed</w:t>
            </w:r>
          </w:p>
        </w:tc>
      </w:tr>
      <w:tr>
        <w:tc>
          <w:tcPr>
            <w:tcW w:type="dxa" w:w="3024"/>
            <w:shd w:fill="FFFFFF" w:color="auto" w:val="clear"/>
          </w:tcPr>
          <w:p>
            <w:r>
              <w:rPr>
                <w:sz w:val="20"/>
              </w:rPr>
              <w:t>4</w:t>
            </w:r>
          </w:p>
        </w:tc>
        <w:tc>
          <w:tcPr>
            <w:tcW w:type="dxa" w:w="3024"/>
            <w:shd w:fill="FFFFFF" w:color="auto" w:val="clear"/>
          </w:tcPr>
          <w:p>
            <w:r>
              <w:rPr>
                <w:sz w:val="20"/>
              </w:rPr>
              <w:t>Drop short answers</w:t>
            </w:r>
          </w:p>
        </w:tc>
        <w:tc>
          <w:tcPr>
            <w:tcW w:type="dxa" w:w="3024"/>
            <w:shd w:fill="FFFFFF" w:color="auto" w:val="clear"/>
          </w:tcPr>
          <w:p>
            <w:r>
              <w:rPr>
                <w:sz w:val="20"/>
              </w:rPr>
              <w:t>Answers with fewer than 100 words → removed</w:t>
            </w:r>
          </w:p>
        </w:tc>
      </w:tr>
      <w:tr>
        <w:tc>
          <w:tcPr>
            <w:tcW w:type="dxa" w:w="3024"/>
            <w:shd w:fill="EAF2FB" w:color="auto" w:val="clear"/>
          </w:tcPr>
          <w:p>
            <w:r>
              <w:rPr>
                <w:sz w:val="20"/>
              </w:rPr>
              <w:t>5</w:t>
            </w:r>
          </w:p>
        </w:tc>
        <w:tc>
          <w:tcPr>
            <w:tcW w:type="dxa" w:w="3024"/>
            <w:shd w:fill="EAF2FB" w:color="auto" w:val="clear"/>
          </w:tcPr>
          <w:p>
            <w:r>
              <w:rPr>
                <w:sz w:val="20"/>
              </w:rPr>
              <w:t>Drop noisy text</w:t>
            </w:r>
          </w:p>
        </w:tc>
        <w:tc>
          <w:tcPr>
            <w:tcW w:type="dxa" w:w="3024"/>
            <w:shd w:fill="EAF2FB" w:color="auto" w:val="clear"/>
          </w:tcPr>
          <w:p>
            <w:r>
              <w:rPr>
                <w:sz w:val="20"/>
              </w:rPr>
              <w:t>Answers where alphabetic characters are below 70% of total characters → removed</w:t>
            </w:r>
          </w:p>
        </w:tc>
      </w:tr>
      <w:tr>
        <w:tc>
          <w:tcPr>
            <w:tcW w:type="dxa" w:w="3024"/>
            <w:shd w:fill="FFFFFF" w:color="auto" w:val="clear"/>
          </w:tcPr>
          <w:p>
            <w:r>
              <w:rPr>
                <w:sz w:val="20"/>
              </w:rPr>
              <w:t>6</w:t>
            </w:r>
          </w:p>
        </w:tc>
        <w:tc>
          <w:tcPr>
            <w:tcW w:type="dxa" w:w="3024"/>
            <w:shd w:fill="FFFFFF" w:color="auto" w:val="clear"/>
          </w:tcPr>
          <w:p>
            <w:r>
              <w:rPr>
                <w:sz w:val="20"/>
              </w:rPr>
              <w:t>Deduplicate</w:t>
            </w:r>
          </w:p>
        </w:tc>
        <w:tc>
          <w:tcPr>
            <w:tcW w:type="dxa" w:w="3024"/>
            <w:shd w:fill="FFFFFF" w:color="auto" w:val="clear"/>
          </w:tcPr>
          <w:p>
            <w:r>
              <w:rPr>
                <w:sz w:val="20"/>
              </w:rPr>
              <w:t>Per (focus_area, normalized_question) — when the same question exists across multiple source documents, only the longest answer is kept</w:t>
            </w:r>
          </w:p>
        </w:tc>
      </w:tr>
      <w:tr>
        <w:tc>
          <w:tcPr>
            <w:tcW w:type="dxa" w:w="3024"/>
            <w:shd w:fill="EAF2FB" w:color="auto" w:val="clear"/>
          </w:tcPr>
          <w:p>
            <w:r>
              <w:rPr>
                <w:sz w:val="20"/>
              </w:rPr>
              <w:t>7</w:t>
            </w:r>
          </w:p>
        </w:tc>
        <w:tc>
          <w:tcPr>
            <w:tcW w:type="dxa" w:w="3024"/>
            <w:shd w:fill="EAF2FB" w:color="auto" w:val="clear"/>
          </w:tcPr>
          <w:p>
            <w:r>
              <w:rPr>
                <w:sz w:val="20"/>
              </w:rPr>
              <w:t>Reset index</w:t>
            </w:r>
          </w:p>
        </w:tc>
        <w:tc>
          <w:tcPr>
            <w:tcW w:type="dxa" w:w="3024"/>
            <w:shd w:fill="EAF2FB" w:color="auto" w:val="clear"/>
          </w:tcPr>
          <w:p>
            <w:r>
              <w:rPr>
                <w:sz w:val="20"/>
              </w:rPr>
              <w:t>DataFrame index reset after all drops</w:t>
            </w:r>
          </w:p>
        </w:tc>
      </w:tr>
    </w:tbl>
    <w:p/>
    <w:p>
      <w:pPr>
        <w:ind w:left="432"/>
      </w:pPr>
      <w:r>
        <w:rPr>
          <w:i/>
          <w:color w:val="1F4E79"/>
          <w:sz w:val="20"/>
        </w:rPr>
        <w:t>ℹ  Deduplication is scoped to each (focus_area, normalized_question) pair, not globally. This allows the same question template (e.g. 'What are the symptoms of…') to exist across different diseases while still removing within-disease duplicates from multiple source documents.</w:t>
      </w:r>
    </w:p>
    <w:p>
      <w:pPr>
        <w:pStyle w:val="Heading1"/>
      </w:pPr>
      <w:r>
        <w:rPr>
          <w:color w:val="17385E"/>
        </w:rPr>
        <w:t>Step 2a — Literal URL Reference Filter</w:t>
      </w:r>
    </w:p>
    <w:p>
      <w:r>
        <w:rPr>
          <w:b/>
          <w:sz w:val="22"/>
        </w:rPr>
        <w:t>Function: filter_url_rows()  in  src/medqa/transform.py</w:t>
      </w:r>
    </w:p>
    <w:p/>
    <w:p>
      <w:r>
        <w:rPr>
          <w:b w:val="0"/>
          <w:sz w:val="22"/>
        </w:rPr>
        <w:t>Rows whose answer text contains a literal http:// or https:// URL are extracted and saved as a reference file. The extracted URL is stored in context_source_id.</w:t>
      </w:r>
    </w:p>
    <w:p/>
    <w:p>
      <w:r>
        <w:rPr>
          <w:b w:val="0"/>
          <w:sz w:val="22"/>
        </w:rPr>
        <w:t>This file is saved for reference only — it is not used as the sampling pool for the golden dataset. Only ~45 of the 9,661 cleaned rows contain an embedded URL.</w:t>
      </w:r>
    </w:p>
    <w:p/>
    <w:p>
      <w:r>
        <w:rPr>
          <w:b w:val="0"/>
          <w:sz w:val="22"/>
        </w:rPr>
        <w:t>Output:  data/processed/medquad_url_filtered.csv</w:t>
      </w:r>
    </w:p>
    <w:p>
      <w:pPr>
        <w:pStyle w:val="Heading1"/>
      </w:pPr>
      <w:r>
        <w:rPr>
          <w:color w:val="17385E"/>
        </w:rPr>
        <w:t>Step 2b — Website Link Resolution</w:t>
      </w:r>
    </w:p>
    <w:p>
      <w:r>
        <w:rPr>
          <w:b/>
          <w:sz w:val="22"/>
        </w:rPr>
        <w:t>Function: resolve_website_links()  in  src/medqa/transform.py</w:t>
      </w:r>
    </w:p>
    <w:p/>
    <w:p>
      <w:r>
        <w:rPr>
          <w:b w:val="0"/>
          <w:sz w:val="22"/>
        </w:rPr>
        <w:t>context_source_id is resolved for every row using a two-tier priority:</w:t>
      </w:r>
    </w:p>
    <w:tbl>
      <w:tblPr>
        <w:tblStyle w:val="TableGrid"/>
        <w:tblW w:type="auto" w:w="0"/>
        <w:tblLook w:firstColumn="1" w:firstRow="1" w:lastColumn="0" w:lastRow="0" w:noHBand="0" w:noVBand="1" w:val="04A0"/>
      </w:tblPr>
      <w:tblGrid>
        <w:gridCol w:w="3024"/>
        <w:gridCol w:w="3024"/>
        <w:gridCol w:w="3024"/>
      </w:tblGrid>
      <w:tr>
        <w:tc>
          <w:tcPr>
            <w:tcW w:type="dxa" w:w="3024"/>
            <w:shd w:fill="1F578A" w:color="auto" w:val="clear"/>
          </w:tcPr>
          <w:p>
            <w:r>
              <w:rPr>
                <w:b/>
                <w:color w:val="FFFFFF"/>
                <w:sz w:val="20"/>
              </w:rPr>
              <w:t>Priority</w:t>
            </w:r>
          </w:p>
        </w:tc>
        <w:tc>
          <w:tcPr>
            <w:tcW w:type="dxa" w:w="3024"/>
            <w:shd w:fill="1F578A" w:color="auto" w:val="clear"/>
          </w:tcPr>
          <w:p>
            <w:r>
              <w:rPr>
                <w:b/>
                <w:color w:val="FFFFFF"/>
                <w:sz w:val="20"/>
              </w:rPr>
              <w:t>Source</w:t>
            </w:r>
          </w:p>
        </w:tc>
        <w:tc>
          <w:tcPr>
            <w:tcW w:type="dxa" w:w="3024"/>
            <w:shd w:fill="1F578A" w:color="auto" w:val="clear"/>
          </w:tcPr>
          <w:p>
            <w:r>
              <w:rPr>
                <w:b/>
                <w:color w:val="FFFFFF"/>
                <w:sz w:val="20"/>
              </w:rPr>
              <w:t>Example</w:t>
            </w:r>
          </w:p>
        </w:tc>
      </w:tr>
      <w:tr>
        <w:tc>
          <w:tcPr>
            <w:tcW w:type="dxa" w:w="3024"/>
            <w:shd w:fill="EAF2FB" w:color="auto" w:val="clear"/>
          </w:tcPr>
          <w:p>
            <w:r>
              <w:rPr>
                <w:sz w:val="20"/>
              </w:rPr>
              <w:t>1st</w:t>
            </w:r>
          </w:p>
        </w:tc>
        <w:tc>
          <w:tcPr>
            <w:tcW w:type="dxa" w:w="3024"/>
            <w:shd w:fill="EAF2FB" w:color="auto" w:val="clear"/>
          </w:tcPr>
          <w:p>
            <w:r>
              <w:rPr>
                <w:sz w:val="20"/>
              </w:rPr>
              <w:t>Literal http/https URL extracted from the answer text</w:t>
            </w:r>
          </w:p>
        </w:tc>
        <w:tc>
          <w:tcPr>
            <w:tcW w:type="dxa" w:w="3024"/>
            <w:shd w:fill="EAF2FB" w:color="auto" w:val="clear"/>
          </w:tcPr>
          <w:p>
            <w:r>
              <w:rPr>
                <w:sz w:val="20"/>
              </w:rPr>
              <w:t>http://www.cancer.gov/melanomarisktool/</w:t>
            </w:r>
          </w:p>
        </w:tc>
      </w:tr>
      <w:tr>
        <w:tc>
          <w:tcPr>
            <w:tcW w:type="dxa" w:w="3024"/>
            <w:shd w:fill="FFFFFF" w:color="auto" w:val="clear"/>
          </w:tcPr>
          <w:p>
            <w:r>
              <w:rPr>
                <w:sz w:val="20"/>
              </w:rPr>
              <w:t>2nd</w:t>
            </w:r>
          </w:p>
        </w:tc>
        <w:tc>
          <w:tcPr>
            <w:tcW w:type="dxa" w:w="3024"/>
            <w:shd w:fill="FFFFFF" w:color="auto" w:val="clear"/>
          </w:tcPr>
          <w:p>
            <w:r>
              <w:rPr>
                <w:sz w:val="20"/>
              </w:rPr>
              <w:t>Authoritative website mapped from the source institution name</w:t>
            </w:r>
          </w:p>
        </w:tc>
        <w:tc>
          <w:tcPr>
            <w:tcW w:type="dxa" w:w="3024"/>
            <w:shd w:fill="FFFFFF" w:color="auto" w:val="clear"/>
          </w:tcPr>
          <w:p>
            <w:r>
              <w:rPr>
                <w:sz w:val="20"/>
              </w:rPr>
              <w:t>CancerGov → https://www.cancer.gov</w:t>
            </w:r>
          </w:p>
        </w:tc>
      </w:tr>
    </w:tbl>
    <w:p/>
    <w:p>
      <w:r>
        <w:rPr>
          <w:b/>
          <w:sz w:val="22"/>
        </w:rPr>
        <w:t>Source-to-URL mapping:</w:t>
      </w:r>
    </w:p>
    <w:tbl>
      <w:tblPr>
        <w:tblStyle w:val="TableGrid"/>
        <w:tblW w:type="auto" w:w="0"/>
        <w:tblLook w:firstColumn="1" w:firstRow="1" w:lastColumn="0" w:lastRow="0" w:noHBand="0" w:noVBand="1" w:val="04A0"/>
      </w:tblPr>
      <w:tblGrid>
        <w:gridCol w:w="4536"/>
        <w:gridCol w:w="4536"/>
      </w:tblGrid>
      <w:tr>
        <w:tc>
          <w:tcPr>
            <w:tcW w:type="dxa" w:w="4536"/>
            <w:shd w:fill="1F578A" w:color="auto" w:val="clear"/>
          </w:tcPr>
          <w:p>
            <w:r>
              <w:rPr>
                <w:b/>
                <w:color w:val="FFFFFF"/>
                <w:sz w:val="20"/>
              </w:rPr>
              <w:t>Source Value</w:t>
            </w:r>
          </w:p>
        </w:tc>
        <w:tc>
          <w:tcPr>
            <w:tcW w:type="dxa" w:w="4536"/>
            <w:shd w:fill="1F578A" w:color="auto" w:val="clear"/>
          </w:tcPr>
          <w:p>
            <w:r>
              <w:rPr>
                <w:b/>
                <w:color w:val="FFFFFF"/>
                <w:sz w:val="20"/>
              </w:rPr>
              <w:t>Resolved URL</w:t>
            </w:r>
          </w:p>
        </w:tc>
      </w:tr>
      <w:tr>
        <w:tc>
          <w:tcPr>
            <w:tcW w:type="dxa" w:w="4536"/>
            <w:shd w:fill="EAF2FB" w:color="auto" w:val="clear"/>
          </w:tcPr>
          <w:p>
            <w:r>
              <w:rPr>
                <w:sz w:val="20"/>
              </w:rPr>
              <w:t>GHR</w:t>
            </w:r>
          </w:p>
        </w:tc>
        <w:tc>
          <w:tcPr>
            <w:tcW w:type="dxa" w:w="4536"/>
            <w:shd w:fill="EAF2FB" w:color="auto" w:val="clear"/>
          </w:tcPr>
          <w:p>
            <w:r>
              <w:rPr>
                <w:sz w:val="20"/>
              </w:rPr>
              <w:t>https://ghr.nlm.nih.gov</w:t>
            </w:r>
          </w:p>
        </w:tc>
      </w:tr>
      <w:tr>
        <w:tc>
          <w:tcPr>
            <w:tcW w:type="dxa" w:w="4536"/>
            <w:shd w:fill="FFFFFF" w:color="auto" w:val="clear"/>
          </w:tcPr>
          <w:p>
            <w:r>
              <w:rPr>
                <w:sz w:val="20"/>
              </w:rPr>
              <w:t>GARD</w:t>
            </w:r>
          </w:p>
        </w:tc>
        <w:tc>
          <w:tcPr>
            <w:tcW w:type="dxa" w:w="4536"/>
            <w:shd w:fill="FFFFFF" w:color="auto" w:val="clear"/>
          </w:tcPr>
          <w:p>
            <w:r>
              <w:rPr>
                <w:sz w:val="20"/>
              </w:rPr>
              <w:t>https://rarediseases.info.nih.gov</w:t>
            </w:r>
          </w:p>
        </w:tc>
      </w:tr>
      <w:tr>
        <w:tc>
          <w:tcPr>
            <w:tcW w:type="dxa" w:w="4536"/>
            <w:shd w:fill="EAF2FB" w:color="auto" w:val="clear"/>
          </w:tcPr>
          <w:p>
            <w:r>
              <w:rPr>
                <w:sz w:val="20"/>
              </w:rPr>
              <w:t>NIDDK</w:t>
            </w:r>
          </w:p>
        </w:tc>
        <w:tc>
          <w:tcPr>
            <w:tcW w:type="dxa" w:w="4536"/>
            <w:shd w:fill="EAF2FB" w:color="auto" w:val="clear"/>
          </w:tcPr>
          <w:p>
            <w:r>
              <w:rPr>
                <w:sz w:val="20"/>
              </w:rPr>
              <w:t>https://www.niddk.nih.gov</w:t>
            </w:r>
          </w:p>
        </w:tc>
      </w:tr>
      <w:tr>
        <w:tc>
          <w:tcPr>
            <w:tcW w:type="dxa" w:w="4536"/>
            <w:shd w:fill="FFFFFF" w:color="auto" w:val="clear"/>
          </w:tcPr>
          <w:p>
            <w:r>
              <w:rPr>
                <w:sz w:val="20"/>
              </w:rPr>
              <w:t>NINDS</w:t>
            </w:r>
          </w:p>
        </w:tc>
        <w:tc>
          <w:tcPr>
            <w:tcW w:type="dxa" w:w="4536"/>
            <w:shd w:fill="FFFFFF" w:color="auto" w:val="clear"/>
          </w:tcPr>
          <w:p>
            <w:r>
              <w:rPr>
                <w:sz w:val="20"/>
              </w:rPr>
              <w:t>https://www.ninds.nih.gov</w:t>
            </w:r>
          </w:p>
        </w:tc>
      </w:tr>
      <w:tr>
        <w:tc>
          <w:tcPr>
            <w:tcW w:type="dxa" w:w="4536"/>
            <w:shd w:fill="EAF2FB" w:color="auto" w:val="clear"/>
          </w:tcPr>
          <w:p>
            <w:r>
              <w:rPr>
                <w:sz w:val="20"/>
              </w:rPr>
              <w:t>MPlusHealthTopics</w:t>
            </w:r>
          </w:p>
        </w:tc>
        <w:tc>
          <w:tcPr>
            <w:tcW w:type="dxa" w:w="4536"/>
            <w:shd w:fill="EAF2FB" w:color="auto" w:val="clear"/>
          </w:tcPr>
          <w:p>
            <w:r>
              <w:rPr>
                <w:sz w:val="20"/>
              </w:rPr>
              <w:t>https://medlineplus.gov</w:t>
            </w:r>
          </w:p>
        </w:tc>
      </w:tr>
      <w:tr>
        <w:tc>
          <w:tcPr>
            <w:tcW w:type="dxa" w:w="4536"/>
            <w:shd w:fill="FFFFFF" w:color="auto" w:val="clear"/>
          </w:tcPr>
          <w:p>
            <w:r>
              <w:rPr>
                <w:sz w:val="20"/>
              </w:rPr>
              <w:t>NIHSeniorHealth</w:t>
            </w:r>
          </w:p>
        </w:tc>
        <w:tc>
          <w:tcPr>
            <w:tcW w:type="dxa" w:w="4536"/>
            <w:shd w:fill="FFFFFF" w:color="auto" w:val="clear"/>
          </w:tcPr>
          <w:p>
            <w:r>
              <w:rPr>
                <w:sz w:val="20"/>
              </w:rPr>
              <w:t>https://nihseniorhealth.gov</w:t>
            </w:r>
          </w:p>
        </w:tc>
      </w:tr>
      <w:tr>
        <w:tc>
          <w:tcPr>
            <w:tcW w:type="dxa" w:w="4536"/>
            <w:shd w:fill="EAF2FB" w:color="auto" w:val="clear"/>
          </w:tcPr>
          <w:p>
            <w:r>
              <w:rPr>
                <w:sz w:val="20"/>
              </w:rPr>
              <w:t>CancerGov</w:t>
            </w:r>
          </w:p>
        </w:tc>
        <w:tc>
          <w:tcPr>
            <w:tcW w:type="dxa" w:w="4536"/>
            <w:shd w:fill="EAF2FB" w:color="auto" w:val="clear"/>
          </w:tcPr>
          <w:p>
            <w:r>
              <w:rPr>
                <w:sz w:val="20"/>
              </w:rPr>
              <w:t>https://www.cancer.gov</w:t>
            </w:r>
          </w:p>
        </w:tc>
      </w:tr>
      <w:tr>
        <w:tc>
          <w:tcPr>
            <w:tcW w:type="dxa" w:w="4536"/>
            <w:shd w:fill="FFFFFF" w:color="auto" w:val="clear"/>
          </w:tcPr>
          <w:p>
            <w:r>
              <w:rPr>
                <w:sz w:val="20"/>
              </w:rPr>
              <w:t>NHLBI</w:t>
            </w:r>
          </w:p>
        </w:tc>
        <w:tc>
          <w:tcPr>
            <w:tcW w:type="dxa" w:w="4536"/>
            <w:shd w:fill="FFFFFF" w:color="auto" w:val="clear"/>
          </w:tcPr>
          <w:p>
            <w:r>
              <w:rPr>
                <w:sz w:val="20"/>
              </w:rPr>
              <w:t>https://www.nhlbi.nih.gov</w:t>
            </w:r>
          </w:p>
        </w:tc>
      </w:tr>
      <w:tr>
        <w:tc>
          <w:tcPr>
            <w:tcW w:type="dxa" w:w="4536"/>
            <w:shd w:fill="EAF2FB" w:color="auto" w:val="clear"/>
          </w:tcPr>
          <w:p>
            <w:r>
              <w:rPr>
                <w:sz w:val="20"/>
              </w:rPr>
              <w:t>CDC</w:t>
            </w:r>
          </w:p>
        </w:tc>
        <w:tc>
          <w:tcPr>
            <w:tcW w:type="dxa" w:w="4536"/>
            <w:shd w:fill="EAF2FB" w:color="auto" w:val="clear"/>
          </w:tcPr>
          <w:p>
            <w:r>
              <w:rPr>
                <w:sz w:val="20"/>
              </w:rPr>
              <w:t>https://www.cdc.gov</w:t>
            </w:r>
          </w:p>
        </w:tc>
      </w:tr>
    </w:tbl>
    <w:p/>
    <w:p>
      <w:pPr>
        <w:ind w:left="432"/>
      </w:pPr>
      <w:r>
        <w:rPr>
          <w:i/>
          <w:color w:val="1F4E79"/>
          <w:sz w:val="20"/>
        </w:rPr>
        <w:t>ℹ  Rows whose source is not in this map and whose answer contains no URL are dropped. In practice all 9,661 cleaned rows resolve successfully.</w:t>
      </w:r>
    </w:p>
    <w:p>
      <w:pPr>
        <w:pStyle w:val="Heading1"/>
      </w:pPr>
      <w:r>
        <w:rPr>
          <w:color w:val="17385E"/>
        </w:rPr>
        <w:t>Step 3 — Enrichment</w:t>
      </w:r>
    </w:p>
    <w:p>
      <w:r>
        <w:rPr>
          <w:b/>
          <w:sz w:val="22"/>
        </w:rPr>
        <w:t>Function: enrich_medquad()  in  src/medqa/transform.py</w:t>
      </w:r>
    </w:p>
    <w:p/>
    <w:p>
      <w:r>
        <w:rPr>
          <w:b w:val="0"/>
          <w:sz w:val="22"/>
        </w:rPr>
        <w:t>Two computed columns are added to every row.</w:t>
      </w:r>
    </w:p>
    <w:p>
      <w:pPr>
        <w:pStyle w:val="Heading3"/>
      </w:pPr>
      <w:r>
        <w:rPr>
          <w:color w:val="2E74B5"/>
        </w:rPr>
        <w:t>question_type</w:t>
      </w:r>
    </w:p>
    <w:p>
      <w:r>
        <w:rPr>
          <w:b w:val="0"/>
          <w:sz w:val="22"/>
        </w:rPr>
        <w:t>Assigned by keyword match on the question text. Rules are evaluated in order; first match wins.</w:t>
      </w:r>
    </w:p>
    <w:tbl>
      <w:tblPr>
        <w:tblStyle w:val="TableGrid"/>
        <w:tblW w:type="auto" w:w="0"/>
        <w:tblLook w:firstColumn="1" w:firstRow="1" w:lastColumn="0" w:lastRow="0" w:noHBand="0" w:noVBand="1" w:val="04A0"/>
      </w:tblPr>
      <w:tblGrid>
        <w:gridCol w:w="4536"/>
        <w:gridCol w:w="4536"/>
      </w:tblGrid>
      <w:tr>
        <w:tc>
          <w:tcPr>
            <w:tcW w:type="dxa" w:w="4536"/>
            <w:shd w:fill="1F578A" w:color="auto" w:val="clear"/>
          </w:tcPr>
          <w:p>
            <w:r>
              <w:rPr>
                <w:b/>
                <w:color w:val="FFFFFF"/>
                <w:sz w:val="20"/>
              </w:rPr>
              <w:t>question_type</w:t>
            </w:r>
          </w:p>
        </w:tc>
        <w:tc>
          <w:tcPr>
            <w:tcW w:type="dxa" w:w="4536"/>
            <w:shd w:fill="1F578A" w:color="auto" w:val="clear"/>
          </w:tcPr>
          <w:p>
            <w:r>
              <w:rPr>
                <w:b/>
                <w:color w:val="FFFFFF"/>
                <w:sz w:val="20"/>
              </w:rPr>
              <w:t>Keywords Matched in Question</w:t>
            </w:r>
          </w:p>
        </w:tc>
      </w:tr>
      <w:tr>
        <w:tc>
          <w:tcPr>
            <w:tcW w:type="dxa" w:w="4536"/>
            <w:shd w:fill="EAF2FB" w:color="auto" w:val="clear"/>
          </w:tcPr>
          <w:p>
            <w:r>
              <w:rPr>
                <w:sz w:val="20"/>
              </w:rPr>
              <w:t>symptom</w:t>
            </w:r>
          </w:p>
        </w:tc>
        <w:tc>
          <w:tcPr>
            <w:tcW w:type="dxa" w:w="4536"/>
            <w:shd w:fill="EAF2FB" w:color="auto" w:val="clear"/>
          </w:tcPr>
          <w:p>
            <w:r>
              <w:rPr>
                <w:sz w:val="20"/>
              </w:rPr>
              <w:t>symptom, symptoms, sign, signs</w:t>
            </w:r>
          </w:p>
        </w:tc>
      </w:tr>
      <w:tr>
        <w:tc>
          <w:tcPr>
            <w:tcW w:type="dxa" w:w="4536"/>
            <w:shd w:fill="FFFFFF" w:color="auto" w:val="clear"/>
          </w:tcPr>
          <w:p>
            <w:r>
              <w:rPr>
                <w:sz w:val="20"/>
              </w:rPr>
              <w:t>treatment</w:t>
            </w:r>
          </w:p>
        </w:tc>
        <w:tc>
          <w:tcPr>
            <w:tcW w:type="dxa" w:w="4536"/>
            <w:shd w:fill="FFFFFF" w:color="auto" w:val="clear"/>
          </w:tcPr>
          <w:p>
            <w:r>
              <w:rPr>
                <w:sz w:val="20"/>
              </w:rPr>
              <w:t>treatment, treat, therapy, medication, drug, cure, manage</w:t>
            </w:r>
          </w:p>
        </w:tc>
      </w:tr>
      <w:tr>
        <w:tc>
          <w:tcPr>
            <w:tcW w:type="dxa" w:w="4536"/>
            <w:shd w:fill="EAF2FB" w:color="auto" w:val="clear"/>
          </w:tcPr>
          <w:p>
            <w:r>
              <w:rPr>
                <w:sz w:val="20"/>
              </w:rPr>
              <w:t>cause</w:t>
            </w:r>
          </w:p>
        </w:tc>
        <w:tc>
          <w:tcPr>
            <w:tcW w:type="dxa" w:w="4536"/>
            <w:shd w:fill="EAF2FB" w:color="auto" w:val="clear"/>
          </w:tcPr>
          <w:p>
            <w:r>
              <w:rPr>
                <w:sz w:val="20"/>
              </w:rPr>
              <w:t>cause, causes, caused, why, etiology</w:t>
            </w:r>
          </w:p>
        </w:tc>
      </w:tr>
      <w:tr>
        <w:tc>
          <w:tcPr>
            <w:tcW w:type="dxa" w:w="4536"/>
            <w:shd w:fill="FFFFFF" w:color="auto" w:val="clear"/>
          </w:tcPr>
          <w:p>
            <w:r>
              <w:rPr>
                <w:sz w:val="20"/>
              </w:rPr>
              <w:t>Diagnosis</w:t>
            </w:r>
          </w:p>
        </w:tc>
        <w:tc>
          <w:tcPr>
            <w:tcW w:type="dxa" w:w="4536"/>
            <w:shd w:fill="FFFFFF" w:color="auto" w:val="clear"/>
          </w:tcPr>
          <w:p>
            <w:r>
              <w:rPr>
                <w:sz w:val="20"/>
              </w:rPr>
              <w:t>diagnos* (diagnose / diagnosis / diagnostic), detect, test, screening, examination</w:t>
            </w:r>
          </w:p>
        </w:tc>
      </w:tr>
      <w:tr>
        <w:tc>
          <w:tcPr>
            <w:tcW w:type="dxa" w:w="4536"/>
            <w:shd w:fill="EAF2FB" w:color="auto" w:val="clear"/>
          </w:tcPr>
          <w:p>
            <w:r>
              <w:rPr>
                <w:sz w:val="20"/>
              </w:rPr>
              <w:t>Prevention</w:t>
            </w:r>
          </w:p>
        </w:tc>
        <w:tc>
          <w:tcPr>
            <w:tcW w:type="dxa" w:w="4536"/>
            <w:shd w:fill="EAF2FB" w:color="auto" w:val="clear"/>
          </w:tcPr>
          <w:p>
            <w:r>
              <w:rPr>
                <w:sz w:val="20"/>
              </w:rPr>
              <w:t>prevent, prevention, avoid, reducing risk</w:t>
            </w:r>
          </w:p>
        </w:tc>
      </w:tr>
      <w:tr>
        <w:tc>
          <w:tcPr>
            <w:tcW w:type="dxa" w:w="4536"/>
            <w:shd w:fill="FFFFFF" w:color="auto" w:val="clear"/>
          </w:tcPr>
          <w:p>
            <w:r>
              <w:rPr>
                <w:sz w:val="20"/>
              </w:rPr>
              <w:t>general</w:t>
            </w:r>
          </w:p>
        </w:tc>
        <w:tc>
          <w:tcPr>
            <w:tcW w:type="dxa" w:w="4536"/>
            <w:shd w:fill="FFFFFF" w:color="auto" w:val="clear"/>
          </w:tcPr>
          <w:p>
            <w:r>
              <w:rPr>
                <w:sz w:val="20"/>
              </w:rPr>
              <w:t>Fallback — e.g. 'What is…', 'Who is at risk…'</w:t>
            </w:r>
          </w:p>
        </w:tc>
      </w:tr>
    </w:tbl>
    <w:p/>
    <w:p>
      <w:pPr>
        <w:pStyle w:val="Heading3"/>
      </w:pPr>
      <w:r>
        <w:rPr>
          <w:color w:val="2E74B5"/>
        </w:rPr>
        <w:t>difficulty_level</w:t>
      </w:r>
    </w:p>
    <w:p>
      <w:r>
        <w:rPr>
          <w:b w:val="0"/>
          <w:sz w:val="22"/>
        </w:rPr>
        <w:t>Assigned from word counts of the question and answer.</w:t>
      </w:r>
    </w:p>
    <w:tbl>
      <w:tblPr>
        <w:tblStyle w:val="TableGrid"/>
        <w:tblW w:type="auto" w:w="0"/>
        <w:tblLook w:firstColumn="1" w:firstRow="1" w:lastColumn="0" w:lastRow="0" w:noHBand="0" w:noVBand="1" w:val="04A0"/>
      </w:tblPr>
      <w:tblGrid>
        <w:gridCol w:w="4536"/>
        <w:gridCol w:w="4536"/>
      </w:tblGrid>
      <w:tr>
        <w:tc>
          <w:tcPr>
            <w:tcW w:type="dxa" w:w="4536"/>
            <w:shd w:fill="1F578A" w:color="auto" w:val="clear"/>
          </w:tcPr>
          <w:p>
            <w:r>
              <w:rPr>
                <w:b/>
                <w:color w:val="FFFFFF"/>
                <w:sz w:val="20"/>
              </w:rPr>
              <w:t>difficulty_level</w:t>
            </w:r>
          </w:p>
        </w:tc>
        <w:tc>
          <w:tcPr>
            <w:tcW w:type="dxa" w:w="4536"/>
            <w:shd w:fill="1F578A" w:color="auto" w:val="clear"/>
          </w:tcPr>
          <w:p>
            <w:r>
              <w:rPr>
                <w:b/>
                <w:color w:val="FFFFFF"/>
                <w:sz w:val="20"/>
              </w:rPr>
              <w:t>Condition</w:t>
            </w:r>
          </w:p>
        </w:tc>
      </w:tr>
      <w:tr>
        <w:tc>
          <w:tcPr>
            <w:tcW w:type="dxa" w:w="4536"/>
            <w:shd w:fill="EAF2FB" w:color="auto" w:val="clear"/>
          </w:tcPr>
          <w:p>
            <w:r>
              <w:rPr>
                <w:sz w:val="20"/>
              </w:rPr>
              <w:t>easy</w:t>
            </w:r>
          </w:p>
        </w:tc>
        <w:tc>
          <w:tcPr>
            <w:tcW w:type="dxa" w:w="4536"/>
            <w:shd w:fill="EAF2FB" w:color="auto" w:val="clear"/>
          </w:tcPr>
          <w:p>
            <w:r>
              <w:rPr>
                <w:sz w:val="20"/>
              </w:rPr>
              <w:t>question ≤ 10 words  AND  answer ≤ 200 words</w:t>
            </w:r>
          </w:p>
        </w:tc>
      </w:tr>
      <w:tr>
        <w:tc>
          <w:tcPr>
            <w:tcW w:type="dxa" w:w="4536"/>
            <w:shd w:fill="FFFFFF" w:color="auto" w:val="clear"/>
          </w:tcPr>
          <w:p>
            <w:r>
              <w:rPr>
                <w:sz w:val="20"/>
              </w:rPr>
              <w:t>hard</w:t>
            </w:r>
          </w:p>
        </w:tc>
        <w:tc>
          <w:tcPr>
            <w:tcW w:type="dxa" w:w="4536"/>
            <w:shd w:fill="FFFFFF" w:color="auto" w:val="clear"/>
          </w:tcPr>
          <w:p>
            <w:r>
              <w:rPr>
                <w:sz w:val="20"/>
              </w:rPr>
              <w:t>question &gt; 20 words  OR   answer &gt; 400 words</w:t>
            </w:r>
          </w:p>
        </w:tc>
      </w:tr>
      <w:tr>
        <w:tc>
          <w:tcPr>
            <w:tcW w:type="dxa" w:w="4536"/>
            <w:shd w:fill="EAF2FB" w:color="auto" w:val="clear"/>
          </w:tcPr>
          <w:p>
            <w:r>
              <w:rPr>
                <w:sz w:val="20"/>
              </w:rPr>
              <w:t>medium</w:t>
            </w:r>
          </w:p>
        </w:tc>
        <w:tc>
          <w:tcPr>
            <w:tcW w:type="dxa" w:w="4536"/>
            <w:shd w:fill="EAF2FB" w:color="auto" w:val="clear"/>
          </w:tcPr>
          <w:p>
            <w:r>
              <w:rPr>
                <w:sz w:val="20"/>
              </w:rPr>
              <w:t>All other cases</w:t>
            </w:r>
          </w:p>
        </w:tc>
      </w:tr>
    </w:tbl>
    <w:p/>
    <w:p>
      <w:pPr>
        <w:pStyle w:val="Heading1"/>
      </w:pPr>
      <w:r>
        <w:rPr>
          <w:color w:val="17385E"/>
        </w:rPr>
        <w:t>Step 4 — Golden Sampling</w:t>
      </w:r>
    </w:p>
    <w:p>
      <w:r>
        <w:rPr>
          <w:b/>
          <w:sz w:val="22"/>
        </w:rPr>
        <w:t>Function: sample_golden_dataset()  in  src/medqa/transform.py</w:t>
      </w:r>
    </w:p>
    <w:p/>
    <w:p>
      <w:r>
        <w:rPr>
          <w:b w:val="0"/>
          <w:sz w:val="22"/>
        </w:rPr>
        <w:t>Collects exactly 100 unique-question rows from the top focus areas with a maximum of 10 rows per focus area.</w:t>
      </w:r>
    </w:p>
    <w:p>
      <w:pPr>
        <w:pStyle w:val="Heading3"/>
      </w:pPr>
      <w:r>
        <w:rPr>
          <w:color w:val="2E74B5"/>
        </w:rPr>
        <w:t>Algorithm</w:t>
      </w:r>
    </w:p>
    <w:p>
      <w:pPr>
        <w:pStyle w:val="ListNumber"/>
      </w:pPr>
      <w:r>
        <w:rPr>
          <w:sz w:val="22"/>
        </w:rPr>
        <w:t>Rank all focus areas by the number of unique questions available (descending).</w:t>
      </w:r>
    </w:p>
    <w:p>
      <w:pPr>
        <w:pStyle w:val="ListNumber"/>
      </w:pPr>
      <w:r>
        <w:rPr>
          <w:sz w:val="22"/>
        </w:rPr>
        <w:t>Iterate through focus areas in rank order until 100 rows are collected.</w:t>
      </w:r>
    </w:p>
    <w:p>
      <w:pPr>
        <w:pStyle w:val="ListNumber"/>
      </w:pPr>
      <w:r>
        <w:rPr>
          <w:sz w:val="22"/>
        </w:rPr>
        <w:t>For each focus area, determine:  take = min(rows available, 10, rows still needed).</w:t>
      </w:r>
    </w:p>
    <w:p>
      <w:pPr>
        <w:pStyle w:val="ListNumber"/>
      </w:pPr>
      <w:r>
        <w:rPr>
          <w:sz w:val="22"/>
        </w:rPr>
        <w:t>Diversity pass — select one row per question_type, starting from the rarest type first. This ensures each focus area spans as many question types as possible.</w:t>
      </w:r>
    </w:p>
    <w:p>
      <w:pPr>
        <w:pStyle w:val="ListNumber"/>
      </w:pPr>
      <w:r>
        <w:rPr>
          <w:sz w:val="22"/>
        </w:rPr>
        <w:t>Fill pass — add remaining rows from the focus area pool without replacement until take is reached.</w:t>
      </w:r>
    </w:p>
    <w:p>
      <w:pPr>
        <w:pStyle w:val="ListNumber"/>
      </w:pPr>
      <w:r>
        <w:rPr>
          <w:sz w:val="22"/>
        </w:rPr>
        <w:t>After all rows are collected, assign sequential golden_id values (GOLD0001 … GOLD0100) and copy answer into both ground_truth and expected_context.</w:t>
      </w:r>
    </w:p>
    <w:p/>
    <w:p>
      <w:pPr>
        <w:ind w:left="432"/>
      </w:pPr>
      <w:r>
        <w:rPr>
          <w:i/>
          <w:color w:val="1F4E79"/>
          <w:sz w:val="20"/>
        </w:rPr>
        <w:t>ℹ  Why more than 10 focus areas? MedQuAD uses approximately 10 fixed question templates per disease (symptoms, causes, treatments, diagnosis, prevention, etc.). After deduplication, most focus areas have 8–10 unique questions. To collect 100 rows with no duplicate questions and no replacement sampling, the algorithm draws from approximately 12 of the top focus areas rather than strictly 10.</w:t>
      </w:r>
    </w:p>
    <w:p>
      <w:pPr>
        <w:pStyle w:val="Heading1"/>
      </w:pPr>
      <w:r>
        <w:rPr>
          <w:color w:val="17385E"/>
        </w:rPr>
        <w:t>Output Schema</w:t>
      </w:r>
    </w:p>
    <w:tbl>
      <w:tblPr>
        <w:tblStyle w:val="TableGrid"/>
        <w:tblW w:type="auto" w:w="0"/>
        <w:tblLook w:firstColumn="1" w:firstRow="1" w:lastColumn="0" w:lastRow="0" w:noHBand="0" w:noVBand="1" w:val="04A0"/>
      </w:tblPr>
      <w:tblGrid>
        <w:gridCol w:w="3024"/>
        <w:gridCol w:w="3024"/>
        <w:gridCol w:w="3024"/>
      </w:tblGrid>
      <w:tr>
        <w:tc>
          <w:tcPr>
            <w:tcW w:type="dxa" w:w="3024"/>
            <w:shd w:fill="1F578A" w:color="auto" w:val="clear"/>
          </w:tcPr>
          <w:p>
            <w:r>
              <w:rPr>
                <w:b/>
                <w:color w:val="FFFFFF"/>
                <w:sz w:val="20"/>
              </w:rPr>
              <w:t>Column</w:t>
            </w:r>
          </w:p>
        </w:tc>
        <w:tc>
          <w:tcPr>
            <w:tcW w:type="dxa" w:w="3024"/>
            <w:shd w:fill="1F578A" w:color="auto" w:val="clear"/>
          </w:tcPr>
          <w:p>
            <w:r>
              <w:rPr>
                <w:b/>
                <w:color w:val="FFFFFF"/>
                <w:sz w:val="20"/>
              </w:rPr>
              <w:t>Description</w:t>
            </w:r>
          </w:p>
        </w:tc>
        <w:tc>
          <w:tcPr>
            <w:tcW w:type="dxa" w:w="3024"/>
            <w:shd w:fill="1F578A" w:color="auto" w:val="clear"/>
          </w:tcPr>
          <w:p>
            <w:r>
              <w:rPr>
                <w:b/>
                <w:color w:val="FFFFFF"/>
                <w:sz w:val="20"/>
              </w:rPr>
              <w:t>Example</w:t>
            </w:r>
          </w:p>
        </w:tc>
      </w:tr>
      <w:tr>
        <w:tc>
          <w:tcPr>
            <w:tcW w:type="dxa" w:w="3024"/>
            <w:shd w:fill="EAF2FB" w:color="auto" w:val="clear"/>
          </w:tcPr>
          <w:p>
            <w:r>
              <w:rPr>
                <w:sz w:val="20"/>
              </w:rPr>
              <w:t>golden_id</w:t>
            </w:r>
          </w:p>
        </w:tc>
        <w:tc>
          <w:tcPr>
            <w:tcW w:type="dxa" w:w="3024"/>
            <w:shd w:fill="EAF2FB" w:color="auto" w:val="clear"/>
          </w:tcPr>
          <w:p>
            <w:r>
              <w:rPr>
                <w:sz w:val="20"/>
              </w:rPr>
              <w:t>Unique sequential identifier</w:t>
            </w:r>
          </w:p>
        </w:tc>
        <w:tc>
          <w:tcPr>
            <w:tcW w:type="dxa" w:w="3024"/>
            <w:shd w:fill="EAF2FB" w:color="auto" w:val="clear"/>
          </w:tcPr>
          <w:p>
            <w:r>
              <w:rPr>
                <w:sz w:val="20"/>
              </w:rPr>
              <w:t>GOLD0001</w:t>
            </w:r>
          </w:p>
        </w:tc>
      </w:tr>
      <w:tr>
        <w:tc>
          <w:tcPr>
            <w:tcW w:type="dxa" w:w="3024"/>
            <w:shd w:fill="FFFFFF" w:color="auto" w:val="clear"/>
          </w:tcPr>
          <w:p>
            <w:r>
              <w:rPr>
                <w:sz w:val="20"/>
              </w:rPr>
              <w:t>question</w:t>
            </w:r>
          </w:p>
        </w:tc>
        <w:tc>
          <w:tcPr>
            <w:tcW w:type="dxa" w:w="3024"/>
            <w:shd w:fill="FFFFFF" w:color="auto" w:val="clear"/>
          </w:tcPr>
          <w:p>
            <w:r>
              <w:rPr>
                <w:sz w:val="20"/>
              </w:rPr>
              <w:t>Medical question from MedQuAD</w:t>
            </w:r>
          </w:p>
        </w:tc>
        <w:tc>
          <w:tcPr>
            <w:tcW w:type="dxa" w:w="3024"/>
            <w:shd w:fill="FFFFFF" w:color="auto" w:val="clear"/>
          </w:tcPr>
          <w:p>
            <w:r>
              <w:rPr>
                <w:sz w:val="20"/>
              </w:rPr>
              <w:t>What are the symptoms of Breast Cancer?</w:t>
            </w:r>
          </w:p>
        </w:tc>
      </w:tr>
      <w:tr>
        <w:tc>
          <w:tcPr>
            <w:tcW w:type="dxa" w:w="3024"/>
            <w:shd w:fill="EAF2FB" w:color="auto" w:val="clear"/>
          </w:tcPr>
          <w:p>
            <w:r>
              <w:rPr>
                <w:sz w:val="20"/>
              </w:rPr>
              <w:t>ground_truth</w:t>
            </w:r>
          </w:p>
        </w:tc>
        <w:tc>
          <w:tcPr>
            <w:tcW w:type="dxa" w:w="3024"/>
            <w:shd w:fill="EAF2FB" w:color="auto" w:val="clear"/>
          </w:tcPr>
          <w:p>
            <w:r>
              <w:rPr>
                <w:sz w:val="20"/>
              </w:rPr>
              <w:t>Original MedQuAD answer (full text)</w:t>
            </w:r>
          </w:p>
        </w:tc>
        <w:tc>
          <w:tcPr>
            <w:tcW w:type="dxa" w:w="3024"/>
            <w:shd w:fill="EAF2FB" w:color="auto" w:val="clear"/>
          </w:tcPr>
          <w:p>
            <w:r>
              <w:rPr>
                <w:sz w:val="20"/>
              </w:rPr>
              <w:t>(answer text)</w:t>
            </w:r>
          </w:p>
        </w:tc>
      </w:tr>
      <w:tr>
        <w:tc>
          <w:tcPr>
            <w:tcW w:type="dxa" w:w="3024"/>
            <w:shd w:fill="FFFFFF" w:color="auto" w:val="clear"/>
          </w:tcPr>
          <w:p>
            <w:r>
              <w:rPr>
                <w:sz w:val="20"/>
              </w:rPr>
              <w:t>source</w:t>
            </w:r>
          </w:p>
        </w:tc>
        <w:tc>
          <w:tcPr>
            <w:tcW w:type="dxa" w:w="3024"/>
            <w:shd w:fill="FFFFFF" w:color="auto" w:val="clear"/>
          </w:tcPr>
          <w:p>
            <w:r>
              <w:rPr>
                <w:sz w:val="20"/>
              </w:rPr>
              <w:t>Source institution name</w:t>
            </w:r>
          </w:p>
        </w:tc>
        <w:tc>
          <w:tcPr>
            <w:tcW w:type="dxa" w:w="3024"/>
            <w:shd w:fill="FFFFFF" w:color="auto" w:val="clear"/>
          </w:tcPr>
          <w:p>
            <w:r>
              <w:rPr>
                <w:sz w:val="20"/>
              </w:rPr>
              <w:t>NIHSeniorHealth</w:t>
            </w:r>
          </w:p>
        </w:tc>
      </w:tr>
      <w:tr>
        <w:tc>
          <w:tcPr>
            <w:tcW w:type="dxa" w:w="3024"/>
            <w:shd w:fill="EAF2FB" w:color="auto" w:val="clear"/>
          </w:tcPr>
          <w:p>
            <w:r>
              <w:rPr>
                <w:sz w:val="20"/>
              </w:rPr>
              <w:t>focus_area</w:t>
            </w:r>
          </w:p>
        </w:tc>
        <w:tc>
          <w:tcPr>
            <w:tcW w:type="dxa" w:w="3024"/>
            <w:shd w:fill="EAF2FB" w:color="auto" w:val="clear"/>
          </w:tcPr>
          <w:p>
            <w:r>
              <w:rPr>
                <w:sz w:val="20"/>
              </w:rPr>
              <w:t>Medical topic / disease</w:t>
            </w:r>
          </w:p>
        </w:tc>
        <w:tc>
          <w:tcPr>
            <w:tcW w:type="dxa" w:w="3024"/>
            <w:shd w:fill="EAF2FB" w:color="auto" w:val="clear"/>
          </w:tcPr>
          <w:p>
            <w:r>
              <w:rPr>
                <w:sz w:val="20"/>
              </w:rPr>
              <w:t>Breast Cancer</w:t>
            </w:r>
          </w:p>
        </w:tc>
      </w:tr>
      <w:tr>
        <w:tc>
          <w:tcPr>
            <w:tcW w:type="dxa" w:w="3024"/>
            <w:shd w:fill="FFFFFF" w:color="auto" w:val="clear"/>
          </w:tcPr>
          <w:p>
            <w:r>
              <w:rPr>
                <w:sz w:val="20"/>
              </w:rPr>
              <w:t>expected_context</w:t>
            </w:r>
          </w:p>
        </w:tc>
        <w:tc>
          <w:tcPr>
            <w:tcW w:type="dxa" w:w="3024"/>
            <w:shd w:fill="FFFFFF" w:color="auto" w:val="clear"/>
          </w:tcPr>
          <w:p>
            <w:r>
              <w:rPr>
                <w:sz w:val="20"/>
              </w:rPr>
              <w:t>Evidence text — same as ground_truth for now</w:t>
            </w:r>
          </w:p>
        </w:tc>
        <w:tc>
          <w:tcPr>
            <w:tcW w:type="dxa" w:w="3024"/>
            <w:shd w:fill="FFFFFF" w:color="auto" w:val="clear"/>
          </w:tcPr>
          <w:p>
            <w:r>
              <w:rPr>
                <w:sz w:val="20"/>
              </w:rPr>
              <w:t>(answer text)</w:t>
            </w:r>
          </w:p>
        </w:tc>
      </w:tr>
      <w:tr>
        <w:tc>
          <w:tcPr>
            <w:tcW w:type="dxa" w:w="3024"/>
            <w:shd w:fill="EAF2FB" w:color="auto" w:val="clear"/>
          </w:tcPr>
          <w:p>
            <w:r>
              <w:rPr>
                <w:sz w:val="20"/>
              </w:rPr>
              <w:t>context_source_id</w:t>
            </w:r>
          </w:p>
        </w:tc>
        <w:tc>
          <w:tcPr>
            <w:tcW w:type="dxa" w:w="3024"/>
            <w:shd w:fill="EAF2FB" w:color="auto" w:val="clear"/>
          </w:tcPr>
          <w:p>
            <w:r>
              <w:rPr>
                <w:sz w:val="20"/>
              </w:rPr>
              <w:t>Website link (from answer text or source mapping)</w:t>
            </w:r>
          </w:p>
        </w:tc>
        <w:tc>
          <w:tcPr>
            <w:tcW w:type="dxa" w:w="3024"/>
            <w:shd w:fill="EAF2FB" w:color="auto" w:val="clear"/>
          </w:tcPr>
          <w:p>
            <w:r>
              <w:rPr>
                <w:sz w:val="20"/>
              </w:rPr>
              <w:t>https://nihseniorhealth.gov</w:t>
            </w:r>
          </w:p>
        </w:tc>
      </w:tr>
      <w:tr>
        <w:tc>
          <w:tcPr>
            <w:tcW w:type="dxa" w:w="3024"/>
            <w:shd w:fill="FFFFFF" w:color="auto" w:val="clear"/>
          </w:tcPr>
          <w:p>
            <w:r>
              <w:rPr>
                <w:sz w:val="20"/>
              </w:rPr>
              <w:t>question_type</w:t>
            </w:r>
          </w:p>
        </w:tc>
        <w:tc>
          <w:tcPr>
            <w:tcW w:type="dxa" w:w="3024"/>
            <w:shd w:fill="FFFFFF" w:color="auto" w:val="clear"/>
          </w:tcPr>
          <w:p>
            <w:r>
              <w:rPr>
                <w:sz w:val="20"/>
              </w:rPr>
              <w:t>Classified question category</w:t>
            </w:r>
          </w:p>
        </w:tc>
        <w:tc>
          <w:tcPr>
            <w:tcW w:type="dxa" w:w="3024"/>
            <w:shd w:fill="FFFFFF" w:color="auto" w:val="clear"/>
          </w:tcPr>
          <w:p>
            <w:r>
              <w:rPr>
                <w:sz w:val="20"/>
              </w:rPr>
              <w:t>symptom</w:t>
            </w:r>
          </w:p>
        </w:tc>
      </w:tr>
      <w:tr>
        <w:tc>
          <w:tcPr>
            <w:tcW w:type="dxa" w:w="3024"/>
            <w:shd w:fill="EAF2FB" w:color="auto" w:val="clear"/>
          </w:tcPr>
          <w:p>
            <w:r>
              <w:rPr>
                <w:sz w:val="20"/>
              </w:rPr>
              <w:t>difficulty_level</w:t>
            </w:r>
          </w:p>
        </w:tc>
        <w:tc>
          <w:tcPr>
            <w:tcW w:type="dxa" w:w="3024"/>
            <w:shd w:fill="EAF2FB" w:color="auto" w:val="clear"/>
          </w:tcPr>
          <w:p>
            <w:r>
              <w:rPr>
                <w:sz w:val="20"/>
              </w:rPr>
              <w:t>Classified difficulty</w:t>
            </w:r>
          </w:p>
        </w:tc>
        <w:tc>
          <w:tcPr>
            <w:tcW w:type="dxa" w:w="3024"/>
            <w:shd w:fill="EAF2FB" w:color="auto" w:val="clear"/>
          </w:tcPr>
          <w:p>
            <w:r>
              <w:rPr>
                <w:sz w:val="20"/>
              </w:rPr>
              <w:t>medium</w:t>
            </w:r>
          </w:p>
        </w:tc>
      </w:tr>
    </w:tbl>
    <w:p/>
    <w:p>
      <w:pPr>
        <w:pStyle w:val="Heading1"/>
      </w:pPr>
      <w:r>
        <w:rPr>
          <w:color w:val="17385E"/>
        </w:rPr>
        <w:t>Output Files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1F578A" w:color="auto" w:val="clear"/>
          </w:tcPr>
          <w:p>
            <w:r>
              <w:rPr>
                <w:b/>
                <w:color w:val="FFFFFF"/>
                <w:sz w:val="20"/>
              </w:rPr>
              <w:t>File</w:t>
            </w:r>
          </w:p>
        </w:tc>
        <w:tc>
          <w:tcPr>
            <w:tcW w:type="dxa" w:w="2268"/>
            <w:shd w:fill="1F578A" w:color="auto" w:val="clear"/>
          </w:tcPr>
          <w:p>
            <w:r>
              <w:rPr>
                <w:b/>
                <w:color w:val="FFFFFF"/>
                <w:sz w:val="20"/>
              </w:rPr>
              <w:t>Location</w:t>
            </w:r>
          </w:p>
        </w:tc>
        <w:tc>
          <w:tcPr>
            <w:tcW w:type="dxa" w:w="2268"/>
            <w:shd w:fill="1F578A" w:color="auto" w:val="clear"/>
          </w:tcPr>
          <w:p>
            <w:r>
              <w:rPr>
                <w:b/>
                <w:color w:val="FFFFFF"/>
                <w:sz w:val="20"/>
              </w:rPr>
              <w:t>Format</w:t>
            </w:r>
          </w:p>
        </w:tc>
        <w:tc>
          <w:tcPr>
            <w:tcW w:type="dxa" w:w="2268"/>
            <w:shd w:fill="1F578A" w:color="auto" w:val="clear"/>
          </w:tcPr>
          <w:p>
            <w:r>
              <w:rPr>
                <w:b/>
                <w:color w:val="FFFFFF"/>
                <w:sz w:val="20"/>
              </w:rPr>
              <w:t>Rows</w:t>
            </w:r>
          </w:p>
        </w:tc>
      </w:tr>
      <w:tr>
        <w:tc>
          <w:tcPr>
            <w:tcW w:type="dxa" w:w="2268"/>
            <w:shd w:fill="EAF2FB" w:color="auto" w:val="clear"/>
          </w:tcPr>
          <w:p>
            <w:r>
              <w:rPr>
                <w:sz w:val="20"/>
              </w:rPr>
              <w:t>Raw input</w:t>
            </w:r>
          </w:p>
        </w:tc>
        <w:tc>
          <w:tcPr>
            <w:tcW w:type="dxa" w:w="2268"/>
            <w:shd w:fill="EAF2FB" w:color="auto" w:val="clear"/>
          </w:tcPr>
          <w:p>
            <w:r>
              <w:rPr>
                <w:sz w:val="20"/>
              </w:rPr>
              <w:t>data/raw/medquad.csv</w:t>
            </w:r>
          </w:p>
        </w:tc>
        <w:tc>
          <w:tcPr>
            <w:tcW w:type="dxa" w:w="2268"/>
            <w:shd w:fill="EAF2FB" w:color="auto" w:val="clear"/>
          </w:tcPr>
          <w:p>
            <w:r>
              <w:rPr>
                <w:sz w:val="20"/>
              </w:rPr>
              <w:t>CSV</w:t>
            </w:r>
          </w:p>
        </w:tc>
        <w:tc>
          <w:tcPr>
            <w:tcW w:type="dxa" w:w="2268"/>
            <w:shd w:fill="EAF2FB" w:color="auto" w:val="clear"/>
          </w:tcPr>
          <w:p>
            <w:r>
              <w:rPr>
                <w:sz w:val="20"/>
              </w:rPr>
              <w:t>16,412</w:t>
            </w:r>
          </w:p>
        </w:tc>
      </w:tr>
      <w:tr>
        <w:tc>
          <w:tcPr>
            <w:tcW w:type="dxa" w:w="2268"/>
            <w:shd w:fill="FFFFFF" w:color="auto" w:val="clear"/>
          </w:tcPr>
          <w:p>
            <w:r>
              <w:rPr>
                <w:sz w:val="20"/>
              </w:rPr>
              <w:t>Cleaned</w:t>
            </w:r>
          </w:p>
        </w:tc>
        <w:tc>
          <w:tcPr>
            <w:tcW w:type="dxa" w:w="2268"/>
            <w:shd w:fill="FFFFFF" w:color="auto" w:val="clear"/>
          </w:tcPr>
          <w:p>
            <w:r>
              <w:rPr>
                <w:sz w:val="20"/>
              </w:rPr>
              <w:t>data/processed/medquad_cleaned.csv</w:t>
            </w:r>
          </w:p>
        </w:tc>
        <w:tc>
          <w:tcPr>
            <w:tcW w:type="dxa" w:w="2268"/>
            <w:shd w:fill="FFFFFF" w:color="auto" w:val="clear"/>
          </w:tcPr>
          <w:p>
            <w:r>
              <w:rPr>
                <w:sz w:val="20"/>
              </w:rPr>
              <w:t>CSV</w:t>
            </w:r>
          </w:p>
        </w:tc>
        <w:tc>
          <w:tcPr>
            <w:tcW w:type="dxa" w:w="2268"/>
            <w:shd w:fill="FFFFFF" w:color="auto" w:val="clear"/>
          </w:tcPr>
          <w:p>
            <w:r>
              <w:rPr>
                <w:sz w:val="20"/>
              </w:rPr>
              <w:t>~9,661</w:t>
            </w:r>
          </w:p>
        </w:tc>
      </w:tr>
      <w:tr>
        <w:tc>
          <w:tcPr>
            <w:tcW w:type="dxa" w:w="2268"/>
            <w:shd w:fill="EAF2FB" w:color="auto" w:val="clear"/>
          </w:tcPr>
          <w:p>
            <w:r>
              <w:rPr>
                <w:sz w:val="20"/>
              </w:rPr>
              <w:t>URL reference</w:t>
            </w:r>
          </w:p>
        </w:tc>
        <w:tc>
          <w:tcPr>
            <w:tcW w:type="dxa" w:w="2268"/>
            <w:shd w:fill="EAF2FB" w:color="auto" w:val="clear"/>
          </w:tcPr>
          <w:p>
            <w:r>
              <w:rPr>
                <w:sz w:val="20"/>
              </w:rPr>
              <w:t>data/processed/medquad_url_filtered.csv</w:t>
            </w:r>
          </w:p>
        </w:tc>
        <w:tc>
          <w:tcPr>
            <w:tcW w:type="dxa" w:w="2268"/>
            <w:shd w:fill="EAF2FB" w:color="auto" w:val="clear"/>
          </w:tcPr>
          <w:p>
            <w:r>
              <w:rPr>
                <w:sz w:val="20"/>
              </w:rPr>
              <w:t>CSV</w:t>
            </w:r>
          </w:p>
        </w:tc>
        <w:tc>
          <w:tcPr>
            <w:tcW w:type="dxa" w:w="2268"/>
            <w:shd w:fill="EAF2FB" w:color="auto" w:val="clear"/>
          </w:tcPr>
          <w:p>
            <w:r>
              <w:rPr>
                <w:sz w:val="20"/>
              </w:rPr>
              <w:t>~45</w:t>
            </w:r>
          </w:p>
        </w:tc>
      </w:tr>
      <w:tr>
        <w:tc>
          <w:tcPr>
            <w:tcW w:type="dxa" w:w="2268"/>
            <w:shd w:fill="FFFFFF" w:color="auto" w:val="clear"/>
          </w:tcPr>
          <w:p>
            <w:r>
              <w:rPr>
                <w:sz w:val="20"/>
              </w:rPr>
              <w:t>Golden dataset</w:t>
            </w:r>
          </w:p>
        </w:tc>
        <w:tc>
          <w:tcPr>
            <w:tcW w:type="dxa" w:w="2268"/>
            <w:shd w:fill="FFFFFF" w:color="auto" w:val="clear"/>
          </w:tcPr>
          <w:p>
            <w:r>
              <w:rPr>
                <w:sz w:val="20"/>
              </w:rPr>
              <w:t>data/processed/golden_medquad.csv</w:t>
            </w:r>
          </w:p>
        </w:tc>
        <w:tc>
          <w:tcPr>
            <w:tcW w:type="dxa" w:w="2268"/>
            <w:shd w:fill="FFFFFF" w:color="auto" w:val="clear"/>
          </w:tcPr>
          <w:p>
            <w:r>
              <w:rPr>
                <w:sz w:val="20"/>
              </w:rPr>
              <w:t>CSV</w:t>
            </w:r>
          </w:p>
        </w:tc>
        <w:tc>
          <w:tcPr>
            <w:tcW w:type="dxa" w:w="2268"/>
            <w:shd w:fill="FFFFFF" w:color="auto" w:val="clear"/>
          </w:tcPr>
          <w:p>
            <w:r>
              <w:rPr>
                <w:sz w:val="20"/>
              </w:rPr>
              <w:t>100</w:t>
            </w:r>
          </w:p>
        </w:tc>
      </w:tr>
      <w:tr>
        <w:tc>
          <w:tcPr>
            <w:tcW w:type="dxa" w:w="2268"/>
            <w:shd w:fill="EAF2FB" w:color="auto" w:val="clear"/>
          </w:tcPr>
          <w:p>
            <w:r>
              <w:rPr>
                <w:sz w:val="20"/>
              </w:rPr>
              <w:t>Golden dataset</w:t>
            </w:r>
          </w:p>
        </w:tc>
        <w:tc>
          <w:tcPr>
            <w:tcW w:type="dxa" w:w="2268"/>
            <w:shd w:fill="EAF2FB" w:color="auto" w:val="clear"/>
          </w:tcPr>
          <w:p>
            <w:r>
              <w:rPr>
                <w:sz w:val="20"/>
              </w:rPr>
              <w:t>data/processed/golden_medquad.parquet</w:t>
            </w:r>
          </w:p>
        </w:tc>
        <w:tc>
          <w:tcPr>
            <w:tcW w:type="dxa" w:w="2268"/>
            <w:shd w:fill="EAF2FB" w:color="auto" w:val="clear"/>
          </w:tcPr>
          <w:p>
            <w:r>
              <w:rPr>
                <w:sz w:val="20"/>
              </w:rPr>
              <w:t>Parquet</w:t>
            </w:r>
          </w:p>
        </w:tc>
        <w:tc>
          <w:tcPr>
            <w:tcW w:type="dxa" w:w="2268"/>
            <w:shd w:fill="EAF2FB" w:color="auto" w:val="clear"/>
          </w:tcPr>
          <w:p>
            <w:r>
              <w:rPr>
                <w:sz w:val="20"/>
              </w:rPr>
              <w:t>100</w:t>
            </w:r>
          </w:p>
        </w:tc>
      </w:tr>
    </w:tbl>
    <w:p/>
    <w:p>
      <w:pPr>
        <w:pStyle w:val="Heading1"/>
      </w:pPr>
      <w:r>
        <w:rPr>
          <w:color w:val="17385E"/>
        </w:rPr>
        <w:t>Reproducing the Dataset</w:t>
      </w:r>
    </w:p>
    <w:p>
      <w:r>
        <w:rPr>
          <w:b w:val="0"/>
          <w:sz w:val="22"/>
        </w:rPr>
        <w:t>Run from the project root:</w:t>
      </w:r>
    </w:p>
    <w:p>
      <w:pPr>
        <w:ind w:left="432"/>
      </w:pPr>
      <w:r>
        <w:rPr>
          <w:rFonts w:ascii="Courier New" w:hAnsi="Courier New"/>
          <w:color w:val="1F4E79"/>
          <w:sz w:val="20"/>
        </w:rPr>
        <w:t>python scripts/build_golden_dataset.py</w:t>
      </w:r>
    </w:p>
    <w:p/>
    <w:p>
      <w:r>
        <w:rPr>
          <w:b w:val="0"/>
          <w:sz w:val="22"/>
        </w:rPr>
        <w:t>Requires Python 3.11+. Dependencies: pandas, pyarrow. Raw file must be present at data/raw/medquad.csv.</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