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1f3864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1f3864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1f3864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0e6a6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0e6a60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e6a60"/>
          <w:sz w:val="44"/>
          <w:szCs w:val="44"/>
          <w:rtl w:val="0"/>
        </w:rPr>
        <w:t xml:space="preserve">AN AI POWERED SOFTWARE-BASED FIRE DETECTION SYSTEM FOR CCTV PLATFORMS.</w:t>
      </w:r>
    </w:p>
    <w:p w:rsidR="00000000" w:rsidDel="00000000" w:rsidP="00000000" w:rsidRDefault="00000000" w:rsidRPr="00000000" w14:paraId="00000006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0e6a6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0e6a6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240" w:lineRule="auto"/>
        <w:jc w:val="center"/>
        <w:rPr>
          <w:rFonts w:ascii="Calibri" w:cs="Calibri" w:eastAsia="Calibri" w:hAnsi="Calibri"/>
          <w:b w:val="1"/>
          <w:bCs w:val="1"/>
          <w:color w:val="0e6a6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0" w:line="240" w:lineRule="auto"/>
        <w:jc w:val="center"/>
        <w:rPr>
          <w:rFonts w:ascii="Calibri" w:cs="Calibri" w:eastAsia="Calibri" w:hAnsi="Calibri"/>
          <w:b w:val="1"/>
          <w:bCs w:val="1"/>
          <w:sz w:val="38"/>
          <w:szCs w:val="3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8"/>
          <w:szCs w:val="38"/>
          <w:rtl w:val="0"/>
        </w:rPr>
        <w:t xml:space="preserve">FiremeX  -  TRACEABILITY MATRIX</w:t>
      </w:r>
    </w:p>
    <w:p w:rsidR="00000000" w:rsidDel="00000000" w:rsidP="00000000" w:rsidRDefault="00000000" w:rsidRPr="00000000" w14:paraId="0000000A">
      <w:pPr>
        <w:spacing w:after="400" w:line="240" w:lineRule="auto"/>
        <w:jc w:val="center"/>
        <w:rPr>
          <w:rFonts w:ascii="Calibri" w:cs="Calibri" w:eastAsia="Calibri" w:hAnsi="Calibri"/>
          <w:color w:val="0e6a60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color w:val="0e6a60"/>
          <w:sz w:val="30"/>
          <w:szCs w:val="30"/>
          <w:rtl w:val="0"/>
        </w:rPr>
        <w:t xml:space="preserve">SYSTEM FUNCTIONAL TESTING</w:t>
      </w:r>
    </w:p>
    <w:p w:rsidR="00000000" w:rsidDel="00000000" w:rsidP="00000000" w:rsidRDefault="00000000" w:rsidRPr="00000000" w14:paraId="0000000B">
      <w:pPr>
        <w:spacing w:after="40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0"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240"/>
        <w:tblGridChange w:id="0">
          <w:tblGrid>
            <w:gridCol w:w="3000"/>
            <w:gridCol w:w="624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0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FiremeX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Document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Maps requirements forward to design and test cases to ensure every requirement is built and tested.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Jayashini Jayaweera</w:t>
            </w:r>
          </w:p>
        </w:tc>
      </w:tr>
    </w:tbl>
    <w:p w:rsidR="00000000" w:rsidDel="00000000" w:rsidP="00000000" w:rsidRDefault="00000000" w:rsidRPr="00000000" w14:paraId="00000016">
      <w:pPr>
        <w:spacing w:after="40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oc4xnxnj0x5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after="150" w:before="300" w:line="24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a45xg1z2gph0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0e6a60"/>
          <w:sz w:val="26"/>
          <w:szCs w:val="26"/>
          <w:rtl w:val="0"/>
        </w:rPr>
        <w:t xml:space="preserve">1. Purpose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Traceability Matrix ensures every functional and non-functional requirement of the CCFDS has at least one corresponding test case, giving full test coverage visibility and enabling impact analysis when requirements change.</w:t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after="150" w:before="300" w:line="240" w:lineRule="auto"/>
        <w:rPr>
          <w:rFonts w:ascii="Calibri" w:cs="Calibri" w:eastAsia="Calibri" w:hAnsi="Calibri"/>
        </w:rPr>
      </w:pPr>
      <w:bookmarkStart w:colFirst="0" w:colLast="0" w:name="_ilm429ffo1mt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e6a60"/>
          <w:sz w:val="26"/>
          <w:szCs w:val="26"/>
          <w:rtl w:val="0"/>
        </w:rPr>
        <w:t xml:space="preserve">2. Status</w:t>
      </w: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7.8317649318228"/>
        <w:gridCol w:w="7117.6800460918"/>
        <w:tblGridChange w:id="0">
          <w:tblGrid>
            <w:gridCol w:w="1907.8317649318228"/>
            <w:gridCol w:w="7117.6800460918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Meaning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test case exists, was executed, and passed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test case exists but either failed, was blocked, or only indirectly verifies the requirement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 test case exists and a defect/finding against it remains unresolved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test case currently exists for this requirement - a genuine coverage gap</w:t>
            </w:r>
          </w:p>
        </w:tc>
      </w:tr>
    </w:tbl>
    <w:p w:rsidR="00000000" w:rsidDel="00000000" w:rsidP="00000000" w:rsidRDefault="00000000" w:rsidRPr="00000000" w14:paraId="0000002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after="150" w:before="300" w:line="240" w:lineRule="auto"/>
        <w:rPr>
          <w:rFonts w:ascii="Calibri" w:cs="Calibri" w:eastAsia="Calibri" w:hAnsi="Calibri"/>
          <w:b w:val="1"/>
          <w:bCs w:val="1"/>
          <w:color w:val="0e6a60"/>
          <w:sz w:val="26"/>
          <w:szCs w:val="26"/>
        </w:rPr>
      </w:pPr>
      <w:bookmarkStart w:colFirst="0" w:colLast="0" w:name="_nwa3jzg52xc0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e6a60"/>
          <w:sz w:val="26"/>
          <w:szCs w:val="26"/>
          <w:rtl w:val="0"/>
        </w:rPr>
        <w:t xml:space="preserve">3. Traceability Matrix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5"/>
        <w:gridCol w:w="1845"/>
        <w:gridCol w:w="2205"/>
        <w:gridCol w:w="1005"/>
        <w:gridCol w:w="1005"/>
        <w:gridCol w:w="2070"/>
        <w:tblGridChange w:id="0">
          <w:tblGrid>
            <w:gridCol w:w="885"/>
            <w:gridCol w:w="1845"/>
            <w:gridCol w:w="2205"/>
            <w:gridCol w:w="1005"/>
            <w:gridCol w:w="1005"/>
            <w:gridCol w:w="2070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 ID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 open flame in daylight, clear camera view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 smoke without visible flame (early-stage fire)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 fire in low-light/IR night conditions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Handle multiple simultaneous fire events across cameras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 works; downstream relay failed (DEF-021)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 fire/smoke in adverse weather (rain, fog, snow)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test clip/dataset exists for this condition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Raise detection within defined response-time threshold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dedicated latency-per-detection test case exists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 minimum/maximum detection zone per camera FOV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zone-boundary test case not designed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Report confidence score with every detection event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not explicitly asserted in any test case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 manual fire-drill / test-mode trigger (no real alert escalation)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feature referenced in UAT_03 only informally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Avoid false positives (sun glare, steam, fog, red objects)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 detection accuracy when camera view is partially occluded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occlusion dataset/test case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Send SMS/Email alert on confirmed 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Send push notification to mobile app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Firebase sandbox exists but no test case executed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Dashboard shows visual + audible alert on 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implied by UAT_03 but no formal system test case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 payload includes camera ID, timestamp, snapshot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Verified inside TC_007; needs its own assertion-level test case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Escalate unacknowledged alerts per SLA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 configurable multi-tier escalation chain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only single-tier escalation tested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REQ-UI-012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Operator can acknowledge alert and add remarks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REQ-UI-020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Historical incident search and video playback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REQ-UI-021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Live view of all camera feeds with online/offline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 informally in UAT; no formal functional test case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REQ-UI-022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Export incident report as PDF/CSV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feature not yet test-designed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REQ-INT-002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Integrate with building fire alarm panel relay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Fails under simultaneous events (DEF-021, Open)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REQ-INT-003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ONVIF camera auto-discovery and onboarding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onboarding workflow not tested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REQ-INT-004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Integration with Building Management System (BMS)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not in current release scope; track for v1.1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REQ-SYS-007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Graceful handling of camera feed disconnection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REQ-SYS-011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recovery after power/network outage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Blocked in Cycle 1 due to environment issue (DEF-025); re-test pending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REQ-SYS-012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Automatic camera reconnection retry logic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retry/backoff behavior not explicitly tested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REQ-SYS-013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self-monitoring / heartbeat health check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test case for heartbeat failure alerting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Role-based access control for configuration functions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Encrypt video stream in transit (TLS/RTSPS)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Fixed after SEC-01 finding; re-tested and verified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Session auto-expiry after inactivity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Fixed after SEC-02 finding; re-tested and verified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IP allow-listing for fire panel relay API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SEC-03 - unresolved at time of last security report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Rate-limiting / brute-force protection on 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SEC-05 - unresolved at time of last security report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Incident video download links must expire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SEC-06 - deferred to next release, no fix yet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Secure password storage (salted hashing)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Verified as positive finding in Security Test Report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REQ-PERF-001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 64 concurrent camera streams at ≤5s alert latency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REQ-PERF-002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Define scaling guidance concurrent streams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128-stream run exceeded SLA; documented as scaling guidance, not a pass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REQ-NFR-003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Maintain ≥99.5% uptime over sustained operation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One unplanned restart logged as ENV-007 for follow-up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Display CCTV/fire-monitoring notice signage at premises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test case; process/compliance control, needs audit-style verification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Enforce defined data retention periods with auto-deletion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automated test validating retention-expiry deletion jobs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Support data subject access/erasure requests workflow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test case for DSR intake-to-fulfillment process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Archive confirmed incident data for 1 years with integrity checks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archival job and checksum validation untested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Secure/cryptographic erasure at end of retention or on request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deletion verification (incl. backups) not tested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Breach notification workflow within regulatory SLA (e.g., 72 hrs)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simulated breach-notification drill performed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System captures video only - no audio recording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no test case confirming audio channel is disabled/absent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Log every view/export/download of video or incident 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audit-logging completeness not independently verified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REQ-CFG-002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Configurable detection sensitivity threshold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-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REQ-CFG-003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Configurable per-client data retention (within policy max)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Gap: linked to REQ-PRIV-002; no test case yet</w:t>
            </w:r>
          </w:p>
        </w:tc>
      </w:tr>
    </w:tbl>
    <w:p w:rsidR="00000000" w:rsidDel="00000000" w:rsidP="00000000" w:rsidRDefault="00000000" w:rsidRPr="00000000" w14:paraId="000001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keepNext w:val="0"/>
        <w:keepLines w:val="0"/>
        <w:spacing w:after="150" w:before="300" w:line="240" w:lineRule="auto"/>
        <w:rPr>
          <w:rFonts w:ascii="Calibri" w:cs="Calibri" w:eastAsia="Calibri" w:hAnsi="Calibri"/>
        </w:rPr>
      </w:pPr>
      <w:bookmarkStart w:colFirst="0" w:colLast="0" w:name="_47tn0e523fjd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e6a60"/>
          <w:sz w:val="26"/>
          <w:szCs w:val="26"/>
          <w:rtl w:val="0"/>
        </w:rPr>
        <w:t xml:space="preserve">4. Coverage Summary</w:t>
      </w:r>
      <w:r w:rsidDel="00000000" w:rsidR="00000000" w:rsidRPr="00000000">
        <w:rPr>
          <w:rtl w:val="0"/>
        </w:rPr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18.1775831075784"/>
        <w:gridCol w:w="3003.6671139580226"/>
        <w:gridCol w:w="3003.6671139580226"/>
        <w:tblGridChange w:id="0">
          <w:tblGrid>
            <w:gridCol w:w="3018.1775831075784"/>
            <w:gridCol w:w="3003.6671139580226"/>
            <w:gridCol w:w="3003.667113958022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Count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% of Total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33.3%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Partial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14.6%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 Covered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47.9%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Open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4.2%</w:t>
            </w:r>
          </w:p>
        </w:tc>
      </w:tr>
    </w:tbl>
    <w:p w:rsidR="00000000" w:rsidDel="00000000" w:rsidP="00000000" w:rsidRDefault="00000000" w:rsidRPr="00000000" w14:paraId="0000016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keepNext w:val="0"/>
        <w:keepLines w:val="0"/>
        <w:spacing w:after="150" w:before="300" w:line="240" w:lineRule="auto"/>
        <w:rPr>
          <w:rFonts w:ascii="Calibri" w:cs="Calibri" w:eastAsia="Calibri" w:hAnsi="Calibri"/>
        </w:rPr>
      </w:pPr>
      <w:bookmarkStart w:colFirst="0" w:colLast="0" w:name="_xdbk1v1zft61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0e6a60"/>
          <w:sz w:val="26"/>
          <w:szCs w:val="26"/>
          <w:rtl w:val="0"/>
        </w:rPr>
        <w:t xml:space="preserve">5. Gap Analysis &amp; Recommended Actions </w:t>
      </w:r>
      <w:r w:rsidDel="00000000" w:rsidR="00000000" w:rsidRPr="00000000">
        <w:rPr>
          <w:rtl w:val="0"/>
        </w:rPr>
      </w:r>
    </w:p>
    <w:tbl>
      <w:tblPr>
        <w:tblStyle w:val="Table5"/>
        <w:tblW w:w="10185.0" w:type="dxa"/>
        <w:jc w:val="left"/>
        <w:tblInd w:w="-66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1515"/>
        <w:gridCol w:w="2040"/>
        <w:gridCol w:w="1260"/>
        <w:gridCol w:w="4275"/>
        <w:tblGridChange w:id="0">
          <w:tblGrid>
            <w:gridCol w:w="1095"/>
            <w:gridCol w:w="1515"/>
            <w:gridCol w:w="2040"/>
            <w:gridCol w:w="1260"/>
            <w:gridCol w:w="427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 ID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Area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Affected Requirement(s)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Risk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Recommended Action</w:t>
            </w:r>
          </w:p>
        </w:tc>
      </w:tr>
      <w:tr>
        <w:trPr>
          <w:cantSplit w:val="0"/>
          <w:trHeight w:val="168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Privacy/Compliance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REQ-PRIV-001 to 008 (entire category)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Design and execute compliance test cases: retention auto-deletion, DSR workflow, archival integrity check, breach-notification drill, audio-disable verification, audit-log completeness</w:t>
            </w:r>
          </w:p>
        </w:tc>
      </w:tr>
      <w:tr>
        <w:trPr>
          <w:cantSplit w:val="0"/>
          <w:trHeight w:val="11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REQ-FD-005, 007, 008, 009, 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Build adverse-weather and occlusion datasets; add confidence-score assertions; add test-mode trigger test case</w:t>
            </w:r>
          </w:p>
        </w:tc>
      </w:tr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REQ-SEC-012, 013, 014 (SEC-03, 05, 06 open/deferred)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Critical/Medium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Prioritize fix for SEC-03 (IP allow-listing) before next release; schedule SEC-05/06 for upcoming sprint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REQ-INT-002 (DEF-021 open)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Critical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Fix relay queuing defect and re-execute TC_010/TC_006 combined scenario</w:t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REQ-SYS-011 (TC_015 blocked), REQ-SYS-012, 013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Resolve environment script issue (DEF-025), re-test TC_015, design reconnection/heartbeat test cases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Alerting/UI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REQ-AL-002, 003, 006, REQ-UI-021, 022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Add formal test cases for push notifications, dashboard audible alert, multi-tier escalation, and report export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GAP-07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REQ-PERF-002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Either formally cap supported scale</w:t>
            </w:r>
          </w:p>
        </w:tc>
      </w:tr>
    </w:tbl>
    <w:p w:rsidR="00000000" w:rsidDel="00000000" w:rsidP="00000000" w:rsidRDefault="00000000" w:rsidRPr="00000000" w14:paraId="0000019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