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Script-Controlled ACL – Restrict Record Access Based on Field Value</w:t>
      </w:r>
    </w:p>
    <w:p>
      <w:pPr>
        <w:jc w:val="center"/>
      </w:pPr>
      <w:r>
        <w:rPr>
          <w:b/>
          <w:sz w:val="28"/>
        </w:rPr>
        <w:t>2. Requirement Analysis</w:t>
      </w:r>
    </w:p>
    <w:p>
      <w:pPr>
        <w:jc w:val="center"/>
      </w:pPr>
      <w:r>
        <w:rPr>
          <w:b/>
        </w:rPr>
        <w:t>Team ID : SWTID-2026-5668</w:t>
      </w:r>
    </w:p>
    <w:p/>
    <w:p>
      <w:pPr>
        <w:pStyle w:val="Heading1"/>
      </w:pPr>
      <w:r>
        <w:t>Abstract</w:t>
      </w:r>
    </w:p>
    <w:p>
      <w:r>
        <w:t>This analysis converts the supplied ACL lab into functional, data, security, and verification requirements for the ServiceNow prototype.</w:t>
      </w:r>
    </w:p>
    <w:p>
      <w:pPr>
        <w:pStyle w:val="Heading1"/>
      </w:pPr>
      <w:r>
        <w:t>1. Functional Requirements</w:t>
      </w:r>
    </w:p>
    <w:p>
      <w:r>
        <w:t>FR-01: Create the EEE User. FR-02: Create roles bb1, bb2, bb3, and bb4. FR-03: Create u_institution_details. FR-04: Add the specified fields. FR-05: Create ECE, EEE, and CSE records. FR-06: Configure READ ACL. FR-07: Configure CREATE, WRITE, and DELETE ACLs. FR-08: Verify access using impersonation.</w:t>
      </w:r>
    </w:p>
    <w:p>
      <w:pPr>
        <w:pStyle w:val="Heading2"/>
      </w:pPr>
      <w:r>
        <w:t>2. Security Requirements</w:t>
      </w:r>
    </w:p>
    <w:p>
      <w:r>
        <w:t>READ requires bb1 and uses the Branch is EEE condition with the supplied advanced script. CREATE requires bb2. WRITE requires bb3. DELETE requires bb4. Admin users retain the full access described in the READ script.</w:t>
      </w:r>
    </w:p>
    <w:p>
      <w:pPr>
        <w:pStyle w:val="Heading2"/>
      </w:pPr>
      <w:r>
        <w:t>3. Data Requirements</w:t>
      </w:r>
    </w:p>
    <w:p>
      <w:r>
        <w:t>Student Roll Number – Auto Number; Student Name – Reference to User; Faculty Name – Reference to User; Branch – Choice (ECE, EEE, CSE); Email – String; Phone Number – String; Description – Multi String.</w:t>
      </w:r>
    </w:p>
    <w:p>
      <w:pPr>
        <w:pStyle w:val="Heading2"/>
      </w:pPr>
      <w:r>
        <w:t>4. Acceptance Criteria</w:t>
      </w:r>
    </w:p>
    <w:p>
      <w:r>
        <w:t>A bb1 user can view the permitted EEE records according to the lab verification; a user without the required role cannot view records; Admin can view all records; and the cumulative bb1+bb2, bb1+bb2+bb3, and bb1+bb2+bb3+bb4 combinations provide the documented CREATE, WRITE, and DELETE capabilities.</w:t>
      </w:r>
    </w:p>
    <w:p>
      <w:pPr>
        <w:pStyle w:val="Heading2"/>
      </w:pPr>
      <w:r>
        <w:t>5. Assumptions and Gaps</w:t>
      </w:r>
    </w:p>
    <w:p>
      <w:r>
        <w:t>The source uses both Institution Details and Student Records wording during verification. This document preserves the source terminology. Final test results should be reported only after they are actually observed in the ServiceNow instance.</w:t>
      </w:r>
    </w:p>
    <w:p>
      <w:pPr>
        <w:pStyle w:val="Heading1"/>
      </w:pPr>
      <w:r>
        <w:t>Document Note</w:t>
      </w:r>
    </w:p>
    <w:p>
      <w:r>
        <w:t>This document is prepared from the supplied project materials. Verify instance-specific screenshots and test outcomes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