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Script-Controlled ACL – Restrict Record Access Based on Field Value</w:t>
      </w:r>
    </w:p>
    <w:p>
      <w:pPr>
        <w:jc w:val="center"/>
      </w:pPr>
      <w:r>
        <w:rPr>
          <w:b/>
          <w:sz w:val="28"/>
        </w:rPr>
        <w:t>6. Project Documentation</w:t>
      </w:r>
    </w:p>
    <w:p>
      <w:pPr>
        <w:jc w:val="center"/>
      </w:pPr>
      <w:r>
        <w:rPr>
          <w:b/>
        </w:rPr>
        <w:t>Team ID : SWTID-2026-5668</w:t>
      </w:r>
    </w:p>
    <w:p/>
    <w:p>
      <w:pPr>
        <w:pStyle w:val="Heading1"/>
      </w:pPr>
      <w:r>
        <w:t>Abstract</w:t>
      </w:r>
    </w:p>
    <w:p>
      <w:r>
        <w:t>This document consolidates the technical and user-facing documentation for the Script-Controlled ACL project.</w:t>
      </w:r>
    </w:p>
    <w:p>
      <w:pPr>
        <w:pStyle w:val="Heading1"/>
      </w:pPr>
      <w:r>
        <w:t>1. System Summary</w:t>
      </w:r>
    </w:p>
    <w:p>
      <w:r>
        <w:t>The solution protects u_institution_details using record-level ACLs. READ, CREATE, WRITE, and DELETE permissions are configured separately through roles and, for READ, the Branch condition and supplied script.</w:t>
      </w:r>
    </w:p>
    <w:p>
      <w:pPr>
        <w:pStyle w:val="Heading2"/>
      </w:pPr>
      <w:r>
        <w:t>2. Administrator Procedure</w:t>
      </w:r>
    </w:p>
    <w:p>
      <w:r>
        <w:t>Verify users and roles, inspect the Institution Details table, confirm sample records, open Access Controls, and review the four ACL operations and their required roles.</w:t>
      </w:r>
    </w:p>
    <w:p>
      <w:pPr>
        <w:pStyle w:val="Heading2"/>
      </w:pPr>
      <w:r>
        <w:t>3. Tester Procedure</w:t>
      </w:r>
    </w:p>
    <w:p>
      <w:r>
        <w:t>Use impersonation for the EEE User and Admin. For later operations, use the cumulative role combinations specified in the lab. Record observed results and attach screenshots.</w:t>
      </w:r>
    </w:p>
    <w:p>
      <w:pPr>
        <w:pStyle w:val="Heading2"/>
      </w:pPr>
      <w:r>
        <w:t>4. Test Matrix</w:t>
      </w:r>
    </w:p>
    <w:p>
      <w:r>
        <w:t>READ with bb1 → EEE access as documented. READ without required role → denied as documented. Admin READ → all records. bb1+bb2 → CREATE. bb1+bb2+bb3 → WRITE. bb1+bb2+bb3+bb4 → DELETE.</w:t>
      </w:r>
    </w:p>
    <w:p>
      <w:pPr>
        <w:pStyle w:val="Heading2"/>
      </w:pPr>
      <w:r>
        <w:t>5. Evidence Requirements</w:t>
      </w:r>
    </w:p>
    <w:p>
      <w:r>
        <w:t>Capture the user/role context, table/list view, ACL configuration, operation result, and final status for each test. Distinguish configuration evidence from observed test evidence.</w:t>
      </w:r>
    </w:p>
    <w:p>
      <w:pPr>
        <w:pStyle w:val="Heading2"/>
      </w:pPr>
      <w:r>
        <w:t>6. Maintenance</w:t>
      </w:r>
    </w:p>
    <w:p>
      <w:r>
        <w:t>After changes to roles, fields, or ACL rules, rerun the relevant tests and update the documentation.</w:t>
      </w:r>
    </w:p>
    <w:p>
      <w:pPr>
        <w:pStyle w:val="Heading2"/>
      </w:pPr>
      <w:r>
        <w:t>7. Limitations and Future Work</w:t>
      </w:r>
    </w:p>
    <w:p>
      <w:r>
        <w:t>The supplied lab is an educational micro-project. Future work may include automated regression testing, security auditing, broader policy rules, and formal threat modeling.</w:t>
      </w:r>
    </w:p>
    <w:p>
      <w:pPr>
        <w:pStyle w:val="Heading1"/>
      </w:pPr>
      <w:r>
        <w:t>Document Note</w:t>
      </w:r>
    </w:p>
    <w:p>
      <w:r>
        <w:t>This document is prepared from the supplied project materials. Verify instance-specific screenshots and test outcomes before final submission.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