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B685" w14:textId="77777777" w:rsidR="00663340" w:rsidRDefault="00663340" w:rsidP="00663340"/>
    <w:p w14:paraId="7163FA62" w14:textId="77777777" w:rsidR="00663340" w:rsidRDefault="00663340" w:rsidP="00663340">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b w:val="0"/>
          <w:bCs w:val="0"/>
          <w:color w:val="000000"/>
          <w:sz w:val="48"/>
          <w:szCs w:val="48"/>
          <w:shd w:val="clear" w:color="auto" w:fill="FFFFFF"/>
        </w:rPr>
        <w:t xml:space="preserve">Heckscher - Pay for </w:t>
      </w:r>
      <w:proofErr w:type="spellStart"/>
      <w:r>
        <w:rPr>
          <w:rFonts w:ascii="Segoe UI" w:hAnsi="Segoe UI" w:cs="Segoe UI"/>
          <w:b w:val="0"/>
          <w:bCs w:val="0"/>
          <w:color w:val="000000"/>
          <w:sz w:val="48"/>
          <w:szCs w:val="48"/>
          <w:shd w:val="clear" w:color="auto" w:fill="FFFFFF"/>
        </w:rPr>
        <w:t>Success</w:t>
      </w:r>
      <w:r>
        <w:rPr>
          <w:rFonts w:ascii="Segoe UI" w:hAnsi="Segoe UI" w:cs="Segoe UI"/>
          <w:color w:val="242424"/>
          <w:sz w:val="42"/>
          <w:szCs w:val="42"/>
        </w:rPr>
        <w:t>Overview</w:t>
      </w:r>
      <w:proofErr w:type="spellEnd"/>
    </w:p>
    <w:p w14:paraId="23897B4A"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Hecksher</w:t>
      </w:r>
      <w:proofErr w:type="spellEnd"/>
      <w:r>
        <w:rPr>
          <w:rFonts w:ascii="Segoe UI" w:hAnsi="Segoe UI" w:cs="Segoe UI"/>
          <w:color w:val="242424"/>
          <w:sz w:val="27"/>
          <w:szCs w:val="27"/>
        </w:rPr>
        <w:t xml:space="preserve"> has funded BL since 2011. They are a Success funder and provide general operating funds at the level of approximately $150,000 per year. The </w:t>
      </w:r>
      <w:proofErr w:type="spellStart"/>
      <w:r>
        <w:rPr>
          <w:rFonts w:ascii="Segoe UI" w:hAnsi="Segoe UI" w:cs="Segoe UI"/>
          <w:color w:val="242424"/>
          <w:sz w:val="27"/>
          <w:szCs w:val="27"/>
        </w:rPr>
        <w:t>Hecksher</w:t>
      </w:r>
      <w:proofErr w:type="spellEnd"/>
      <w:r>
        <w:rPr>
          <w:rFonts w:ascii="Segoe UI" w:hAnsi="Segoe UI" w:cs="Segoe UI"/>
          <w:color w:val="242424"/>
          <w:sz w:val="27"/>
          <w:szCs w:val="27"/>
        </w:rPr>
        <w:t xml:space="preserve"> president is very interested in board fundraising, board roles and board responsibility. They also funded a Pay for Success (</w:t>
      </w:r>
      <w:proofErr w:type="spellStart"/>
      <w:r>
        <w:rPr>
          <w:rFonts w:ascii="Segoe UI" w:hAnsi="Segoe UI" w:cs="Segoe UI"/>
          <w:color w:val="242424"/>
          <w:sz w:val="27"/>
          <w:szCs w:val="27"/>
        </w:rPr>
        <w:t>PfS</w:t>
      </w:r>
      <w:proofErr w:type="spellEnd"/>
      <w:r>
        <w:rPr>
          <w:rFonts w:ascii="Segoe UI" w:hAnsi="Segoe UI" w:cs="Segoe UI"/>
          <w:color w:val="242424"/>
          <w:sz w:val="27"/>
          <w:szCs w:val="27"/>
        </w:rPr>
        <w:t xml:space="preserve">) initiative with a total investment in this initiative is $1.25M. Pay for Success represents a large investment from </w:t>
      </w:r>
      <w:proofErr w:type="spellStart"/>
      <w:r>
        <w:rPr>
          <w:rFonts w:ascii="Segoe UI" w:hAnsi="Segoe UI" w:cs="Segoe UI"/>
          <w:color w:val="242424"/>
          <w:sz w:val="27"/>
          <w:szCs w:val="27"/>
        </w:rPr>
        <w:t>Hecksher</w:t>
      </w:r>
      <w:proofErr w:type="spellEnd"/>
      <w:r>
        <w:rPr>
          <w:rFonts w:ascii="Segoe UI" w:hAnsi="Segoe UI" w:cs="Segoe UI"/>
          <w:color w:val="242424"/>
          <w:sz w:val="27"/>
          <w:szCs w:val="27"/>
        </w:rPr>
        <w:t xml:space="preserve"> and reporting requests are treated accordingly.</w:t>
      </w:r>
    </w:p>
    <w:p w14:paraId="6C4B78C2"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6649121" w14:textId="77777777" w:rsidR="00663340" w:rsidRDefault="00663340" w:rsidP="00663340">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Grant Duration</w:t>
      </w:r>
    </w:p>
    <w:p w14:paraId="7B207321"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Pay for Success began in 2018 with the cohort of student that matriculated to Lehman (2018 and 2019 students are in this cohort). This grant commitment will end in 2025.</w:t>
      </w:r>
    </w:p>
    <w:p w14:paraId="26EDB885"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08CC7FCA" w14:textId="77777777" w:rsidR="00663340" w:rsidRDefault="00663340" w:rsidP="00663340">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Report Schedule</w:t>
      </w:r>
    </w:p>
    <w:p w14:paraId="284F2813" w14:textId="77777777" w:rsidR="00663340" w:rsidRDefault="00663340" w:rsidP="00663340">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Interim report in late December</w:t>
      </w:r>
    </w:p>
    <w:p w14:paraId="7FC12383" w14:textId="77777777" w:rsidR="00663340" w:rsidRDefault="00663340" w:rsidP="00663340">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Final report in late June</w:t>
      </w:r>
    </w:p>
    <w:p w14:paraId="2F7C44CA" w14:textId="77777777" w:rsidR="00663340" w:rsidRDefault="00663340" w:rsidP="00663340">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Ad-hoc and on demand </w:t>
      </w:r>
    </w:p>
    <w:p w14:paraId="4D67B7F3" w14:textId="77777777" w:rsidR="00663340" w:rsidRDefault="00663340" w:rsidP="00663340">
      <w:pPr>
        <w:pStyle w:val="NormalWeb"/>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Note that they require resubmission each year.</w:t>
      </w:r>
    </w:p>
    <w:p w14:paraId="1F08B275" w14:textId="77777777" w:rsidR="00663340" w:rsidRDefault="00663340" w:rsidP="00663340">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79872FBF">
          <v:rect id="_x0000_i1025" style="width:903pt;height:0" o:hrpct="0" o:hralign="center" o:hrstd="t" o:hrnoshade="t" o:hr="t" fillcolor="#c7c7c7" stroked="f"/>
        </w:pict>
      </w:r>
    </w:p>
    <w:p w14:paraId="2BB2E96E" w14:textId="77777777" w:rsidR="00663340" w:rsidRDefault="00663340" w:rsidP="00663340">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Population</w:t>
      </w:r>
    </w:p>
    <w:p w14:paraId="09B1D9E9"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Grant-specific data is focused on the 197 students who matriculated to Lehman in 2018 and 2019. That population is fixed and is the only set of students who will have reporting for this grant. They are indicated in the Student Progressions object (data warehouse) with Success Special Initiatives of "NY CUNY Lehman College."</w:t>
      </w:r>
    </w:p>
    <w:p w14:paraId="070174EC" w14:textId="77777777" w:rsidR="00663340" w:rsidRDefault="00663340" w:rsidP="00663340">
      <w:pPr>
        <w:pStyle w:val="Heading4"/>
        <w:shd w:val="clear" w:color="auto" w:fill="FFFFFF"/>
        <w:spacing w:before="0" w:after="180" w:line="336" w:lineRule="atLeast"/>
        <w:rPr>
          <w:rFonts w:ascii="Segoe UI" w:hAnsi="Segoe UI" w:cs="Segoe UI"/>
          <w:color w:val="242424"/>
          <w:sz w:val="30"/>
          <w:szCs w:val="30"/>
        </w:rPr>
      </w:pPr>
    </w:p>
    <w:p w14:paraId="5DEF3AD4" w14:textId="77777777" w:rsidR="00663340" w:rsidRDefault="00663340" w:rsidP="00663340">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523FA8EC">
          <v:rect id="_x0000_i1026" style="width:903pt;height:0" o:hrpct="0" o:hralign="center" o:hrstd="t" o:hrnoshade="t" o:hr="t" fillcolor="#c7c7c7" stroked="f"/>
        </w:pict>
      </w:r>
    </w:p>
    <w:p w14:paraId="3DB0C097" w14:textId="77777777" w:rsidR="00663340" w:rsidRDefault="00663340" w:rsidP="00663340">
      <w:pPr>
        <w:pStyle w:val="Heading3"/>
        <w:shd w:val="clear" w:color="auto" w:fill="FFFFFF"/>
        <w:spacing w:before="0" w:after="180" w:line="336" w:lineRule="atLeast"/>
        <w:rPr>
          <w:rFonts w:ascii="Segoe UI" w:hAnsi="Segoe UI" w:cs="Segoe UI"/>
          <w:color w:val="242424"/>
          <w:sz w:val="36"/>
          <w:szCs w:val="36"/>
        </w:rPr>
      </w:pPr>
      <w:r>
        <w:rPr>
          <w:rFonts w:ascii="Segoe UI" w:hAnsi="Segoe UI" w:cs="Segoe UI"/>
          <w:color w:val="242424"/>
          <w:sz w:val="36"/>
          <w:szCs w:val="36"/>
        </w:rPr>
        <w:t>Reporting</w:t>
      </w:r>
    </w:p>
    <w:p w14:paraId="40D93813"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roofErr w:type="gramStart"/>
      <w:r>
        <w:rPr>
          <w:rFonts w:ascii="Segoe UI" w:hAnsi="Segoe UI" w:cs="Segoe UI"/>
          <w:color w:val="242424"/>
          <w:sz w:val="27"/>
          <w:szCs w:val="27"/>
        </w:rPr>
        <w:t>The majority of</w:t>
      </w:r>
      <w:proofErr w:type="gramEnd"/>
      <w:r>
        <w:rPr>
          <w:rFonts w:ascii="Segoe UI" w:hAnsi="Segoe UI" w:cs="Segoe UI"/>
          <w:color w:val="242424"/>
          <w:sz w:val="27"/>
          <w:szCs w:val="27"/>
        </w:rPr>
        <w:t xml:space="preserve"> the reporting is based on contract goals that are set out each year in the contracting process. These are relatively stable categories, though the numbers and targets change each year.</w:t>
      </w:r>
    </w:p>
    <w:p w14:paraId="6848F4DC"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All </w:t>
      </w:r>
      <w:proofErr w:type="spellStart"/>
      <w:r>
        <w:rPr>
          <w:rFonts w:ascii="Segoe UI" w:hAnsi="Segoe UI" w:cs="Segoe UI"/>
          <w:color w:val="242424"/>
          <w:sz w:val="27"/>
          <w:szCs w:val="27"/>
        </w:rPr>
        <w:t>Hecksher</w:t>
      </w:r>
      <w:proofErr w:type="spellEnd"/>
      <w:r>
        <w:rPr>
          <w:rFonts w:ascii="Segoe UI" w:hAnsi="Segoe UI" w:cs="Segoe UI"/>
          <w:color w:val="242424"/>
          <w:sz w:val="27"/>
          <w:szCs w:val="27"/>
        </w:rPr>
        <w:t xml:space="preserve"> reports align with their logic model.</w:t>
      </w:r>
    </w:p>
    <w:p w14:paraId="51E69275"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Activities</w:t>
      </w:r>
    </w:p>
    <w:p w14:paraId="158D79FC" w14:textId="77777777" w:rsidR="00663340" w:rsidRDefault="00663340" w:rsidP="00663340">
      <w:pPr>
        <w:numPr>
          <w:ilvl w:val="0"/>
          <w:numId w:val="2"/>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Number of students </w:t>
      </w:r>
      <w:proofErr w:type="gramStart"/>
      <w:r>
        <w:rPr>
          <w:rFonts w:ascii="Segoe UI" w:hAnsi="Segoe UI" w:cs="Segoe UI"/>
          <w:color w:val="242424"/>
          <w:sz w:val="27"/>
          <w:szCs w:val="27"/>
        </w:rPr>
        <w:t>served</w:t>
      </w:r>
      <w:proofErr w:type="gramEnd"/>
    </w:p>
    <w:p w14:paraId="6F8D661A" w14:textId="77777777" w:rsidR="00663340" w:rsidRDefault="00663340" w:rsidP="00663340">
      <w:pPr>
        <w:numPr>
          <w:ilvl w:val="0"/>
          <w:numId w:val="2"/>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Engagements - number and types</w:t>
      </w:r>
    </w:p>
    <w:p w14:paraId="1E92DE12"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035E1E4D"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Shorter Term Outcomes</w:t>
      </w:r>
    </w:p>
    <w:p w14:paraId="4CBD2792" w14:textId="77777777" w:rsidR="00663340" w:rsidRDefault="00663340" w:rsidP="00663340">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Persistence - 92% persisted into 2nd Semester and 87% persisted into 3rd </w:t>
      </w:r>
      <w:proofErr w:type="gramStart"/>
      <w:r>
        <w:rPr>
          <w:rFonts w:ascii="Segoe UI" w:hAnsi="Segoe UI" w:cs="Segoe UI"/>
          <w:color w:val="242424"/>
          <w:sz w:val="27"/>
          <w:szCs w:val="27"/>
        </w:rPr>
        <w:t>Semester</w:t>
      </w:r>
      <w:proofErr w:type="gramEnd"/>
      <w:r>
        <w:rPr>
          <w:rFonts w:ascii="Segoe UI" w:hAnsi="Segoe UI" w:cs="Segoe UI"/>
          <w:color w:val="242424"/>
          <w:sz w:val="27"/>
          <w:szCs w:val="27"/>
        </w:rPr>
        <w:t> </w:t>
      </w:r>
    </w:p>
    <w:p w14:paraId="0FA3DD57" w14:textId="77777777" w:rsidR="00663340" w:rsidRDefault="00663340" w:rsidP="00663340">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85% remain engaged with </w:t>
      </w:r>
      <w:proofErr w:type="gramStart"/>
      <w:r>
        <w:rPr>
          <w:rFonts w:ascii="Segoe UI" w:hAnsi="Segoe UI" w:cs="Segoe UI"/>
          <w:color w:val="242424"/>
          <w:sz w:val="27"/>
          <w:szCs w:val="27"/>
        </w:rPr>
        <w:t>advisor</w:t>
      </w:r>
      <w:proofErr w:type="gramEnd"/>
    </w:p>
    <w:p w14:paraId="1C6F0928" w14:textId="77777777" w:rsidR="00663340" w:rsidRDefault="00663340" w:rsidP="00663340">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35% of students will earn at least 15 credits per semester and at least 70% of students will earn at least 10 credits per </w:t>
      </w:r>
      <w:proofErr w:type="gramStart"/>
      <w:r>
        <w:rPr>
          <w:rFonts w:ascii="Segoe UI" w:hAnsi="Segoe UI" w:cs="Segoe UI"/>
          <w:color w:val="242424"/>
          <w:sz w:val="27"/>
          <w:szCs w:val="27"/>
        </w:rPr>
        <w:t>semester</w:t>
      </w:r>
      <w:proofErr w:type="gramEnd"/>
    </w:p>
    <w:p w14:paraId="6ABEFFFF" w14:textId="77777777" w:rsidR="00663340" w:rsidRDefault="00663340" w:rsidP="00663340">
      <w:pPr>
        <w:numPr>
          <w:ilvl w:val="0"/>
          <w:numId w:val="3"/>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At least 65% of students will earn a GPA of 2.5 or </w:t>
      </w:r>
      <w:proofErr w:type="gramStart"/>
      <w:r>
        <w:rPr>
          <w:rFonts w:ascii="Segoe UI" w:hAnsi="Segoe UI" w:cs="Segoe UI"/>
          <w:color w:val="242424"/>
          <w:sz w:val="27"/>
          <w:szCs w:val="27"/>
        </w:rPr>
        <w:t>higher</w:t>
      </w:r>
      <w:proofErr w:type="gramEnd"/>
    </w:p>
    <w:p w14:paraId="3C6FC9E1"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7A09A53"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Longer Term Outcomes</w:t>
      </w:r>
    </w:p>
    <w:p w14:paraId="574D36F8" w14:textId="77777777" w:rsidR="00663340" w:rsidRDefault="00663340" w:rsidP="00663340">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By the end of 3rd year in college, at 75% will be on track to graduate by their 6th year in </w:t>
      </w:r>
      <w:proofErr w:type="gramStart"/>
      <w:r>
        <w:rPr>
          <w:rFonts w:ascii="Segoe UI" w:hAnsi="Segoe UI" w:cs="Segoe UI"/>
          <w:color w:val="242424"/>
          <w:sz w:val="27"/>
          <w:szCs w:val="27"/>
        </w:rPr>
        <w:t>college</w:t>
      </w:r>
      <w:proofErr w:type="gramEnd"/>
    </w:p>
    <w:p w14:paraId="4842B99C" w14:textId="77777777" w:rsidR="00663340" w:rsidRDefault="00663340" w:rsidP="00663340">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 xml:space="preserve">70% of students will </w:t>
      </w:r>
      <w:proofErr w:type="spellStart"/>
      <w:r>
        <w:rPr>
          <w:rFonts w:ascii="Segoe UI" w:hAnsi="Segoe UI" w:cs="Segoe UI"/>
          <w:color w:val="242424"/>
          <w:sz w:val="27"/>
          <w:szCs w:val="27"/>
        </w:rPr>
        <w:t>enroll</w:t>
      </w:r>
      <w:proofErr w:type="spellEnd"/>
      <w:r>
        <w:rPr>
          <w:rFonts w:ascii="Segoe UI" w:hAnsi="Segoe UI" w:cs="Segoe UI"/>
          <w:color w:val="242424"/>
          <w:sz w:val="27"/>
          <w:szCs w:val="27"/>
        </w:rPr>
        <w:t xml:space="preserve"> each semester throughout their 6 years in Bottom Line.</w:t>
      </w:r>
    </w:p>
    <w:p w14:paraId="42D776A1" w14:textId="77777777" w:rsidR="00663340" w:rsidRDefault="00663340" w:rsidP="00663340">
      <w:pPr>
        <w:numPr>
          <w:ilvl w:val="0"/>
          <w:numId w:val="4"/>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75% of all students will graduate from college in 6 years or less.</w:t>
      </w:r>
    </w:p>
    <w:p w14:paraId="5EEED9F9" w14:textId="77777777" w:rsidR="00663340" w:rsidRDefault="00663340" w:rsidP="00663340">
      <w:pPr>
        <w:pStyle w:val="NormalWeb"/>
        <w:shd w:val="clear" w:color="auto" w:fill="FFFFFF"/>
        <w:spacing w:before="0" w:beforeAutospacing="0" w:after="0" w:afterAutospacing="0" w:line="336" w:lineRule="atLeast"/>
        <w:rPr>
          <w:rFonts w:ascii="Segoe UI" w:hAnsi="Segoe UI" w:cs="Segoe UI"/>
          <w:color w:val="242424"/>
          <w:sz w:val="27"/>
          <w:szCs w:val="27"/>
        </w:rPr>
      </w:pPr>
    </w:p>
    <w:p w14:paraId="0C2D1D59" w14:textId="77777777" w:rsidR="00663340" w:rsidRDefault="00663340" w:rsidP="00663340">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6F404D5C">
          <v:rect id="_x0000_i1027" style="width:903pt;height:0" o:hrpct="0" o:hralign="center" o:hrstd="t" o:hrnoshade="t" o:hr="t" fillcolor="#c7c7c7" stroked="f"/>
        </w:pict>
      </w:r>
    </w:p>
    <w:p w14:paraId="39CB846C" w14:textId="77777777" w:rsidR="00663340" w:rsidRDefault="00663340" w:rsidP="00663340">
      <w:pPr>
        <w:pStyle w:val="Heading4"/>
        <w:shd w:val="clear" w:color="auto" w:fill="FFFFFF"/>
        <w:spacing w:before="0" w:after="180" w:line="336" w:lineRule="atLeast"/>
        <w:rPr>
          <w:rFonts w:ascii="Segoe UI" w:hAnsi="Segoe UI" w:cs="Segoe UI"/>
          <w:color w:val="242424"/>
          <w:sz w:val="30"/>
          <w:szCs w:val="30"/>
        </w:rPr>
      </w:pPr>
    </w:p>
    <w:p w14:paraId="4FA3F9B3" w14:textId="77777777" w:rsidR="00663340" w:rsidRDefault="00663340" w:rsidP="00663340">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pict w14:anchorId="10E4A448">
          <v:rect id="_x0000_i1028" style="width:903pt;height:0" o:hrpct="0" o:hralign="center" o:hrstd="t" o:hrnoshade="t" o:hr="t" fillcolor="#c7c7c7" stroked="f"/>
        </w:pict>
      </w:r>
    </w:p>
    <w:p w14:paraId="60AF3964" w14:textId="77777777" w:rsidR="00663340" w:rsidRDefault="00663340" w:rsidP="00663340">
      <w:pPr>
        <w:pStyle w:val="Heading3"/>
        <w:shd w:val="clear" w:color="auto" w:fill="FFFFFF"/>
        <w:spacing w:before="0" w:after="180" w:line="336" w:lineRule="atLeast"/>
        <w:rPr>
          <w:rFonts w:ascii="Segoe UI" w:hAnsi="Segoe UI" w:cs="Segoe UI"/>
          <w:color w:val="242424"/>
          <w:sz w:val="36"/>
          <w:szCs w:val="36"/>
        </w:rPr>
      </w:pPr>
      <w:r>
        <w:rPr>
          <w:rFonts w:ascii="Segoe UI" w:hAnsi="Segoe UI" w:cs="Segoe UI"/>
          <w:color w:val="242424"/>
          <w:sz w:val="36"/>
          <w:szCs w:val="36"/>
        </w:rPr>
        <w:t>Annual Data Need 3 - 2nd and 3rd Semester Persistence</w:t>
      </w:r>
    </w:p>
    <w:p w14:paraId="3D39AAB6"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goals as expressed in the RH contract for 2020 are:</w:t>
      </w:r>
    </w:p>
    <w:p w14:paraId="6856EBD8" w14:textId="77777777" w:rsidR="00663340" w:rsidRDefault="00663340" w:rsidP="00663340">
      <w:pPr>
        <w:numPr>
          <w:ilvl w:val="0"/>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88 percent of the 2018 Success Direct cohort should re-</w:t>
      </w:r>
      <w:proofErr w:type="spellStart"/>
      <w:r>
        <w:rPr>
          <w:rFonts w:ascii="Segoe UI" w:hAnsi="Segoe UI" w:cs="Segoe UI"/>
          <w:color w:val="242424"/>
          <w:sz w:val="27"/>
          <w:szCs w:val="27"/>
        </w:rPr>
        <w:t>enroll</w:t>
      </w:r>
      <w:proofErr w:type="spellEnd"/>
      <w:r>
        <w:rPr>
          <w:rFonts w:ascii="Segoe UI" w:hAnsi="Segoe UI" w:cs="Segoe UI"/>
          <w:color w:val="242424"/>
          <w:sz w:val="27"/>
          <w:szCs w:val="27"/>
        </w:rPr>
        <w:t xml:space="preserve"> for a 3rd semester of college.</w:t>
      </w:r>
    </w:p>
    <w:p w14:paraId="69A2B49A" w14:textId="77777777" w:rsidR="00663340" w:rsidRDefault="00663340" w:rsidP="00663340">
      <w:pPr>
        <w:numPr>
          <w:ilvl w:val="0"/>
          <w:numId w:val="5"/>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At least 92 percent of the 2019 Success Direct cohort should re-</w:t>
      </w:r>
      <w:proofErr w:type="spellStart"/>
      <w:r>
        <w:rPr>
          <w:rFonts w:ascii="Segoe UI" w:hAnsi="Segoe UI" w:cs="Segoe UI"/>
          <w:color w:val="242424"/>
          <w:sz w:val="27"/>
          <w:szCs w:val="27"/>
        </w:rPr>
        <w:t>enroll</w:t>
      </w:r>
      <w:proofErr w:type="spellEnd"/>
      <w:r>
        <w:rPr>
          <w:rFonts w:ascii="Segoe UI" w:hAnsi="Segoe UI" w:cs="Segoe UI"/>
          <w:color w:val="242424"/>
          <w:sz w:val="27"/>
          <w:szCs w:val="27"/>
        </w:rPr>
        <w:t xml:space="preserve"> for a 2nd semester of college.</w:t>
      </w:r>
    </w:p>
    <w:p w14:paraId="21F770CF"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CAF6827"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1: </w:t>
      </w:r>
      <w:hyperlink r:id="rId5" w:tooltip="https://na88.salesforce.com/00O1Y000007H7UsUAK" w:history="1">
        <w:r>
          <w:rPr>
            <w:rStyle w:val="Hyperlink"/>
            <w:rFonts w:ascii="Segoe UI" w:hAnsi="Segoe UI" w:cs="Segoe UI"/>
            <w:color w:val="CA5010"/>
            <w:sz w:val="27"/>
            <w:szCs w:val="27"/>
          </w:rPr>
          <w:t>NY 2018-29 3rd Sem Persist - RH</w:t>
        </w:r>
      </w:hyperlink>
    </w:p>
    <w:p w14:paraId="603B676C"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is a filtered version of the official outcomes report </w:t>
      </w:r>
      <w:hyperlink r:id="rId6" w:tooltip="https://na88.salesforce.com/00O1Y000006uW9v" w:history="1">
        <w:r>
          <w:rPr>
            <w:rStyle w:val="Hyperlink"/>
            <w:rFonts w:ascii="Segoe UI" w:hAnsi="Segoe UI" w:cs="Segoe UI"/>
            <w:color w:val="CA5010"/>
            <w:sz w:val="27"/>
            <w:szCs w:val="27"/>
          </w:rPr>
          <w:t>2018 - 19 Cohort: Third Semester Persist</w:t>
        </w:r>
      </w:hyperlink>
    </w:p>
    <w:p w14:paraId="61FB9078"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data is available in mid-November each year for the prior year's cohort. </w:t>
      </w:r>
    </w:p>
    <w:p w14:paraId="0AE23D90"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fontcolorred"/>
          <w:rFonts w:ascii="Segoe UI" w:eastAsiaTheme="majorEastAsia" w:hAnsi="Segoe UI" w:cs="Segoe UI"/>
          <w:color w:val="E81123"/>
          <w:sz w:val="27"/>
          <w:szCs w:val="27"/>
        </w:rPr>
        <w:t>Note that this is a Robin Hood ONLY report</w:t>
      </w:r>
      <w:r>
        <w:rPr>
          <w:rFonts w:ascii="Segoe UI" w:hAnsi="Segoe UI" w:cs="Segoe UI"/>
          <w:color w:val="242424"/>
          <w:sz w:val="27"/>
          <w:szCs w:val="27"/>
        </w:rPr>
        <w:t>. This shows all students </w:t>
      </w:r>
      <w:r>
        <w:rPr>
          <w:rStyle w:val="Emphasis"/>
          <w:rFonts w:ascii="Segoe UI" w:eastAsiaTheme="majorEastAsia" w:hAnsi="Segoe UI" w:cs="Segoe UI"/>
          <w:color w:val="242424"/>
          <w:sz w:val="27"/>
          <w:szCs w:val="27"/>
        </w:rPr>
        <w:t>including</w:t>
      </w:r>
      <w:r>
        <w:rPr>
          <w:rFonts w:ascii="Segoe UI" w:hAnsi="Segoe UI" w:cs="Segoe UI"/>
          <w:color w:val="242424"/>
          <w:sz w:val="27"/>
          <w:szCs w:val="27"/>
        </w:rPr>
        <w:t> pilot students (so the denominator is the full 2018-19 cohort year). Official reports exclude pilot students - DO NOT USE THIS REPORT FOR NON-RH FUNDERS!</w:t>
      </w:r>
    </w:p>
    <w:p w14:paraId="24607B5B"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46914D2"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2: </w:t>
      </w:r>
      <w:hyperlink r:id="rId7" w:tooltip="https://na88.salesforce.com/00O1Y000007H7UnUAK" w:history="1">
        <w:r>
          <w:rPr>
            <w:rStyle w:val="Hyperlink"/>
            <w:rFonts w:ascii="Segoe UI" w:hAnsi="Segoe UI" w:cs="Segoe UI"/>
            <w:color w:val="CA5010"/>
            <w:sz w:val="27"/>
            <w:szCs w:val="27"/>
          </w:rPr>
          <w:t>NY 2019-20 2nd Sem. Persist - RH​​​​​​​</w:t>
        </w:r>
      </w:hyperlink>
    </w:p>
    <w:p w14:paraId="6E50900E"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is a filtered version of the official outcomes report </w:t>
      </w:r>
      <w:hyperlink r:id="rId8" w:tooltip="https://na88.salesforce.com/00O1Y000006uWA0" w:history="1">
        <w:r>
          <w:rPr>
            <w:rStyle w:val="Hyperlink"/>
            <w:rFonts w:ascii="Segoe UI" w:hAnsi="Segoe UI" w:cs="Segoe UI"/>
            <w:color w:val="CA5010"/>
            <w:sz w:val="27"/>
            <w:szCs w:val="27"/>
          </w:rPr>
          <w:t>2019 - 20 Cohort: Second Semester Persist</w:t>
        </w:r>
      </w:hyperlink>
    </w:p>
    <w:p w14:paraId="23B36C23"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data is available in mid-March each year for the current year's cohort. </w:t>
      </w:r>
    </w:p>
    <w:p w14:paraId="354848B7" w14:textId="77777777" w:rsidR="00663340" w:rsidRDefault="00663340" w:rsidP="00663340">
      <w:pPr>
        <w:pStyle w:val="NormalWeb"/>
        <w:shd w:val="clear" w:color="auto" w:fill="FFFFFF"/>
        <w:spacing w:before="0" w:beforeAutospacing="0" w:after="0" w:afterAutospacing="0" w:line="336" w:lineRule="atLeast"/>
        <w:rPr>
          <w:rFonts w:ascii="Segoe UI" w:hAnsi="Segoe UI" w:cs="Segoe UI"/>
          <w:color w:val="242424"/>
          <w:sz w:val="27"/>
          <w:szCs w:val="27"/>
        </w:rPr>
      </w:pPr>
      <w:r>
        <w:rPr>
          <w:rStyle w:val="fontcolorred"/>
          <w:rFonts w:ascii="Segoe UI" w:eastAsiaTheme="majorEastAsia" w:hAnsi="Segoe UI" w:cs="Segoe UI"/>
          <w:color w:val="E81123"/>
          <w:sz w:val="27"/>
          <w:szCs w:val="27"/>
        </w:rPr>
        <w:t>Note that this is a Robin Hood ONLY report</w:t>
      </w:r>
      <w:r>
        <w:rPr>
          <w:rFonts w:ascii="Segoe UI" w:hAnsi="Segoe UI" w:cs="Segoe UI"/>
          <w:color w:val="242424"/>
          <w:sz w:val="27"/>
          <w:szCs w:val="27"/>
        </w:rPr>
        <w:t>. This shows all students </w:t>
      </w:r>
      <w:r>
        <w:rPr>
          <w:rStyle w:val="Emphasis"/>
          <w:rFonts w:ascii="Segoe UI" w:eastAsiaTheme="majorEastAsia" w:hAnsi="Segoe UI" w:cs="Segoe UI"/>
          <w:color w:val="242424"/>
          <w:sz w:val="27"/>
          <w:szCs w:val="27"/>
        </w:rPr>
        <w:t>including</w:t>
      </w:r>
      <w:r>
        <w:rPr>
          <w:rFonts w:ascii="Segoe UI" w:hAnsi="Segoe UI" w:cs="Segoe UI"/>
          <w:color w:val="242424"/>
          <w:sz w:val="27"/>
          <w:szCs w:val="27"/>
        </w:rPr>
        <w:t> pilot students (so the denominator is the full 2019-20 cohort year). Official reports exclude pilot students - DO NOT USE THIS REPORT FOR NON-RH FUNDERS!</w:t>
      </w:r>
    </w:p>
    <w:p w14:paraId="311A71B1" w14:textId="77777777" w:rsidR="00663340" w:rsidRDefault="00663340" w:rsidP="00663340">
      <w:pPr>
        <w:shd w:val="clear" w:color="auto" w:fill="FFFFFF"/>
        <w:spacing w:before="100" w:beforeAutospacing="1" w:after="100" w:afterAutospacing="1"/>
        <w:rPr>
          <w:rFonts w:ascii="Segoe UI" w:hAnsi="Segoe UI" w:cs="Segoe UI"/>
          <w:color w:val="242424"/>
          <w:sz w:val="21"/>
          <w:szCs w:val="21"/>
        </w:rPr>
      </w:pPr>
      <w:r>
        <w:rPr>
          <w:rFonts w:ascii="Segoe UI" w:hAnsi="Segoe UI" w:cs="Segoe UI"/>
          <w:color w:val="242424"/>
          <w:sz w:val="21"/>
          <w:szCs w:val="21"/>
        </w:rPr>
        <w:lastRenderedPageBreak/>
        <w:pict w14:anchorId="2E7F1A53">
          <v:rect id="_x0000_i1029" style="width:903pt;height:0" o:hrpct="0" o:hralign="center" o:hrstd="t" o:hrnoshade="t" o:hr="t" fillcolor="#c7c7c7" stroked="f"/>
        </w:pict>
      </w:r>
    </w:p>
    <w:p w14:paraId="5E886BA4" w14:textId="77777777" w:rsidR="00663340" w:rsidRDefault="00663340" w:rsidP="00663340">
      <w:pPr>
        <w:pStyle w:val="Heading3"/>
        <w:shd w:val="clear" w:color="auto" w:fill="FFFFFF"/>
        <w:spacing w:before="0" w:after="180" w:line="336" w:lineRule="atLeast"/>
        <w:rPr>
          <w:rFonts w:ascii="Segoe UI" w:hAnsi="Segoe UI" w:cs="Segoe UI"/>
          <w:color w:val="242424"/>
          <w:sz w:val="36"/>
          <w:szCs w:val="36"/>
        </w:rPr>
      </w:pPr>
      <w:r>
        <w:rPr>
          <w:rFonts w:ascii="Segoe UI" w:hAnsi="Segoe UI" w:cs="Segoe UI"/>
          <w:color w:val="242424"/>
          <w:sz w:val="36"/>
          <w:szCs w:val="36"/>
        </w:rPr>
        <w:t>Annual Data Need 4: Preliminary Post-Grad Information</w:t>
      </w:r>
    </w:p>
    <w:p w14:paraId="32965256"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From 2020 Contract: Report on preliminary outcomes for recent graduating classes, such as employment and debt status.</w:t>
      </w:r>
    </w:p>
    <w:p w14:paraId="4BE18C53"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Source 1: </w:t>
      </w:r>
      <w:hyperlink r:id="rId9" w:tgtFrame="_blank" w:tooltip="https://na88.salesforce.com/00O1Y000007H7V2UAK" w:history="1">
        <w:r>
          <w:rPr>
            <w:rStyle w:val="Hyperlink"/>
            <w:rFonts w:ascii="Segoe UI" w:hAnsi="Segoe UI" w:cs="Segoe UI"/>
            <w:color w:val="CA5010"/>
            <w:sz w:val="27"/>
            <w:szCs w:val="27"/>
          </w:rPr>
          <w:t>NY FD for Robin Hood Spring 2020</w:t>
        </w:r>
      </w:hyperlink>
    </w:p>
    <w:p w14:paraId="26D13940"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report shows, for all confirmed grads with a first destination record, the number of students whose first destination is employment or grad school.</w:t>
      </w:r>
    </w:p>
    <w:p w14:paraId="438E11B5" w14:textId="77777777" w:rsidR="00663340" w:rsidRDefault="00663340" w:rsidP="0066334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Show Details to create an exportable report that can be pivoted to display employment status, so you can also report on numbers that have obtained employment versus how many are still looking.</w:t>
      </w:r>
    </w:p>
    <w:p w14:paraId="3FBB86F7" w14:textId="77777777" w:rsidR="003E5787" w:rsidRDefault="003E5787"/>
    <w:sectPr w:rsidR="003E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640"/>
    <w:multiLevelType w:val="multilevel"/>
    <w:tmpl w:val="DA1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26F88"/>
    <w:multiLevelType w:val="multilevel"/>
    <w:tmpl w:val="27BA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2354B"/>
    <w:multiLevelType w:val="multilevel"/>
    <w:tmpl w:val="7CC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91BAC"/>
    <w:multiLevelType w:val="multilevel"/>
    <w:tmpl w:val="B7F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96458"/>
    <w:multiLevelType w:val="multilevel"/>
    <w:tmpl w:val="B69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418599">
    <w:abstractNumId w:val="2"/>
  </w:num>
  <w:num w:numId="2" w16cid:durableId="764765231">
    <w:abstractNumId w:val="3"/>
  </w:num>
  <w:num w:numId="3" w16cid:durableId="434641806">
    <w:abstractNumId w:val="4"/>
  </w:num>
  <w:num w:numId="4" w16cid:durableId="1009942237">
    <w:abstractNumId w:val="0"/>
  </w:num>
  <w:num w:numId="5" w16cid:durableId="125563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40"/>
    <w:rsid w:val="003E5787"/>
    <w:rsid w:val="00556B13"/>
    <w:rsid w:val="00663340"/>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2E9B"/>
  <w15:chartTrackingRefBased/>
  <w15:docId w15:val="{FF16F7F3-50B7-4F26-89AC-2CE6C056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340"/>
  </w:style>
  <w:style w:type="paragraph" w:styleId="Heading2">
    <w:name w:val="heading 2"/>
    <w:basedOn w:val="Normal"/>
    <w:link w:val="Heading2Char"/>
    <w:uiPriority w:val="9"/>
    <w:qFormat/>
    <w:rsid w:val="006633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3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33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3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633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334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63340"/>
    <w:rPr>
      <w:color w:val="0563C1" w:themeColor="hyperlink"/>
      <w:u w:val="single"/>
    </w:rPr>
  </w:style>
  <w:style w:type="character" w:styleId="Strong">
    <w:name w:val="Strong"/>
    <w:basedOn w:val="DefaultParagraphFont"/>
    <w:uiPriority w:val="22"/>
    <w:qFormat/>
    <w:rsid w:val="00663340"/>
    <w:rPr>
      <w:b/>
      <w:bCs/>
    </w:rPr>
  </w:style>
  <w:style w:type="paragraph" w:styleId="NormalWeb">
    <w:name w:val="Normal (Web)"/>
    <w:basedOn w:val="Normal"/>
    <w:uiPriority w:val="99"/>
    <w:semiHidden/>
    <w:unhideWhenUsed/>
    <w:rsid w:val="00663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3340"/>
    <w:rPr>
      <w:i/>
      <w:iCs/>
    </w:rPr>
  </w:style>
  <w:style w:type="character" w:customStyle="1" w:styleId="fontcolorred">
    <w:name w:val="fontcolorred"/>
    <w:basedOn w:val="DefaultParagraphFont"/>
    <w:rsid w:val="0066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88.salesforce.com/00O1Y000006uWA0"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na88.salesforce.com/00O1Y000007H7UnUAK"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88.salesforce.com/00O1Y000006uW9v" TargetMode="External"/><Relationship Id="rId11" Type="http://schemas.openxmlformats.org/officeDocument/2006/relationships/theme" Target="theme/theme1.xml"/><Relationship Id="rId5" Type="http://schemas.openxmlformats.org/officeDocument/2006/relationships/hyperlink" Target="https://na88.salesforce.com/00O1Y000007H7UsUA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88.salesforce.com/00O1Y000007H7V2UAK"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6088DD-7BF5-40EE-8D5D-44B441091966}"/>
</file>

<file path=customXml/itemProps2.xml><?xml version="1.0" encoding="utf-8"?>
<ds:datastoreItem xmlns:ds="http://schemas.openxmlformats.org/officeDocument/2006/customXml" ds:itemID="{6F4B0C33-09C1-48B8-B210-18D0AE152723}"/>
</file>

<file path=customXml/itemProps3.xml><?xml version="1.0" encoding="utf-8"?>
<ds:datastoreItem xmlns:ds="http://schemas.openxmlformats.org/officeDocument/2006/customXml" ds:itemID="{88CA562D-6E04-44E8-8295-0D67D8E643C2}"/>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2023-01-27T10:40:00Z</dcterms:created>
  <dcterms:modified xsi:type="dcterms:W3CDTF">2023-01-27T10:40:00Z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