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[Enter Team ID]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AI-Powered Debt Relief &amp; Financial Recovery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sz w:val="26"/>
        </w:rPr>
        <w:t>Project Empathy Map: Borrower Persona — 'Overdue Loan Holder'</w:t>
      </w:r>
    </w:p>
    <w:p>
      <w:r>
        <w:t>Persona: A salaried individual in their late 20s to 40s with 1-2 active loans, at least one of which has fallen overdue in the last 3-6 months.</w:t>
      </w:r>
    </w:p>
    <w:tbl>
      <w:tblPr>
        <w:tblStyle w:val="TableGrid"/>
        <w:tblW w:type="auto" w:w="0"/>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Details</w:t>
            </w:r>
          </w:p>
        </w:tc>
      </w:tr>
      <w:tr>
        <w:tc>
          <w:tcPr>
            <w:tcW w:type="dxa" w:w="4513"/>
          </w:tcPr>
          <w:p>
            <w:r>
              <w:t>Says</w:t>
            </w:r>
          </w:p>
        </w:tc>
        <w:tc>
          <w:tcPr>
            <w:tcW w:type="dxa" w:w="4513"/>
          </w:tcPr>
          <w:p>
            <w:r>
              <w:t>"I don't know how much I can realistically settle for." / "I'm scared to call the bank." / "I just want this to be over."</w:t>
            </w:r>
          </w:p>
        </w:tc>
      </w:tr>
      <w:tr>
        <w:tc>
          <w:tcPr>
            <w:tcW w:type="dxa" w:w="4513"/>
          </w:tcPr>
          <w:p>
            <w:r>
              <w:t>Thinks</w:t>
            </w:r>
          </w:p>
        </w:tc>
        <w:tc>
          <w:tcPr>
            <w:tcW w:type="dxa" w:w="4513"/>
          </w:tcPr>
          <w:p>
            <w:r>
              <w:t>"Am I being taken advantage of?" / "What if I default completely?" / "I wish I had someone to guide me through this."</w:t>
            </w:r>
          </w:p>
        </w:tc>
      </w:tr>
      <w:tr>
        <w:tc>
          <w:tcPr>
            <w:tcW w:type="dxa" w:w="4513"/>
          </w:tcPr>
          <w:p>
            <w:r>
              <w:t>Does</w:t>
            </w:r>
          </w:p>
        </w:tc>
        <w:tc>
          <w:tcPr>
            <w:tcW w:type="dxa" w:w="4513"/>
          </w:tcPr>
          <w:p>
            <w:r>
              <w:t>Avoids calls from lenders, searches online for generic advice, delays action due to anxiety, manually tracks EMIs in notes or spreadsheets.</w:t>
            </w:r>
          </w:p>
        </w:tc>
      </w:tr>
      <w:tr>
        <w:tc>
          <w:tcPr>
            <w:tcW w:type="dxa" w:w="4513"/>
          </w:tcPr>
          <w:p>
            <w:r>
              <w:t>Feels</w:t>
            </w:r>
          </w:p>
        </w:tc>
        <w:tc>
          <w:tcPr>
            <w:tcW w:type="dxa" w:w="4513"/>
          </w:tcPr>
          <w:p>
            <w:r>
              <w:t>Anxious, overwhelmed, embarrassed, financially unstable, hopeful when given a clear plan.</w:t>
            </w:r>
          </w:p>
        </w:tc>
      </w:tr>
      <w:tr>
        <w:tc>
          <w:tcPr>
            <w:tcW w:type="dxa" w:w="4513"/>
          </w:tcPr>
          <w:p>
            <w:r>
              <w:t>Pain Points</w:t>
            </w:r>
          </w:p>
        </w:tc>
        <w:tc>
          <w:tcPr>
            <w:tcW w:type="dxa" w:w="4513"/>
          </w:tcPr>
          <w:p>
            <w:r>
              <w:t>No structured way to assess financial health; no confidence or template for negotiating with lenders; fear of making the situation worse.</w:t>
            </w:r>
          </w:p>
        </w:tc>
      </w:tr>
      <w:tr>
        <w:tc>
          <w:tcPr>
            <w:tcW w:type="dxa" w:w="4513"/>
          </w:tcPr>
          <w:p>
            <w:r>
              <w:t>Gains / Goals</w:t>
            </w:r>
          </w:p>
        </w:tc>
        <w:tc>
          <w:tcPr>
            <w:tcW w:type="dxa" w:w="4513"/>
          </w:tcPr>
          <w:p>
            <w:r>
              <w:t>A clear settlement number backed by data; a professional-sounding negotiation letter; a sense of control over the recovery process.</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