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bCs w:val="1"/>
          <w:sz w:val="24"/>
          <w:szCs w:val="24"/>
        </w:rPr>
      </w:pPr>
      <w:r w:rsidDel="00000000" w:rsidR="00000000" w:rsidRPr="00000000">
        <w:rPr>
          <w:b w:val="1"/>
          <w:bCs w:val="1"/>
          <w:sz w:val="24"/>
          <w:szCs w:val="24"/>
          <w:rtl w:val="0"/>
        </w:rPr>
        <w:t xml:space="preserve">Project Design Phase</w:t>
      </w:r>
    </w:p>
    <w:p w:rsidR="00000000" w:rsidDel="00000000" w:rsidP="00000000" w:rsidRDefault="00000000" w:rsidRPr="00000000" w14:paraId="00000002">
      <w:pPr>
        <w:spacing w:after="0" w:lineRule="auto"/>
        <w:jc w:val="center"/>
        <w:rPr>
          <w:b w:val="1"/>
          <w:bCs w:val="1"/>
          <w:sz w:val="24"/>
          <w:szCs w:val="24"/>
        </w:rPr>
      </w:pPr>
      <w:r w:rsidDel="00000000" w:rsidR="00000000" w:rsidRPr="00000000">
        <w:rPr>
          <w:b w:val="1"/>
          <w:bCs w:val="1"/>
          <w:sz w:val="24"/>
          <w:szCs w:val="24"/>
          <w:rtl w:val="0"/>
        </w:rPr>
        <w:t xml:space="preserve">Proposed Solution Template</w:t>
      </w:r>
    </w:p>
    <w:p w:rsidR="00000000" w:rsidDel="00000000" w:rsidP="00000000" w:rsidRDefault="00000000" w:rsidRPr="00000000" w14:paraId="00000003">
      <w:pPr>
        <w:spacing w:after="0" w:lineRule="auto"/>
        <w:jc w:val="center"/>
        <w:rPr>
          <w:b w:val="1"/>
          <w:bCs w:val="1"/>
        </w:rPr>
      </w:pPr>
      <w:r w:rsidDel="00000000" w:rsidR="00000000" w:rsidRPr="00000000">
        <w:rPr>
          <w:rtl w:val="0"/>
        </w:rPr>
      </w:r>
    </w:p>
    <w:tbl>
      <w:tblPr>
        <w:tblStyle w:val="Table1"/>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95"/>
        <w:gridCol w:w="4335"/>
        <w:tblGridChange w:id="0">
          <w:tblGrid>
            <w:gridCol w:w="4695"/>
            <w:gridCol w:w="4335"/>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sidR="00000000" w:rsidDel="00000000" w:rsidP="00000000" w:rsidRDefault="00000000" w:rsidRPr="00000000" w14:paraId="00000005">
            <w:pPr>
              <w:rPr/>
            </w:pPr>
            <w:r w:rsidDel="00000000" w:rsidR="00000000" w:rsidRPr="00000000">
              <w:rPr>
                <w:rtl w:val="0"/>
              </w:rPr>
              <w:t xml:space="preserve">15 February 2025</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
              <w:t>[Enter Team ID]</w:t>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
              <w:t>AI-Powered Debt Relief &amp; Financial Recovery Platform</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2 Marks</w:t>
            </w:r>
          </w:p>
        </w:tc>
      </w:tr>
    </w:tbl>
    <w:p w:rsidR="00000000" w:rsidDel="00000000" w:rsidP="00000000" w:rsidRDefault="00000000" w:rsidRPr="00000000" w14:paraId="0000000C">
      <w:pPr>
        <w:rPr>
          <w:b w:val="1"/>
          <w:bCs w:val="1"/>
        </w:rPr>
      </w:pPr>
      <w:r w:rsidDel="00000000" w:rsidR="00000000" w:rsidRPr="00000000">
        <w:rPr>
          <w:rtl w:val="0"/>
        </w:rPr>
      </w:r>
    </w:p>
    <w:p w:rsidR="00000000" w:rsidDel="00000000" w:rsidP="00000000" w:rsidRDefault="00000000" w:rsidRPr="00000000" w14:paraId="0000000D">
      <w:pPr>
        <w:rPr>
          <w:b w:val="1"/>
          <w:bCs w:val="1"/>
        </w:rPr>
      </w:pPr>
      <w:r w:rsidDel="00000000" w:rsidR="00000000" w:rsidRPr="00000000">
        <w:rPr>
          <w:b w:val="1"/>
          <w:bCs w:val="1"/>
          <w:rtl w:val="0"/>
        </w:rPr>
        <w:t xml:space="preserve">Proposed Solution Template:</w:t>
      </w:r>
    </w:p>
    <w:p w:rsidR="00000000" w:rsidDel="00000000" w:rsidP="00000000" w:rsidRDefault="00000000" w:rsidRPr="00000000" w14:paraId="0000000E">
      <w:pPr>
        <w:rPr/>
      </w:pPr>
      <w:r w:rsidDel="00000000" w:rsidR="00000000" w:rsidRPr="00000000">
        <w:rPr>
          <w:rtl w:val="0"/>
        </w:rPr>
        <w:t xml:space="preserve">Project team shall fill the following information in the proposed solution template.</w:t>
      </w:r>
    </w:p>
    <w:tbl>
      <w:tblPr>
        <w:tblStyle w:val="Table2"/>
        <w:tblW w:w="90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55"/>
        <w:gridCol w:w="3705"/>
        <w:gridCol w:w="4515"/>
        <w:tblGridChange w:id="0">
          <w:tblGrid>
            <w:gridCol w:w="855"/>
            <w:gridCol w:w="3705"/>
            <w:gridCol w:w="4515"/>
          </w:tblGrid>
        </w:tblGridChange>
      </w:tblGrid>
      <w:tr>
        <w:trPr>
          <w:cantSplit w:val="0"/>
          <w:trHeight w:val="557" w:hRule="atLeast"/>
          <w:tblHeader w:val="0"/>
        </w:trPr>
        <w:tc>
          <w:tcPr/>
          <w:p w:rsidR="00000000" w:rsidDel="00000000" w:rsidP="00000000" w:rsidRDefault="00000000" w:rsidRPr="00000000" w14:paraId="0000000F">
            <w:pPr>
              <w:rPr>
                <w:b w:val="1"/>
                <w:bCs w:val="1"/>
              </w:rPr>
            </w:pPr>
            <w:r w:rsidDel="00000000" w:rsidR="00000000" w:rsidRPr="00000000">
              <w:rPr>
                <w:b w:val="1"/>
                <w:bCs w:val="1"/>
                <w:rtl w:val="0"/>
              </w:rPr>
              <w:t xml:space="preserve">S.No.</w:t>
            </w:r>
          </w:p>
        </w:tc>
        <w:tc>
          <w:tcPr/>
          <w:p w:rsidR="00000000" w:rsidDel="00000000" w:rsidP="00000000" w:rsidRDefault="00000000" w:rsidRPr="00000000" w14:paraId="00000010">
            <w:pPr>
              <w:rPr>
                <w:b w:val="1"/>
                <w:bCs w:val="1"/>
              </w:rPr>
            </w:pPr>
            <w:r w:rsidDel="00000000" w:rsidR="00000000" w:rsidRPr="00000000">
              <w:rPr>
                <w:b w:val="1"/>
                <w:bCs w:val="1"/>
                <w:rtl w:val="0"/>
              </w:rPr>
              <w:t xml:space="preserve">Parameter</w:t>
            </w:r>
          </w:p>
        </w:tc>
        <w:tc>
          <w:tcPr/>
          <w:p w:rsidR="00000000" w:rsidDel="00000000" w:rsidP="00000000" w:rsidRDefault="00000000" w:rsidRPr="00000000" w14:paraId="00000011">
            <w:pPr>
              <w:rPr>
                <w:b w:val="1"/>
                <w:bCs w:val="1"/>
              </w:rPr>
            </w:pPr>
            <w:r w:rsidDel="00000000" w:rsidR="00000000" w:rsidRPr="00000000">
              <w:rPr>
                <w:b w:val="1"/>
                <w:bCs w:val="1"/>
                <w:rtl w:val="0"/>
              </w:rPr>
              <w:t xml:space="preserve">Description</w:t>
            </w:r>
          </w:p>
        </w:tc>
      </w:tr>
      <w:tr>
        <w:trPr>
          <w:cantSplit w:val="0"/>
          <w:trHeight w:val="817" w:hRule="atLeast"/>
          <w:tblHeader w:val="0"/>
        </w:trPr>
        <w:tc>
          <w:tcPr/>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pacing w:after="160" w:line="259" w:lineRule="auto"/>
              <w:ind w:left="644" w:hanging="360"/>
              <w:rPr>
                <w:color w:val="000000"/>
              </w:rPr>
            </w:pPr>
            <w:r w:rsidDel="00000000" w:rsidR="00000000" w:rsidRPr="00000000">
              <w:rPr>
                <w:rtl w:val="0"/>
              </w:rPr>
            </w:r>
          </w:p>
        </w:tc>
        <w:tc>
          <w:tcPr/>
          <w:p w:rsidR="00000000" w:rsidDel="00000000" w:rsidP="00000000" w:rsidRDefault="00000000" w:rsidRPr="00000000" w14:paraId="00000013">
            <w:pPr>
              <w:rPr/>
            </w:pPr>
            <w:r w:rsidDel="00000000" w:rsidR="00000000" w:rsidRPr="00000000">
              <w:rPr>
                <w:color w:val="222222"/>
                <w:rtl w:val="0"/>
              </w:rPr>
              <w:t xml:space="preserve">Problem Statement (Problem to be solved)</w:t>
            </w:r>
            <w:r w:rsidDel="00000000" w:rsidR="00000000" w:rsidRPr="00000000">
              <w:rPr>
                <w:rtl w:val="0"/>
              </w:rPr>
            </w:r>
          </w:p>
        </w:tc>
        <w:tc>
          <w:tcPr/>
          <w:p>
            <w:r>
              <w:t>Borrowers with overdue loans struggle to manage EMIs, assess their true financial health, and negotiate fair settlements with lenders due to a lack of financial expertise, structured tools, and confidence — leading to prolonged debt stress and poor recovery outcomes.</w:t>
            </w:r>
          </w:p>
        </w:tc>
      </w:tr>
      <w:tr>
        <w:trPr>
          <w:cantSplit w:val="0"/>
          <w:trHeight w:val="817" w:hRule="atLeast"/>
          <w:tblHeader w:val="0"/>
        </w:trPr>
        <w:tc>
          <w:tcPr/>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pacing w:after="160" w:line="259" w:lineRule="auto"/>
              <w:ind w:left="644" w:hanging="360"/>
              <w:rPr>
                <w:color w:val="000000"/>
              </w:rPr>
            </w:pPr>
            <w:r w:rsidDel="00000000" w:rsidR="00000000" w:rsidRPr="00000000">
              <w:rPr>
                <w:rtl w:val="0"/>
              </w:rPr>
            </w:r>
          </w:p>
        </w:tc>
        <w:tc>
          <w:tcPr/>
          <w:p w:rsidR="00000000" w:rsidDel="00000000" w:rsidP="00000000" w:rsidRDefault="00000000" w:rsidRPr="00000000" w14:paraId="00000016">
            <w:pPr>
              <w:rPr/>
            </w:pPr>
            <w:r w:rsidDel="00000000" w:rsidR="00000000" w:rsidRPr="00000000">
              <w:rPr>
                <w:color w:val="222222"/>
                <w:rtl w:val="0"/>
              </w:rPr>
              <w:t xml:space="preserve">Idea / Solution description</w:t>
            </w:r>
            <w:r w:rsidDel="00000000" w:rsidR="00000000" w:rsidRPr="00000000">
              <w:rPr>
                <w:rtl w:val="0"/>
              </w:rPr>
            </w:r>
          </w:p>
        </w:tc>
        <w:tc>
          <w:tcPr/>
          <w:p>
            <w:r>
              <w:t>An AI-powered web platform where borrowers securely log in, enter their loan details (outstanding amount, EMI, overdue duration, monthly income), and instantly receive a debt stress analysis, financial health score, and a personalized settlement recommendation. Borrowers can then generate a professional, lender-specific negotiation email or settlement letter using Google Gemini AI, and track all past negotiations from a central dashboard.</w:t>
            </w:r>
          </w:p>
        </w:tc>
      </w:tr>
      <w:tr>
        <w:trPr>
          <w:cantSplit w:val="0"/>
          <w:trHeight w:val="787" w:hRule="atLeast"/>
          <w:tblHeader w:val="0"/>
        </w:trPr>
        <w:tc>
          <w:tcPr/>
          <w:p w:rsidR="00000000" w:rsidDel="00000000" w:rsidP="00000000" w:rsidRDefault="00000000" w:rsidRPr="00000000" w14:paraId="00000018">
            <w:pPr>
              <w:numPr>
                <w:ilvl w:val="0"/>
                <w:numId w:val="1"/>
              </w:numPr>
              <w:pBdr>
                <w:top w:space="0" w:sz="0" w:val="nil"/>
                <w:left w:space="0" w:sz="0" w:val="nil"/>
                <w:bottom w:space="0" w:sz="0" w:val="nil"/>
                <w:right w:space="0" w:sz="0" w:val="nil"/>
                <w:between w:space="0" w:sz="0" w:val="nil"/>
              </w:pBdr>
              <w:spacing w:after="160" w:line="259" w:lineRule="auto"/>
              <w:ind w:left="644" w:hanging="360"/>
              <w:rPr>
                <w:color w:val="000000"/>
              </w:rPr>
            </w:pPr>
            <w:r w:rsidDel="00000000" w:rsidR="00000000" w:rsidRPr="00000000">
              <w:rPr>
                <w:rtl w:val="0"/>
              </w:rPr>
            </w:r>
          </w:p>
        </w:tc>
        <w:tc>
          <w:tcPr/>
          <w:p w:rsidR="00000000" w:rsidDel="00000000" w:rsidP="00000000" w:rsidRDefault="00000000" w:rsidRPr="00000000" w14:paraId="00000019">
            <w:pPr>
              <w:rPr/>
            </w:pPr>
            <w:r w:rsidDel="00000000" w:rsidR="00000000" w:rsidRPr="00000000">
              <w:rPr>
                <w:color w:val="222222"/>
                <w:rtl w:val="0"/>
              </w:rPr>
              <w:t xml:space="preserve">Novelty / Uniqueness </w:t>
            </w:r>
            <w:r w:rsidDel="00000000" w:rsidR="00000000" w:rsidRPr="00000000">
              <w:rPr>
                <w:rtl w:val="0"/>
              </w:rPr>
            </w:r>
          </w:p>
        </w:tc>
        <w:tc>
          <w:tcPr/>
          <w:p>
            <w:r>
              <w:t>Unlike conventional EMI trackers that only log numbers, this platform combines real-time financial health scoring (EMI ratio, monthly surplus, debt stress level) with generative-AI-drafted, lender-specific negotiation letters — giving borrowers both the analysis and the exact words to use, in one workflow.</w:t>
            </w:r>
          </w:p>
        </w:tc>
      </w:tr>
      <w:tr>
        <w:trPr>
          <w:cantSplit w:val="0"/>
          <w:trHeight w:val="817" w:hRule="atLeast"/>
          <w:tblHeader w:val="0"/>
        </w:trPr>
        <w:tc>
          <w:tcPr/>
          <w:p w:rsidR="00000000" w:rsidDel="00000000" w:rsidP="00000000" w:rsidRDefault="00000000" w:rsidRPr="00000000" w14:paraId="0000001B">
            <w:pPr>
              <w:numPr>
                <w:ilvl w:val="0"/>
                <w:numId w:val="1"/>
              </w:numPr>
              <w:pBdr>
                <w:top w:space="0" w:sz="0" w:val="nil"/>
                <w:left w:space="0" w:sz="0" w:val="nil"/>
                <w:bottom w:space="0" w:sz="0" w:val="nil"/>
                <w:right w:space="0" w:sz="0" w:val="nil"/>
                <w:between w:space="0" w:sz="0" w:val="nil"/>
              </w:pBdr>
              <w:spacing w:after="160" w:line="259" w:lineRule="auto"/>
              <w:ind w:left="644" w:hanging="360"/>
              <w:rPr>
                <w:color w:val="000000"/>
              </w:rPr>
            </w:pPr>
            <w:r w:rsidDel="00000000" w:rsidR="00000000" w:rsidRPr="00000000">
              <w:rPr>
                <w:rtl w:val="0"/>
              </w:rPr>
            </w:r>
          </w:p>
        </w:tc>
        <w:tc>
          <w:tcPr/>
          <w:p w:rsidR="00000000" w:rsidDel="00000000" w:rsidP="00000000" w:rsidRDefault="00000000" w:rsidRPr="00000000" w14:paraId="0000001C">
            <w:pPr>
              <w:rPr/>
            </w:pPr>
            <w:r w:rsidDel="00000000" w:rsidR="00000000" w:rsidRPr="00000000">
              <w:rPr>
                <w:color w:val="222222"/>
                <w:rtl w:val="0"/>
              </w:rPr>
              <w:t xml:space="preserve">Social Impact / Customer Satisfaction</w:t>
            </w:r>
            <w:r w:rsidDel="00000000" w:rsidR="00000000" w:rsidRPr="00000000">
              <w:rPr>
                <w:rtl w:val="0"/>
              </w:rPr>
            </w:r>
          </w:p>
        </w:tc>
        <w:tc>
          <w:tcPr/>
          <w:p>
            <w:r>
              <w:t>Empowers financially distressed borrowers, especially those unfamiliar with legal or negotiation language, to take informed and confident action toward debt recovery. Reduces anxiety around lender communication and helps prevent borrowers from accepting unfavorable settlement terms out of desperation.</w:t>
            </w:r>
          </w:p>
        </w:tc>
      </w:tr>
      <w:tr>
        <w:trPr>
          <w:cantSplit w:val="0"/>
          <w:trHeight w:val="817" w:hRule="atLeast"/>
          <w:tblHeader w:val="0"/>
        </w:trPr>
        <w:tc>
          <w:tcPr/>
          <w:p w:rsidR="00000000" w:rsidDel="00000000" w:rsidP="00000000" w:rsidRDefault="00000000" w:rsidRPr="00000000" w14:paraId="0000001E">
            <w:pPr>
              <w:numPr>
                <w:ilvl w:val="0"/>
                <w:numId w:val="1"/>
              </w:numPr>
              <w:pBdr>
                <w:top w:space="0" w:sz="0" w:val="nil"/>
                <w:left w:space="0" w:sz="0" w:val="nil"/>
                <w:bottom w:space="0" w:sz="0" w:val="nil"/>
                <w:right w:space="0" w:sz="0" w:val="nil"/>
                <w:between w:space="0" w:sz="0" w:val="nil"/>
              </w:pBdr>
              <w:spacing w:after="160" w:line="259" w:lineRule="auto"/>
              <w:ind w:left="644" w:hanging="360"/>
              <w:rPr>
                <w:color w:val="000000"/>
              </w:rPr>
            </w:pPr>
            <w:r w:rsidDel="00000000" w:rsidR="00000000" w:rsidRPr="00000000">
              <w:rPr>
                <w:rtl w:val="0"/>
              </w:rPr>
            </w:r>
          </w:p>
        </w:tc>
        <w:tc>
          <w:tcPr/>
          <w:p w:rsidR="00000000" w:rsidDel="00000000" w:rsidP="00000000" w:rsidRDefault="00000000" w:rsidRPr="00000000" w14:paraId="0000001F">
            <w:pPr>
              <w:rPr/>
            </w:pPr>
            <w:r w:rsidDel="00000000" w:rsidR="00000000" w:rsidRPr="00000000">
              <w:rPr>
                <w:color w:val="222222"/>
                <w:rtl w:val="0"/>
              </w:rPr>
              <w:t xml:space="preserve">Business Model (Revenue Model)</w:t>
            </w:r>
            <w:r w:rsidDel="00000000" w:rsidR="00000000" w:rsidRPr="00000000">
              <w:rPr>
                <w:rtl w:val="0"/>
              </w:rPr>
            </w:r>
          </w:p>
        </w:tc>
        <w:tc>
          <w:tcPr/>
          <w:p>
            <w:r>
              <w:t>Freemium SaaS model — free tier for loan tracking and basic financial health insights; a premium subscription unlocks unlimited AI-generated negotiation letters and advanced analytics. Additional B2B revenue potential through licensing a white-labeled borrower-assistance module to NBFCs, credit counseling firms, and lenders.</w:t>
            </w:r>
          </w:p>
        </w:tc>
      </w:tr>
      <w:tr>
        <w:trPr>
          <w:cantSplit w:val="0"/>
          <w:trHeight w:val="817" w:hRule="atLeast"/>
          <w:tblHeader w:val="0"/>
        </w:trPr>
        <w:tc>
          <w:tcPr/>
          <w:p w:rsidR="00000000" w:rsidDel="00000000" w:rsidP="00000000" w:rsidRDefault="00000000" w:rsidRPr="00000000" w14:paraId="00000021">
            <w:pPr>
              <w:numPr>
                <w:ilvl w:val="0"/>
                <w:numId w:val="1"/>
              </w:numPr>
              <w:pBdr>
                <w:top w:space="0" w:sz="0" w:val="nil"/>
                <w:left w:space="0" w:sz="0" w:val="nil"/>
                <w:bottom w:space="0" w:sz="0" w:val="nil"/>
                <w:right w:space="0" w:sz="0" w:val="nil"/>
                <w:between w:space="0" w:sz="0" w:val="nil"/>
              </w:pBdr>
              <w:spacing w:after="160" w:line="259" w:lineRule="auto"/>
              <w:ind w:left="644" w:hanging="360"/>
              <w:rPr>
                <w:color w:val="000000"/>
              </w:rPr>
            </w:pPr>
            <w:r w:rsidDel="00000000" w:rsidR="00000000" w:rsidRPr="00000000">
              <w:rPr>
                <w:rtl w:val="0"/>
              </w:rPr>
            </w:r>
          </w:p>
        </w:tc>
        <w:tc>
          <w:tcPr/>
          <w:p w:rsidR="00000000" w:rsidDel="00000000" w:rsidP="00000000" w:rsidRDefault="00000000" w:rsidRPr="00000000" w14:paraId="00000022">
            <w:pPr>
              <w:rPr>
                <w:color w:val="222222"/>
              </w:rPr>
            </w:pPr>
            <w:r w:rsidDel="00000000" w:rsidR="00000000" w:rsidRPr="00000000">
              <w:rPr>
                <w:color w:val="222222"/>
                <w:rtl w:val="0"/>
              </w:rPr>
              <w:t xml:space="preserve">Scalability of the Solution</w:t>
            </w:r>
          </w:p>
        </w:tc>
        <w:tc>
          <w:tcPr/>
          <w:p>
            <w:r>
              <w:t>Built on a modular FastAPI backend with SQLAlchemy ORM (SQLite for development, easily swapped for PostgreSQL/MySQL in production) and a stateless REST API design, allowing horizontal scaling. The Gemini API integration is abstracted behind a service layer, making it straightforward to add multi-lender integrations, additional AI providers, or support for multiple currencies and regions as usage grows.</w:t>
            </w:r>
          </w:p>
        </w:tc>
      </w:tr>
    </w:tbl>
    <w:p w:rsidR="00000000" w:rsidDel="00000000" w:rsidP="00000000" w:rsidRDefault="00000000" w:rsidRPr="00000000" w14:paraId="00000024">
      <w:pPr>
        <w:rPr/>
      </w:pPr>
      <w:r w:rsidDel="00000000" w:rsidR="00000000" w:rsidRPr="00000000">
        <w:rPr>
          <w:rtl w:val="0"/>
        </w:rPr>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44" w:hanging="358.99999999999994"/>
      </w:pPr>
      <w:rPr/>
    </w:lvl>
    <w:lvl w:ilvl="1">
      <w:start w:val="1"/>
      <w:numFmt w:val="lowerLetter"/>
      <w:lvlText w:val="%2."/>
      <w:lvlJc w:val="left"/>
      <w:pPr>
        <w:ind w:left="1364" w:hanging="360"/>
      </w:pPr>
      <w:rPr/>
    </w:lvl>
    <w:lvl w:ilvl="2">
      <w:start w:val="1"/>
      <w:numFmt w:val="lowerRoman"/>
      <w:lvlText w:val="%3."/>
      <w:lvlJc w:val="right"/>
      <w:pPr>
        <w:ind w:left="2084" w:hanging="180"/>
      </w:pPr>
      <w:rPr/>
    </w:lvl>
    <w:lvl w:ilvl="3">
      <w:start w:val="1"/>
      <w:numFmt w:val="decimal"/>
      <w:lvlText w:val="%4."/>
      <w:lvlJc w:val="left"/>
      <w:pPr>
        <w:ind w:left="2804" w:hanging="360"/>
      </w:pPr>
      <w:rPr/>
    </w:lvl>
    <w:lvl w:ilvl="4">
      <w:start w:val="1"/>
      <w:numFmt w:val="lowerLetter"/>
      <w:lvlText w:val="%5."/>
      <w:lvlJc w:val="left"/>
      <w:pPr>
        <w:ind w:left="3524" w:hanging="360"/>
      </w:pPr>
      <w:rPr/>
    </w:lvl>
    <w:lvl w:ilvl="5">
      <w:start w:val="1"/>
      <w:numFmt w:val="lowerRoman"/>
      <w:lvlText w:val="%6."/>
      <w:lvlJc w:val="right"/>
      <w:pPr>
        <w:ind w:left="4244" w:hanging="180"/>
      </w:pPr>
      <w:rPr/>
    </w:lvl>
    <w:lvl w:ilvl="6">
      <w:start w:val="1"/>
      <w:numFmt w:val="decimal"/>
      <w:lvlText w:val="%7."/>
      <w:lvlJc w:val="left"/>
      <w:pPr>
        <w:ind w:left="4964" w:hanging="360"/>
      </w:pPr>
      <w:rPr/>
    </w:lvl>
    <w:lvl w:ilvl="7">
      <w:start w:val="1"/>
      <w:numFmt w:val="lowerLetter"/>
      <w:lvlText w:val="%8."/>
      <w:lvlJc w:val="left"/>
      <w:pPr>
        <w:ind w:left="5684" w:hanging="360"/>
      </w:pPr>
      <w:rPr/>
    </w:lvl>
    <w:lvl w:ilvl="8">
      <w:start w:val="1"/>
      <w:numFmt w:val="lowerRoman"/>
      <w:lvlText w:val="%9."/>
      <w:lvlJc w:val="right"/>
      <w:pPr>
        <w:ind w:left="6404"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6GRSB57MuWNiIgKigdaa6ZwfUg==">CgMxLjA4AHIhMWJqd1NtZGdpTHZLb0gtZHdJZDRuNU5JRUxCT09PV1Rn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