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r>
              <w:t>[Enter Team ID]</w:t>
            </w:r>
          </w:p>
        </w:tc>
      </w:tr>
      <w:tr w:rsidR="004360B1" w14:paraId="51E034FC" w14:textId="77777777">
        <w:tc>
          <w:tcPr>
            <w:tcW w:w="4508" w:type="dxa"/>
          </w:tcPr>
          <w:p w14:paraId="69F005D8" w14:textId="77777777" w:rsidR="004360B1" w:rsidRDefault="00000000">
            <w:r>
              <w:t>Project Name</w:t>
            </w:r>
          </w:p>
        </w:tc>
        <w:tc>
          <w:tcPr>
            <w:tcW w:w="4508" w:type="dxa"/>
          </w:tcPr>
          <w:p>
            <w:r>
              <w:t>AI-Powered Debt Relief &amp; Financial Recovery Platform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6"/>
        </w:rPr>
        <w:t>Project Problem – Solution Fit</w:t>
      </w:r>
    </w:p>
    <w:tbl>
      <w:tblPr>
        <w:tblStyle w:val="TableGrid"/>
        <w:tblW w:type="auto" w:w="0"/>
        <w:tblLook w:firstColumn="1" w:firstRow="1" w:lastColumn="0" w:lastRow="0" w:noHBand="0" w:noVBand="1" w:val="04A0"/>
      </w:tblPr>
      <w:tblGrid>
        <w:gridCol w:w="4513"/>
        <w:gridCol w:w="4513"/>
      </w:tblGrid>
      <w:tr>
        <w:tc>
          <w:tcPr>
            <w:tcW w:type="dxa" w:w="4513"/>
          </w:tcPr>
          <w:p>
            <w:r>
              <w:rPr>
                <w:b/>
              </w:rPr>
              <w:t>Element</w:t>
            </w:r>
          </w:p>
        </w:tc>
        <w:tc>
          <w:tcPr>
            <w:tcW w:type="dxa" w:w="4513"/>
          </w:tcPr>
          <w:p>
            <w:r>
              <w:rPr>
                <w:b/>
              </w:rPr>
              <w:t>Description</w:t>
            </w:r>
          </w:p>
        </w:tc>
      </w:tr>
      <w:tr>
        <w:tc>
          <w:tcPr>
            <w:tcW w:type="dxa" w:w="4513"/>
          </w:tcPr>
          <w:p>
            <w:r>
              <w:t>Customer Segment</w:t>
            </w:r>
          </w:p>
        </w:tc>
        <w:tc>
          <w:tcPr>
            <w:tcW w:type="dxa" w:w="4513"/>
          </w:tcPr>
          <w:p>
            <w:r>
              <w:t>Salaried and self-employed borrowers with overdue loan EMIs seeking settlement or recovery guidance.</w:t>
            </w:r>
          </w:p>
        </w:tc>
      </w:tr>
      <w:tr>
        <w:tc>
          <w:tcPr>
            <w:tcW w:type="dxa" w:w="4513"/>
          </w:tcPr>
          <w:p>
            <w:r>
              <w:t>Problem</w:t>
            </w:r>
          </w:p>
        </w:tc>
        <w:tc>
          <w:tcPr>
            <w:tcW w:type="dxa" w:w="4513"/>
          </w:tcPr>
          <w:p>
            <w:r>
              <w:t>Borrowers lack the financial expertise and negotiation confidence to secure fair settlements with lenders.</w:t>
            </w:r>
          </w:p>
        </w:tc>
      </w:tr>
      <w:tr>
        <w:tc>
          <w:tcPr>
            <w:tcW w:type="dxa" w:w="4513"/>
          </w:tcPr>
          <w:p>
            <w:r>
              <w:t>Existing Alternatives</w:t>
            </w:r>
          </w:p>
        </w:tc>
        <w:tc>
          <w:tcPr>
            <w:tcW w:type="dxa" w:w="4513"/>
          </w:tcPr>
          <w:p>
            <w:r>
              <w:t>Informal advice from friends/family, generic online articles, or paid debt-counseling agencies with high fees and slow turnaround.</w:t>
            </w:r>
          </w:p>
        </w:tc>
      </w:tr>
      <w:tr>
        <w:tc>
          <w:tcPr>
            <w:tcW w:type="dxa" w:w="4513"/>
          </w:tcPr>
          <w:p>
            <w:r>
              <w:t>Proposed Solution</w:t>
            </w:r>
          </w:p>
        </w:tc>
        <w:tc>
          <w:tcPr>
            <w:tcW w:type="dxa" w:w="4513"/>
          </w:tcPr>
          <w:p>
            <w:r>
              <w:t>An AI-powered platform that analyzes financial data instantly and generates a personalized settlement recommendation plus a ready-to-send negotiation letter.</w:t>
            </w:r>
          </w:p>
        </w:tc>
      </w:tr>
      <w:tr>
        <w:tc>
          <w:tcPr>
            <w:tcW w:type="dxa" w:w="4513"/>
          </w:tcPr>
          <w:p>
            <w:r>
              <w:t>Channels</w:t>
            </w:r>
          </w:p>
        </w:tc>
        <w:tc>
          <w:tcPr>
            <w:tcW w:type="dxa" w:w="4513"/>
          </w:tcPr>
          <w:p>
            <w:r>
              <w:t>Web application (React.js frontend), accessible via desktop and mobile browsers.</w:t>
            </w:r>
          </w:p>
        </w:tc>
      </w:tr>
      <w:tr>
        <w:tc>
          <w:tcPr>
            <w:tcW w:type="dxa" w:w="4513"/>
          </w:tcPr>
          <w:p>
            <w:r>
              <w:t>Trigger to Act</w:t>
            </w:r>
          </w:p>
        </w:tc>
        <w:tc>
          <w:tcPr>
            <w:tcW w:type="dxa" w:w="4513"/>
          </w:tcPr>
          <w:p>
            <w:r>
              <w:t>Receiving an overdue notice, mounting EMI stress, or wanting a lower settlement before a loan is marked as default/NPA.</w:t>
            </w:r>
          </w:p>
        </w:tc>
      </w:tr>
      <w:tr>
        <w:tc>
          <w:tcPr>
            <w:tcW w:type="dxa" w:w="4513"/>
          </w:tcPr>
          <w:p>
            <w:r>
              <w:t>Emotion: Before</w:t>
            </w:r>
          </w:p>
        </w:tc>
        <w:tc>
          <w:tcPr>
            <w:tcW w:type="dxa" w:w="4513"/>
          </w:tcPr>
          <w:p>
            <w:r>
              <w:t>Anxious, confused, and unsure whether to trust a lender's settlement offer.</w:t>
            </w:r>
          </w:p>
        </w:tc>
      </w:tr>
      <w:tr>
        <w:tc>
          <w:tcPr>
            <w:tcW w:type="dxa" w:w="4513"/>
          </w:tcPr>
          <w:p>
            <w:r>
              <w:t>Emotion: After</w:t>
            </w:r>
          </w:p>
        </w:tc>
        <w:tc>
          <w:tcPr>
            <w:tcW w:type="dxa" w:w="4513"/>
          </w:tcPr>
          <w:p>
            <w:r>
              <w:t>Informed, confident, and equipped with a concrete negotiation strategy and letter.</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