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[Enter Team ID]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AI-Powered Debt Relief &amp; Financial Recovery Platform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6"/>
        </w:rPr>
        <w:t>Project Solution Architecture Diagram</w:t>
      </w:r>
    </w:p>
    <w:p>
      <w:r>
        <w:drawing>
          <wp:inline xmlns:a="http://schemas.openxmlformats.org/drawingml/2006/main" xmlns:pic="http://schemas.openxmlformats.org/drawingml/2006/picture">
            <wp:extent cx="5760720" cy="3225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Architecture Summary</w:t>
      </w:r>
    </w:p>
    <w:p>
      <w:r>
        <w:t>•  Frontend: React.js (Vite) single-page application handling loan entry forms, the financial health dashboard, and negotiation letter display.</w:t>
      </w:r>
    </w:p>
    <w:p>
      <w:r>
        <w:t>•  Backend: FastAPI (Python) exposes REST endpoints for authentication, loan management, financial analysis, and AI orchestration.</w:t>
      </w:r>
    </w:p>
    <w:p>
      <w:r>
        <w:t>•  Database: SQLite with SQLAlchemy ORM stores users, loan records, and negotiation history; designed to be swapped for PostgreSQL/MySQL in production.</w:t>
      </w:r>
    </w:p>
    <w:p>
      <w:r>
        <w:t>•  Generative AI Service: Google Gemini API receives structured financial data and prompts to generate settlement recommendations and lender-specific negotiation letters.</w:t>
      </w:r>
    </w:p>
    <w:p>
      <w:r>
        <w:t>•  Financial Analysis Engine: A Python-based rules engine computes EMI ratio, monthly surplus, and debt stress score before any AI call, ensuring the AI receives grounded, accurate figures.</w:t>
      </w:r>
    </w:p>
    <w:p>
      <w:r>
        <w:t>•  Deployment: Frontend deployed via Netlify; backend deployed via Render/Railway, connected over HTTPS.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