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14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[Enter Team ID]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AI-Powered Debt Relief &amp; Financial Recovery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>
      <w:r>
        <w:br/>
      </w:r>
    </w:p>
    <w:p>
      <w:r>
        <w:rPr>
          <w:b/>
        </w:rPr>
        <w:t>Project Architecture Diagram:</w:t>
      </w:r>
    </w:p>
    <w:p>
      <w:r>
        <w:drawing>
          <wp:inline>
            <wp:extent cx="5760720" cy="32253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36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>
            <w:r>
              <w:t>Borrower-facing web interface for loan entry, dashboard, and negotiation letters</w:t>
            </w:r>
          </w:p>
        </w:tc>
        <w:tc>
          <w:tcPr/>
          <w:p>
            <w:r>
              <w:t>React.js (Vite), HTML5, CSS3, JavaScript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2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>
            <w:r>
              <w:t>Loan CRUD, authentication, and request routing</w:t>
            </w:r>
          </w:p>
        </w:tc>
        <w:tc>
          <w:tcPr/>
          <w:p>
            <w:r>
              <w:t>FastAPI (Python)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3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>
            <w:r>
              <w:t>Financial health computation (EMI ratio, surplus, debt stress scoring)</w:t>
            </w:r>
          </w:p>
        </w:tc>
        <w:tc>
          <w:tcPr/>
          <w:p>
            <w:r>
              <w:t>Python (custom rules engine)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4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>
            <w:r>
              <w:t>AI-driven settlement recommendation &amp; negotiation letter generation</w:t>
            </w:r>
          </w:p>
        </w:tc>
        <w:tc>
          <w:tcPr/>
          <w:p>
            <w:r>
              <w:t>Google Gemini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>
            <w:r>
              <w:t>Storage of users, loan records, and negotiation history</w:t>
            </w:r>
          </w:p>
        </w:tc>
        <w:tc>
          <w:tcPr/>
          <w:p>
            <w:r>
              <w:t>SQLite with SQLAlchemy ORM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>
            <w:r>
              <w:t>Production-grade managed database service</w:t>
            </w:r>
          </w:p>
        </w:tc>
        <w:tc>
          <w:tcPr/>
          <w:p>
            <w:r>
              <w:t>PostgreSQL on Render / Railway (planned upgrade path)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7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>
            <w:r>
              <w:t>Storage for generated negotiation letters / exports</w:t>
            </w:r>
          </w:p>
        </w:tc>
        <w:tc>
          <w:tcPr/>
          <w:p>
            <w:r>
              <w:t>Local filesystem (dev); Cloud object storage (prod)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8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>
            <w:r>
              <w:t>Generative AI for settlement analysis &amp; negotiation drafting</w:t>
            </w:r>
          </w:p>
        </w:tc>
        <w:tc>
          <w:tcPr/>
          <w:p>
            <w:r>
              <w:t>Google Gemini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9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>
            <w:r>
              <w:t>Email delivery for confirmation &amp; negotiation letters (planned)</w:t>
            </w:r>
          </w:p>
        </w:tc>
        <w:tc>
          <w:tcPr/>
          <w:p>
            <w:r>
              <w:t>SMTP / SendGrid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10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>
            <w:r>
              <w:t>Debt stress classification &amp; settlement percentage prediction</w:t>
            </w:r>
          </w:p>
        </w:tc>
        <w:tc>
          <w:tcPr/>
          <w:p>
            <w:r>
              <w:t>Rule-based scoring model + Gemini prompt-based reasoning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11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>
            <w:r>
              <w:t>Local Server Configuration: Uvicorn + FastAPI on localhost during development</w:t>
              <w:br/>
              <w:t>Cloud Server Configuration: Render / Railway (backend), Netlify / Vercel (frontend)</w:t>
            </w:r>
          </w:p>
        </w:tc>
        <w:tc>
          <w:tcPr/>
          <w:p>
            <w:r>
              <w:t>Local, Render, Railway, Netlify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1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>
            <w:r>
              <w:t>React.js, FastAPI, SQLAlchemy, Vite are all used as core open-source frameworks</w:t>
            </w:r>
          </w:p>
        </w:tc>
        <w:tc>
          <w:tcPr/>
          <w:p>
            <w:r>
              <w:t>React.js, FastAPI, SQLAlchemy, Vite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2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>
            <w:r>
              <w:t>JWT-based authentication, bcrypt password hashing, HTTPS, environment-based API key storage, input validation</w:t>
            </w:r>
          </w:p>
        </w:tc>
        <w:tc>
          <w:tcPr/>
          <w:p>
            <w:r>
              <w:t>JWT, bcrypt, HTTPS, python-dotenv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3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>
            <w:r>
              <w:t>Stateless 3-tier architecture (frontend, API, database) allows the backend to be scaled horizontally behind a load balancer</w:t>
            </w:r>
          </w:p>
        </w:tc>
        <w:tc>
          <w:tcPr/>
          <w:p>
            <w:r>
              <w:t>3-tier architecture, FastAPI async workers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4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>
            <w:r>
              <w:t>Cloud deployment on Render/Railway with automated restarts; frontend served via CDN-backed static hosting (Netlify)</w:t>
            </w:r>
          </w:p>
        </w:tc>
        <w:tc>
          <w:tcPr/>
          <w:p>
            <w:r>
              <w:t>Render, Railway, Netlify CDN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5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>
            <w:r>
              <w:t>Async FastAPI endpoints, indexed SQLite/SQL queries, and lightweight React components keep dashboard response under 2 seconds</w:t>
            </w:r>
          </w:p>
        </w:tc>
        <w:tc>
          <w:tcPr/>
          <w:p>
            <w:r>
              <w:t>FastAPI async, SQL indexing, Vite bundling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