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8"/>
        </w:rPr>
        <w:t>U.S. AIRBNB PRICING STRATEGY MANUAL</w:t>
      </w:r>
    </w:p>
    <w:p>
      <w:pPr>
        <w:pStyle w:val="ManualSubtitle"/>
        <w:jc w:val="center"/>
      </w:pPr>
      <w:r>
        <w:rPr>
          <w:b/>
        </w:rPr>
        <w:t>Revenue Management Playbook for Hosts, Property Managers, and Short-Term Rental Operators</w:t>
      </w:r>
    </w:p>
    <w:p>
      <w:pPr>
        <w:pStyle w:val="ManualSubtitle"/>
        <w:jc w:val="center"/>
      </w:pPr>
      <w:r>
        <w:t>United States Market Focus | Current through May 2026</w:t>
      </w:r>
    </w:p>
    <w:p>
      <w:r/>
    </w:p>
    <w:tbl>
      <w:tblPr>
        <w:tblStyle w:val="TableGrid"/>
        <w:tblW w:type="auto" w:w="0"/>
        <w:jc w:val="center"/>
        <w:tblLook w:firstColumn="1" w:firstRow="1" w:lastColumn="0" w:lastRow="0" w:noHBand="0" w:noVBand="1" w:val="04A0"/>
      </w:tblPr>
      <w:tblGrid>
        <w:gridCol w:w="5112"/>
        <w:gridCol w:w="5112"/>
      </w:tblGrid>
      <w:tr>
        <w:tc>
          <w:tcPr>
            <w:tcW w:type="dxa" w:w="5184"/>
            <w:shd w:fill="1F4E79"/>
            <w:vAlign w:val="center"/>
          </w:tcPr>
          <w:p>
            <w:pPr>
              <w:spacing w:after="0"/>
            </w:pPr>
            <w:r/>
            <w:r>
              <w:rPr>
                <w:rFonts w:ascii="Arial" w:hAnsi="Arial" w:eastAsia="Arial"/>
                <w:b/>
                <w:color w:val="FFFFFF"/>
                <w:sz w:val="17"/>
              </w:rPr>
              <w:t>Manual scope</w:t>
            </w:r>
          </w:p>
        </w:tc>
        <w:tc>
          <w:tcPr>
            <w:tcW w:type="dxa" w:w="5184"/>
            <w:shd w:fill="1F4E79"/>
            <w:vAlign w:val="center"/>
          </w:tcPr>
          <w:p>
            <w:pPr>
              <w:spacing w:after="0"/>
            </w:pPr>
            <w:r/>
            <w:r>
              <w:rPr>
                <w:rFonts w:ascii="Arial" w:hAnsi="Arial" w:eastAsia="Arial"/>
                <w:b/>
                <w:color w:val="FFFFFF"/>
                <w:sz w:val="17"/>
              </w:rPr>
              <w:t>Primary use</w:t>
            </w:r>
          </w:p>
        </w:tc>
      </w:tr>
      <w:tr>
        <w:tc>
          <w:tcPr>
            <w:tcW w:type="dxa" w:w="5184"/>
            <w:vAlign w:val="top"/>
          </w:tcPr>
          <w:p>
            <w:pPr>
              <w:spacing w:after="0"/>
            </w:pPr>
            <w:r/>
            <w:r>
              <w:rPr>
                <w:rFonts w:ascii="Arial" w:hAnsi="Arial" w:eastAsia="Arial"/>
                <w:b w:val="0"/>
                <w:sz w:val="17"/>
              </w:rPr>
              <w:t>Airbnb pricing strategy, US regional demand, room/property type rate architecture, booking-window rules, event/holiday playbooks, fees, cancellation policy, and operating governance.</w:t>
            </w:r>
          </w:p>
        </w:tc>
        <w:tc>
          <w:tcPr>
            <w:tcW w:type="dxa" w:w="5184"/>
            <w:vAlign w:val="top"/>
          </w:tcPr>
          <w:p>
            <w:pPr>
              <w:spacing w:after="0"/>
            </w:pPr>
            <w:r/>
            <w:r>
              <w:rPr>
                <w:rFonts w:ascii="Arial" w:hAnsi="Arial" w:eastAsia="Arial"/>
                <w:b w:val="0"/>
                <w:sz w:val="17"/>
              </w:rPr>
              <w:t>Practical handbook for pricing a single listing, a small host portfolio, or a professional STR portfolio. It is not legal, tax, or investment advice.</w:t>
            </w:r>
          </w:p>
        </w:tc>
      </w:tr>
    </w:tbl>
    <w:p>
      <w:pPr>
        <w:pStyle w:val="Small"/>
      </w:pPr>
    </w:p>
    <w:p>
      <w:pPr>
        <w:pStyle w:val="Callout"/>
      </w:pPr>
      <w:r>
        <w:t>This manual synthesizes peer-reviewed research, working papers, official Airbnb platform documentation, STR industry reports, US travel forecasts, and news/regulatory coverage. Source codes such as [A1], [P3], [I4], and [N1] refer to the bibliography at the end of the document.</w:t>
      </w:r>
    </w:p>
    <w:p>
      <w:r>
        <w:t>Core operating principle: optimize guest-visible total price, not only nightly price. The US Airbnb shopping experience now emphasizes fee-inclusive total price before taxes, while federal and state price-transparency rules have increased the cost of hidden or excessive fees. A professional pricing system must therefore manage nightly rate, cleaning fee, platform fee structure, length-of-stay rules, cancellation risk, and review quality as one integrated revenue system.</w:t>
      </w:r>
    </w:p>
    <w:p>
      <w:r>
        <w:br w:type="page"/>
      </w:r>
    </w:p>
    <w:p>
      <w:pPr>
        <w:pStyle w:val="Heading1"/>
      </w:pPr>
      <w:r>
        <w:t>Table of Contents</w:t>
      </w:r>
    </w:p>
    <w:p>
      <w:r>
        <w:t>1. Executive Summary</w:t>
      </w:r>
    </w:p>
    <w:p>
      <w:r>
        <w:t>2. Research Synthesis: What the Evidence Means for Pricing</w:t>
      </w:r>
    </w:p>
    <w:p>
      <w:r>
        <w:t>3. Pricing Philosophy and Revenue Objectives</w:t>
      </w:r>
    </w:p>
    <w:p>
      <w:r>
        <w:t>4. Data Foundation and Competitive Set Design</w:t>
      </w:r>
    </w:p>
    <w:p>
      <w:r>
        <w:t>5. US Demand Segmentation</w:t>
      </w:r>
    </w:p>
    <w:p>
      <w:r>
        <w:t>6. Room and Property Type Pricing Architecture</w:t>
      </w:r>
    </w:p>
    <w:p>
      <w:r>
        <w:t>7. Rate Formula, Rate Ladder, and Price Floors</w:t>
      </w:r>
    </w:p>
    <w:p>
      <w:r>
        <w:t>8. Seasonality, Booking Windows, and Lead-Time Controls</w:t>
      </w:r>
    </w:p>
    <w:p>
      <w:r>
        <w:t>9. Occupancy, Pace, and Dynamic Adjustment Rules</w:t>
      </w:r>
    </w:p>
    <w:p>
      <w:r>
        <w:t>10. Length-of-Stay, Gap-Night, and Calendar Rules</w:t>
      </w:r>
    </w:p>
    <w:p>
      <w:r>
        <w:t>11. Discounts, Promotions, and New Listing Strategy</w:t>
      </w:r>
    </w:p>
    <w:p>
      <w:r>
        <w:t>12. Total Price, Cleaning Fees, Service Fees, and Net Payout</w:t>
      </w:r>
    </w:p>
    <w:p>
      <w:r>
        <w:t>13. Reviews, Ratings, and Value-for-Money Pricing</w:t>
      </w:r>
    </w:p>
    <w:p>
      <w:r>
        <w:t>14. Cancellation Policies and Repricing After Cancellations</w:t>
      </w:r>
    </w:p>
    <w:p>
      <w:r>
        <w:t>15. US Regional Pricing Playbooks</w:t>
      </w:r>
    </w:p>
    <w:p>
      <w:r>
        <w:t>16. Event, Holiday, and Compression Pricing</w:t>
      </w:r>
    </w:p>
    <w:p>
      <w:r>
        <w:t>17. Scenario Playbook for Common Pricing Situations</w:t>
      </w:r>
    </w:p>
    <w:p>
      <w:r>
        <w:t>18. Multi-Unit Portfolio Governance</w:t>
      </w:r>
    </w:p>
    <w:p>
      <w:r>
        <w:t>19. KPI Dashboard and Weekly Revenue Meeting SOP</w:t>
      </w:r>
    </w:p>
    <w:p>
      <w:r>
        <w:t>20. Implementation Roadmap</w:t>
      </w:r>
    </w:p>
    <w:p>
      <w:r>
        <w:t>21. Templates and Checklists</w:t>
      </w:r>
    </w:p>
    <w:p>
      <w:r>
        <w:t>22. Source Matrix and Bibliography</w:t>
      </w:r>
    </w:p>
    <w:p>
      <w:r>
        <w:br w:type="page"/>
      </w:r>
    </w:p>
    <w:p>
      <w:pPr>
        <w:pStyle w:val="Heading1"/>
      </w:pPr>
      <w:r>
        <w:t>1. Executive Summary</w:t>
      </w:r>
    </w:p>
    <w:p>
      <w:r>
        <w:t>Airbnb pricing in the United States has matured from informal host intuition into a full revenue-management discipline. The market now rewards operators who combine local demand intelligence, defensible competitive sets, dynamic rate controls, thoughtful minimum-stay rules, total-price transparency, and review-aware value management. A successful pricing system should not chase either maximum occupancy or maximum ADR in isolation. It should maximize risk-adjusted net revenue per available night while protecting review score, search conversion, compliance standing, and owner trust.</w:t>
      </w:r>
    </w:p>
    <w:p>
      <w:r>
        <w:t>The most important strategic shift is that the guest compares total price. Airbnb has made total price with fees visible in search results globally, and US guests see a fee-inclusive total price before taxes [P3][P4]. The Federal Trade Commission rule on unfair or deceptive fees also requires covered short-term lodging sellers to tell consumers the whole truth upfront about total prices and fees [N1]. This changes tactical pricing. A listing with a low nightly rate and a high cleaning fee may be competitively weak, particularly for short stays. The nightly price, cleaning fee, extra guest fee, pet fee, taxes, platform fee structure, and discounts must be analyzed as one price package.</w:t>
      </w:r>
    </w:p>
    <w:p>
      <w:r>
        <w:t>Academic evidence supports a hedonic and dynamic approach. Price is affected by room type, property attributes, host attributes, amenities, rules, location, and review signals [A1]. In a large US-market study, price positioning and dynamic pricing were associated with higher revenue performance, while multi-unit hosts tended to outperform single-unit hosts through more deliberate positioning and operating capability [A2]. However, indiscriminate last-minute price surging is risky. Evidence on intertemporal price discrimination indicates that increasing price as arrival approaches can reduce revenue on average, with meaningful heterogeneity by listing type [A3]. Therefore, this manual recommends controlled dynamic pricing: defend peak dates when compression is real, but do not automatically raise prices late unless current comp-set availability, market pickup, and search demand support the increase.</w:t>
      </w:r>
    </w:p>
    <w:p>
      <w:r>
        <w:t>Industry data points to a more balanced but more competitive US STR market. AirDNA reported that US short-term rental occupancy in 2025 was roughly flat year over year, while the broader market showed variation across regions, price tiers, and operator types [I2]. Its 2026 outlook and related reporting point to favorable conditions in coastal, mountain/lake, and suburban areas of major US cities, while urban markets remain sensitive to supply, regulation, and travel mix [I1]. Beyond’s Q2 2026 market report highlights compressed booking windows and warns against discounting too early when on-the-books occupancy looks soft but late-stage pickup has not arrived [I4].</w:t>
      </w:r>
    </w:p>
    <w:p>
      <w:r>
        <w:t>The practical implication is that every listing needs a structured rate architecture. Set a base rate from a hand-built comp set, adjust it by demand season, day-of-week, lead time, pace, and event compression, then validate the all-in guest price against alternatives. Protect price floors based on true variable cost and brand position. Use discounts as targeted instruments, not as a default substitute for strategy. Use minimum-stay restrictions to shape demand when demand is strong, then relax them to capture shoulder nights and gap nights when the booking curve is incomplete.</w:t>
      </w:r>
    </w:p>
    <w:p>
      <w:r>
        <w:t>For US operators, regional strategy matters. Coastal and lake markets usually require high-summer rate defense, longer minimum stays, and short-stay gap controls. Mountain markets require dual-season calendars for ski and summer demand, with weather and access risk considered. Urban markets require attention to regulation, business travel, event calendars, and hotel substitutes. Suburban and small-city markets often compete on group value and drivable convenience. Theme-park markets require family-oriented length-of-stay logic and rate integrity during school breaks. College towns and event markets require aggressive event identification, but also humility: not every high-profile event creates enough lodging compression to justify extreme pricing.</w:t>
      </w:r>
    </w:p>
    <w:tbl>
      <w:tblPr>
        <w:tblStyle w:val="TableGrid"/>
        <w:tblW w:type="auto" w:w="0"/>
        <w:jc w:val="center"/>
        <w:tblLook w:firstColumn="1" w:firstRow="1" w:lastColumn="0" w:lastRow="0" w:noHBand="0" w:noVBand="1" w:val="04A0"/>
      </w:tblPr>
      <w:tblGrid>
        <w:gridCol w:w="5112"/>
        <w:gridCol w:w="5112"/>
      </w:tblGrid>
      <w:tr>
        <w:tc>
          <w:tcPr>
            <w:tcW w:type="dxa" w:w="3456"/>
            <w:shd w:fill="1F4E79"/>
            <w:vAlign w:val="center"/>
          </w:tcPr>
          <w:p>
            <w:pPr>
              <w:spacing w:after="0"/>
            </w:pPr>
            <w:r/>
            <w:r>
              <w:rPr>
                <w:rFonts w:ascii="Arial" w:hAnsi="Arial" w:eastAsia="Arial"/>
                <w:b/>
                <w:color w:val="FFFFFF"/>
                <w:sz w:val="16"/>
              </w:rPr>
              <w:t>Executive pricing rule</w:t>
            </w:r>
          </w:p>
        </w:tc>
        <w:tc>
          <w:tcPr>
            <w:tcW w:type="dxa" w:w="7056"/>
            <w:shd w:fill="1F4E79"/>
            <w:vAlign w:val="center"/>
          </w:tcPr>
          <w:p>
            <w:pPr>
              <w:spacing w:after="0"/>
            </w:pPr>
            <w:r/>
            <w:r>
              <w:rPr>
                <w:rFonts w:ascii="Arial" w:hAnsi="Arial" w:eastAsia="Arial"/>
                <w:b/>
                <w:color w:val="FFFFFF"/>
                <w:sz w:val="16"/>
              </w:rPr>
              <w:t>Operational meaning</w:t>
            </w:r>
          </w:p>
        </w:tc>
      </w:tr>
      <w:tr>
        <w:tc>
          <w:tcPr>
            <w:tcW w:type="dxa" w:w="3456"/>
            <w:vAlign w:val="top"/>
          </w:tcPr>
          <w:p>
            <w:pPr>
              <w:spacing w:after="0"/>
            </w:pPr>
            <w:r/>
            <w:r>
              <w:rPr>
                <w:rFonts w:ascii="Arial" w:hAnsi="Arial" w:eastAsia="Arial"/>
                <w:b w:val="0"/>
                <w:sz w:val="16"/>
              </w:rPr>
              <w:t>Price the guest-visible total, not the nightly rate alone.</w:t>
            </w:r>
          </w:p>
        </w:tc>
        <w:tc>
          <w:tcPr>
            <w:tcW w:type="dxa" w:w="7056"/>
            <w:vAlign w:val="top"/>
          </w:tcPr>
          <w:p>
            <w:pPr>
              <w:spacing w:after="0"/>
            </w:pPr>
            <w:r/>
            <w:r>
              <w:rPr>
                <w:rFonts w:ascii="Arial" w:hAnsi="Arial" w:eastAsia="Arial"/>
                <w:b w:val="0"/>
                <w:sz w:val="16"/>
              </w:rPr>
              <w:t>Amortize cleaning fees by trip length; compare total price before taxes against similar listings and hotels.</w:t>
            </w:r>
          </w:p>
        </w:tc>
      </w:tr>
      <w:tr>
        <w:tc>
          <w:tcPr>
            <w:tcW w:type="dxa" w:w="3456"/>
            <w:vAlign w:val="top"/>
          </w:tcPr>
          <w:p>
            <w:pPr>
              <w:spacing w:after="0"/>
            </w:pPr>
            <w:r/>
            <w:r>
              <w:rPr>
                <w:rFonts w:ascii="Arial" w:hAnsi="Arial" w:eastAsia="Arial"/>
                <w:b w:val="0"/>
                <w:sz w:val="16"/>
              </w:rPr>
              <w:t>Protect peak demand with rate floors and LOS controls.</w:t>
            </w:r>
          </w:p>
        </w:tc>
        <w:tc>
          <w:tcPr>
            <w:tcW w:type="dxa" w:w="7056"/>
            <w:vAlign w:val="top"/>
          </w:tcPr>
          <w:p>
            <w:pPr>
              <w:spacing w:after="0"/>
            </w:pPr>
            <w:r/>
            <w:r>
              <w:rPr>
                <w:rFonts w:ascii="Arial" w:hAnsi="Arial" w:eastAsia="Arial"/>
                <w:b w:val="0"/>
                <w:sz w:val="16"/>
              </w:rPr>
              <w:t>Use higher minimum stays and higher floors for summer, holidays, major events, and scarce inventory dates.</w:t>
            </w:r>
          </w:p>
        </w:tc>
      </w:tr>
      <w:tr>
        <w:tc>
          <w:tcPr>
            <w:tcW w:type="dxa" w:w="3456"/>
            <w:vAlign w:val="top"/>
          </w:tcPr>
          <w:p>
            <w:pPr>
              <w:spacing w:after="0"/>
            </w:pPr>
            <w:r/>
            <w:r>
              <w:rPr>
                <w:rFonts w:ascii="Arial" w:hAnsi="Arial" w:eastAsia="Arial"/>
                <w:b w:val="0"/>
                <w:sz w:val="16"/>
              </w:rPr>
              <w:t>React to booking pace, not fear.</w:t>
            </w:r>
          </w:p>
        </w:tc>
        <w:tc>
          <w:tcPr>
            <w:tcW w:type="dxa" w:w="7056"/>
            <w:vAlign w:val="top"/>
          </w:tcPr>
          <w:p>
            <w:pPr>
              <w:spacing w:after="0"/>
            </w:pPr>
            <w:r/>
            <w:r>
              <w:rPr>
                <w:rFonts w:ascii="Arial" w:hAnsi="Arial" w:eastAsia="Arial"/>
                <w:b w:val="0"/>
                <w:sz w:val="16"/>
              </w:rPr>
              <w:t>Do not discount early simply because forward occupancy looks soft; check the booking window and comparable availability first.</w:t>
            </w:r>
          </w:p>
        </w:tc>
      </w:tr>
      <w:tr>
        <w:tc>
          <w:tcPr>
            <w:tcW w:type="dxa" w:w="3456"/>
            <w:vAlign w:val="top"/>
          </w:tcPr>
          <w:p>
            <w:pPr>
              <w:spacing w:after="0"/>
            </w:pPr>
            <w:r/>
            <w:r>
              <w:rPr>
                <w:rFonts w:ascii="Arial" w:hAnsi="Arial" w:eastAsia="Arial"/>
                <w:b w:val="0"/>
                <w:sz w:val="16"/>
              </w:rPr>
              <w:t>Use discounts to buy specific outcomes.</w:t>
            </w:r>
          </w:p>
        </w:tc>
        <w:tc>
          <w:tcPr>
            <w:tcW w:type="dxa" w:w="7056"/>
            <w:vAlign w:val="top"/>
          </w:tcPr>
          <w:p>
            <w:pPr>
              <w:spacing w:after="0"/>
            </w:pPr>
            <w:r/>
            <w:r>
              <w:rPr>
                <w:rFonts w:ascii="Arial" w:hAnsi="Arial" w:eastAsia="Arial"/>
                <w:b w:val="0"/>
                <w:sz w:val="16"/>
              </w:rPr>
              <w:t>New reviews, midweek fill, longer stays, distressed gap nights, or cancellation recovery.</w:t>
            </w:r>
          </w:p>
        </w:tc>
      </w:tr>
      <w:tr>
        <w:tc>
          <w:tcPr>
            <w:tcW w:type="dxa" w:w="3456"/>
            <w:vAlign w:val="top"/>
          </w:tcPr>
          <w:p>
            <w:pPr>
              <w:spacing w:after="0"/>
            </w:pPr>
            <w:r/>
            <w:r>
              <w:rPr>
                <w:rFonts w:ascii="Arial" w:hAnsi="Arial" w:eastAsia="Arial"/>
                <w:b w:val="0"/>
                <w:sz w:val="16"/>
              </w:rPr>
              <w:t>Treat reviews as pricing capital.</w:t>
            </w:r>
          </w:p>
        </w:tc>
        <w:tc>
          <w:tcPr>
            <w:tcW w:type="dxa" w:w="7056"/>
            <w:vAlign w:val="top"/>
          </w:tcPr>
          <w:p>
            <w:pPr>
              <w:spacing w:after="0"/>
            </w:pPr>
            <w:r/>
            <w:r>
              <w:rPr>
                <w:rFonts w:ascii="Arial" w:hAnsi="Arial" w:eastAsia="Arial"/>
                <w:b w:val="0"/>
                <w:sz w:val="16"/>
              </w:rPr>
              <w:t>Higher prices raise expectations; repeated value-for-money complaints require price or product correction.</w:t>
            </w:r>
          </w:p>
        </w:tc>
      </w:tr>
    </w:tbl>
    <w:p>
      <w:pPr>
        <w:pStyle w:val="Small"/>
      </w:pPr>
    </w:p>
    <w:p>
      <w:r>
        <w:br w:type="page"/>
      </w:r>
    </w:p>
    <w:p>
      <w:pPr>
        <w:pStyle w:val="Heading1"/>
      </w:pPr>
      <w:r>
        <w:t>2. Research Synthesis: What the Evidence Means for Pricing</w:t>
      </w:r>
    </w:p>
    <w:p>
      <w:pPr>
        <w:pStyle w:val="Heading2"/>
      </w:pPr>
      <w:r>
        <w:t>2.1 Academic findings</w:t>
      </w:r>
    </w:p>
    <w:p>
      <w:r>
        <w:t>The academic literature supports a multi-factor pricing model rather than a single “market average” rate. Wang and Nicolau’s cross-city Airbnb pricing study examined variables across host attributes, property/site attributes, amenities and services, rental rules, and online reviews; the research found that nearly all variables examined were useful predictors of price [A1]. For operators, this means a pricing model must capture more than bedrooms and bathrooms. It should include property type, guest capacity, location, amenities, photos/listing quality, cancellation policy, minimum stays, review score, and host credibility.</w:t>
      </w:r>
    </w:p>
    <w:p>
      <w:r>
        <w:t>Kwok and Xie’s study of more than 320,000 Airbnb listings in 10 major US markets found that price positioning and dynamic pricing can positively affect listing revenue, and that multi-unit hosts generally performed better than single-unit hosts [A2]. The manual interprets this as evidence for systematic pricing governance. Multi-unit operators are often better not because they discount more, but because they build routines: comparable-set management, calendar audits, owner reporting, rate floors, and consistent review of performance metrics.</w:t>
      </w:r>
    </w:p>
    <w:p>
      <w:r>
        <w:t>Leoni’s dynamic pricing research adds an important caution. Increasing price as the stay date approaches can have a negative average effect on revenue, though the effect differs by listing [A3]. This is a warning against blind “hotel-like” late-stage surging. Airbnb guests may have different expectations from hotel guests, and a short-term rental may lose conversion if it increases late-stage price while enough substitutes remain available. Late-stage price increases should be reserved for verified compression: rising search, strong on-the-books occupancy among true substitutes, reduced available supply, and low cancellation risk.</w:t>
      </w:r>
    </w:p>
    <w:p>
      <w:r>
        <w:t>Recent US-region research on review content shows that negative reviews can affect pricing more strongly than positive reviews, especially for lower-priced listings, and that facility and location-related review language is particularly important [A4]. This supports a review-adjusted pricing system. A listing with a poor cleanliness, facility, noise, or location perception cannot keep a premium merely because it has strong seasonality. Conversely, consistently positive facility/location review content can justify moving above the comp-set median.</w:t>
      </w:r>
    </w:p>
    <w:p>
      <w:r>
        <w:t>The value-for-money literature further reinforces review-aware pricing. Carnehl and coauthors find a dominant value-for-money effect in Airbnb data: higher prices can worsen ratings when guests feel the value delivered is insufficient, while entry discounts can improve medium-run revenue for low-entry-price strategies [A5]. The operational takeaway is that a new listing should often buy early trust and review velocity with a controlled introductory discount, then move rates upward once conversion and rating evidence supports the new position.</w:t>
      </w:r>
    </w:p>
    <w:p>
      <w:r>
        <w:t>The NBER cancellation policy paper studying ten US cities found that a platform rule requiring a 48-hour refundability period led to higher prices and higher occupancy for Airbnb listings, with cross-platform competitive effects [A6]. While platform policy is not identical to host-set cancellation strategy, the evidence confirms that cancellation rules influence price, conversion, and platform competition. Hosts should attach a risk premium to flexible cancellation during high-value dates and should maintain a repricing protocol for cancelled nights.</w:t>
      </w:r>
    </w:p>
    <w:tbl>
      <w:tblPr>
        <w:tblStyle w:val="TableGrid"/>
        <w:tblW w:type="auto" w:w="0"/>
        <w:jc w:val="center"/>
        <w:tblLook w:firstColumn="1" w:firstRow="1" w:lastColumn="0" w:lastRow="0" w:noHBand="0" w:noVBand="1" w:val="04A0"/>
      </w:tblPr>
      <w:tblGrid>
        <w:gridCol w:w="5112"/>
        <w:gridCol w:w="5112"/>
      </w:tblGrid>
      <w:tr>
        <w:tc>
          <w:tcPr>
            <w:tcW w:type="dxa" w:w="3744"/>
            <w:shd w:fill="1F4E79"/>
            <w:vAlign w:val="center"/>
          </w:tcPr>
          <w:p>
            <w:pPr>
              <w:spacing w:after="0"/>
            </w:pPr>
            <w:r/>
            <w:r>
              <w:rPr>
                <w:rFonts w:ascii="Arial" w:hAnsi="Arial" w:eastAsia="Arial"/>
                <w:b/>
                <w:color w:val="FFFFFF"/>
                <w:sz w:val="16"/>
              </w:rPr>
              <w:t>Research finding</w:t>
            </w:r>
          </w:p>
        </w:tc>
        <w:tc>
          <w:tcPr>
            <w:tcW w:type="dxa" w:w="6768"/>
            <w:shd w:fill="1F4E79"/>
            <w:vAlign w:val="center"/>
          </w:tcPr>
          <w:p>
            <w:pPr>
              <w:spacing w:after="0"/>
            </w:pPr>
            <w:r/>
            <w:r>
              <w:rPr>
                <w:rFonts w:ascii="Arial" w:hAnsi="Arial" w:eastAsia="Arial"/>
                <w:b/>
                <w:color w:val="FFFFFF"/>
                <w:sz w:val="16"/>
              </w:rPr>
              <w:t>Pricing implication</w:t>
            </w:r>
          </w:p>
        </w:tc>
      </w:tr>
      <w:tr>
        <w:tc>
          <w:tcPr>
            <w:tcW w:type="dxa" w:w="3744"/>
            <w:vAlign w:val="top"/>
          </w:tcPr>
          <w:p>
            <w:pPr>
              <w:spacing w:after="0"/>
            </w:pPr>
            <w:r/>
            <w:r>
              <w:rPr>
                <w:rFonts w:ascii="Arial" w:hAnsi="Arial" w:eastAsia="Arial"/>
                <w:b w:val="0"/>
                <w:sz w:val="16"/>
              </w:rPr>
              <w:t>Attributes beyond bedrooms predict price.</w:t>
            </w:r>
          </w:p>
        </w:tc>
        <w:tc>
          <w:tcPr>
            <w:tcW w:type="dxa" w:w="6768"/>
            <w:vAlign w:val="top"/>
          </w:tcPr>
          <w:p>
            <w:pPr>
              <w:spacing w:after="0"/>
            </w:pPr>
            <w:r/>
            <w:r>
              <w:rPr>
                <w:rFonts w:ascii="Arial" w:hAnsi="Arial" w:eastAsia="Arial"/>
                <w:b w:val="0"/>
                <w:sz w:val="16"/>
              </w:rPr>
              <w:t>Build a weighted comp set and a property scorecard, not a simple bedroom average.</w:t>
            </w:r>
          </w:p>
        </w:tc>
      </w:tr>
      <w:tr>
        <w:tc>
          <w:tcPr>
            <w:tcW w:type="dxa" w:w="3744"/>
            <w:vAlign w:val="top"/>
          </w:tcPr>
          <w:p>
            <w:pPr>
              <w:spacing w:after="0"/>
            </w:pPr>
            <w:r/>
            <w:r>
              <w:rPr>
                <w:rFonts w:ascii="Arial" w:hAnsi="Arial" w:eastAsia="Arial"/>
                <w:b w:val="0"/>
                <w:sz w:val="16"/>
              </w:rPr>
              <w:t>Price positioning and dynamic pricing can raise revenue.</w:t>
            </w:r>
          </w:p>
        </w:tc>
        <w:tc>
          <w:tcPr>
            <w:tcW w:type="dxa" w:w="6768"/>
            <w:vAlign w:val="top"/>
          </w:tcPr>
          <w:p>
            <w:pPr>
              <w:spacing w:after="0"/>
            </w:pPr>
            <w:r/>
            <w:r>
              <w:rPr>
                <w:rFonts w:ascii="Arial" w:hAnsi="Arial" w:eastAsia="Arial"/>
                <w:b w:val="0"/>
                <w:sz w:val="16"/>
              </w:rPr>
              <w:t>Use dynamic rules, but anchor them to a strategic base price and comp-set percentile.</w:t>
            </w:r>
          </w:p>
        </w:tc>
      </w:tr>
      <w:tr>
        <w:tc>
          <w:tcPr>
            <w:tcW w:type="dxa" w:w="3744"/>
            <w:vAlign w:val="top"/>
          </w:tcPr>
          <w:p>
            <w:pPr>
              <w:spacing w:after="0"/>
            </w:pPr>
            <w:r/>
            <w:r>
              <w:rPr>
                <w:rFonts w:ascii="Arial" w:hAnsi="Arial" w:eastAsia="Arial"/>
                <w:b w:val="0"/>
                <w:sz w:val="16"/>
              </w:rPr>
              <w:t>Blind late-stage price surging can reduce revenue.</w:t>
            </w:r>
          </w:p>
        </w:tc>
        <w:tc>
          <w:tcPr>
            <w:tcW w:type="dxa" w:w="6768"/>
            <w:vAlign w:val="top"/>
          </w:tcPr>
          <w:p>
            <w:pPr>
              <w:spacing w:after="0"/>
            </w:pPr>
            <w:r/>
            <w:r>
              <w:rPr>
                <w:rFonts w:ascii="Arial" w:hAnsi="Arial" w:eastAsia="Arial"/>
                <w:b w:val="0"/>
                <w:sz w:val="16"/>
              </w:rPr>
              <w:t>Only increase late when compression is proven; otherwise use gap-fill and LOS flexibility.</w:t>
            </w:r>
          </w:p>
        </w:tc>
      </w:tr>
      <w:tr>
        <w:tc>
          <w:tcPr>
            <w:tcW w:type="dxa" w:w="3744"/>
            <w:vAlign w:val="top"/>
          </w:tcPr>
          <w:p>
            <w:pPr>
              <w:spacing w:after="0"/>
            </w:pPr>
            <w:r/>
            <w:r>
              <w:rPr>
                <w:rFonts w:ascii="Arial" w:hAnsi="Arial" w:eastAsia="Arial"/>
                <w:b w:val="0"/>
                <w:sz w:val="16"/>
              </w:rPr>
              <w:t>Negative reviews affect price strongly.</w:t>
            </w:r>
          </w:p>
        </w:tc>
        <w:tc>
          <w:tcPr>
            <w:tcW w:type="dxa" w:w="6768"/>
            <w:vAlign w:val="top"/>
          </w:tcPr>
          <w:p>
            <w:pPr>
              <w:spacing w:after="0"/>
            </w:pPr>
            <w:r/>
            <w:r>
              <w:rPr>
                <w:rFonts w:ascii="Arial" w:hAnsi="Arial" w:eastAsia="Arial"/>
                <w:b w:val="0"/>
                <w:sz w:val="16"/>
              </w:rPr>
              <w:t>After a poor review, correct the issue and temporarily protect conversion before pushing price.</w:t>
            </w:r>
          </w:p>
        </w:tc>
      </w:tr>
      <w:tr>
        <w:tc>
          <w:tcPr>
            <w:tcW w:type="dxa" w:w="3744"/>
            <w:vAlign w:val="top"/>
          </w:tcPr>
          <w:p>
            <w:pPr>
              <w:spacing w:after="0"/>
            </w:pPr>
            <w:r/>
            <w:r>
              <w:rPr>
                <w:rFonts w:ascii="Arial" w:hAnsi="Arial" w:eastAsia="Arial"/>
                <w:b w:val="0"/>
                <w:sz w:val="16"/>
              </w:rPr>
              <w:t>Value-for-money affects ratings.</w:t>
            </w:r>
          </w:p>
        </w:tc>
        <w:tc>
          <w:tcPr>
            <w:tcW w:type="dxa" w:w="6768"/>
            <w:vAlign w:val="top"/>
          </w:tcPr>
          <w:p>
            <w:pPr>
              <w:spacing w:after="0"/>
            </w:pPr>
            <w:r/>
            <w:r>
              <w:rPr>
                <w:rFonts w:ascii="Arial" w:hAnsi="Arial" w:eastAsia="Arial"/>
                <w:b w:val="0"/>
                <w:sz w:val="16"/>
              </w:rPr>
              <w:t>Premium pricing must be supported by amenities, accuracy, cleanliness, service, and photos.</w:t>
            </w:r>
          </w:p>
        </w:tc>
      </w:tr>
      <w:tr>
        <w:tc>
          <w:tcPr>
            <w:tcW w:type="dxa" w:w="3744"/>
            <w:vAlign w:val="top"/>
          </w:tcPr>
          <w:p>
            <w:pPr>
              <w:spacing w:after="0"/>
            </w:pPr>
            <w:r/>
            <w:r>
              <w:rPr>
                <w:rFonts w:ascii="Arial" w:hAnsi="Arial" w:eastAsia="Arial"/>
                <w:b w:val="0"/>
                <w:sz w:val="16"/>
              </w:rPr>
              <w:t>Cancellation rules affect behavior and pricing.</w:t>
            </w:r>
          </w:p>
        </w:tc>
        <w:tc>
          <w:tcPr>
            <w:tcW w:type="dxa" w:w="6768"/>
            <w:vAlign w:val="top"/>
          </w:tcPr>
          <w:p>
            <w:pPr>
              <w:spacing w:after="0"/>
            </w:pPr>
            <w:r/>
            <w:r>
              <w:rPr>
                <w:rFonts w:ascii="Arial" w:hAnsi="Arial" w:eastAsia="Arial"/>
                <w:b w:val="0"/>
                <w:sz w:val="16"/>
              </w:rPr>
              <w:t>Adjust price and minimum stay for cancellation risk, particularly on event and holiday dates.</w:t>
            </w:r>
          </w:p>
        </w:tc>
      </w:tr>
    </w:tbl>
    <w:p>
      <w:pPr>
        <w:pStyle w:val="Small"/>
      </w:pPr>
    </w:p>
    <w:p>
      <w:pPr>
        <w:pStyle w:val="Heading2"/>
      </w:pPr>
      <w:r>
        <w:t>2.2 Platform rules and tools</w:t>
      </w:r>
    </w:p>
    <w:p>
      <w:r>
        <w:t>Airbnb’s own pricing ecosystem provides several tools that should be used deliberately. Smart Pricing uses hundreds of factors related to the listing and area to adjust nightly price based on demand, and hosts can set a minimum and maximum range [P1]. Rule-sets are available through professional hosting tools and can apply nightly price changes, length-of-stay discounts, last-minute discounts, early-bird discounts, trip length requirements, and check-in/checkout restrictions [P2]. Smart Pricing overrides rule-sets, so professional operators should decide whether Airbnb’s automated pricing or their own rule-set logic controls each listing and each period.</w:t>
      </w:r>
    </w:p>
    <w:p>
      <w:r>
        <w:t>Airbnb’s discount structure includes a 20% new listing promotion for the first three bookings, custom promotions, length-of-stay discounts, early-bird discounts, and last-minute discounts [P8]. These discounts should be mapped to specific commercial objectives. For example, a new listing promotion should be used to accelerate first reviews only if the discounted rate still covers variable cost and does not attract a mismatch of guests. Early-bird discounts should be limited to lower-risk shoulder periods or to markets where early commitment is valuable. Last-minute discounts should be confined to distressed gap nights or soft shoulder dates, not peak nights with real compression.</w:t>
      </w:r>
    </w:p>
    <w:p>
      <w:r>
        <w:t>Similar Listings and price tips can help hosts benchmark, but they should not replace judgment. Similar Listings compare average prices of booked and unbooked homes around the property, but may not appear when Smart Pricing is turned on or when there are too few comparable listings [P9]. Because Airbnb’s algorithmic comparison may include properties with different cleanliness, regulation, amenities, reviews, and fee structures, professional operators should maintain their own “true competitor” set of roughly 10-30 listings.</w:t>
      </w:r>
    </w:p>
    <w:p>
      <w:pPr>
        <w:pStyle w:val="Heading2"/>
      </w:pPr>
      <w:r>
        <w:t>2.3 Industry, travel, and news findings</w:t>
      </w:r>
    </w:p>
    <w:p>
      <w:r>
        <w:t>US demand is resilient but uneven. U.S. Travel Association forecasts show total US travel spending reaching $1.37 trillion in 2026 and domestic leisure spending rising to $909 billion, but also note inflation pressure and a shift toward shorter-duration and lower-cost trips, including regional and drive markets [I5]. This is directly relevant to Airbnb pricing: pricing power is strongest when the property offers group value, drivable convenience, or differentiated private space; pricing power is weaker when the listing is a generic substitute for many lower-cost alternatives.</w:t>
      </w:r>
    </w:p>
    <w:p>
      <w:r>
        <w:t>AirDNA’s 2025 and 2026 materials describe a market that has moved out of easy post-pandemic scarcity and toward more disciplined, data-driven operation [I1][I2][I3]. The 2026 outlook points to favorable conditions in coastal, mountain/lake, and major-metro suburban areas, while urban and regulated markets remain uneven. Industry reports also describe slowing supply growth in some areas and stronger demand for larger or premium listings in selected markets. Operators should therefore calibrate rate premiums by market type rather than applying one national rule.</w:t>
      </w:r>
    </w:p>
    <w:p>
      <w:r>
        <w:t>Beyond’s Q2 2026 report provides a tactical warning: booking windows are compressing and on-the-books occupancy may look soft before late-stage demand arrives [I4]. This means operators should not automatically discount 30-60 days out if their market historically books late. Instead, they should check current booking curve, comparable availability, inquiry/search signals, and event calendar. The report also emphasizes flexible availability, time-based pricing, and relaxing minimum stays on shoulder dates, which are all incorporated into the playbooks below.</w:t>
      </w:r>
    </w:p>
    <w:p>
      <w:r>
        <w:t>News coverage adds two practical lessons. First, fee transparency and trust matter: AP coverage of Airbnb’s fake-listing and fee initiatives reported that high cleaning fees and non-transparent prices were major user concerns, and that Airbnb moved toward all-in price comparison tools [N2]. Second, mega-event expectations can be unreliable. World Cup 2026 coverage shows that short-term rental demand can surge in host cities such as Miami, but hotel bookings have also underperformed expectations in some cities, meaning a high-profile event is not automatically a blank check for extreme rate increases [N3][N4].</w:t>
      </w:r>
    </w:p>
    <w:p>
      <w:r>
        <w:br w:type="page"/>
      </w:r>
    </w:p>
    <w:p>
      <w:pPr>
        <w:pStyle w:val="Heading1"/>
      </w:pPr>
      <w:r>
        <w:t>3. Pricing Philosophy and Revenue Objectives</w:t>
      </w:r>
    </w:p>
    <w:p>
      <w:pPr>
        <w:pStyle w:val="Heading2"/>
      </w:pPr>
      <w:r>
        <w:t>3.1 Revenue objective</w:t>
      </w:r>
    </w:p>
    <w:p>
      <w:r>
        <w:t>The pricing objective is to maximize risk-adjusted net revenue per available night, subject to search conversion, guest satisfaction, compliance, and owner return constraints. This is broader than maximizing ADR. A high ADR with many vacant dates may produce weak RevPAR. A high occupancy rate achieved through chronic discounting may produce poor owner returns and may attract lower-fit guests. A professional pricing system must balance ADR, occupancy, RevPAR, payout revenue, review score, cancellation risk, and operational load.</w:t>
      </w:r>
    </w:p>
    <w:p>
      <w:pPr>
        <w:pStyle w:val="Callout"/>
      </w:pPr>
      <w:r>
        <w:rPr>
          <w:b/>
        </w:rPr>
        <w:t>Core objective: maximize Net RevPAN = (nightly revenue + host fees retained - platform costs - variable stay costs) / available nights, while maintaining target review score and compliance status.</w:t>
      </w:r>
    </w:p>
    <w:p>
      <w:r>
        <w:t>For a single host, the practical objective can be expressed as: fill high-demand dates at the highest justified price, fill shoulder dates at the best all-in value position, and avoid selling too cheaply too early. For a professional property manager, the objective also includes owner confidence, standardized reporting, market expansion decisions, and portfolio-level inventory allocation.</w:t>
      </w:r>
    </w:p>
    <w:p>
      <w:pPr>
        <w:pStyle w:val="Heading2"/>
      </w:pPr>
      <w:r>
        <w:t>3.2 The four levels of Airbnb price</w:t>
      </w:r>
    </w:p>
    <w:p>
      <w:r>
        <w:t>Airbnb price has four levels, and a revenue manager should manage all four. The first is the nightly base rate. The second is the rule-adjusted date rate after seasonality, weekday/weekend rules, event premiums, and lead-time adjustments. The third is guest-visible total price before taxes, which includes mandatory host fees and platform pricing display effects. The fourth is net payout after platform service fees, taxes remitted, cleaning cost, consumables, utilities, payment fees, and owner share.</w:t>
      </w:r>
    </w:p>
    <w:tbl>
      <w:tblPr>
        <w:tblStyle w:val="TableGrid"/>
        <w:tblW w:type="auto" w:w="0"/>
        <w:jc w:val="center"/>
        <w:tblLook w:firstColumn="1" w:firstRow="1" w:lastColumn="0" w:lastRow="0" w:noHBand="0" w:noVBand="1" w:val="04A0"/>
      </w:tblPr>
      <w:tblGrid>
        <w:gridCol w:w="3408"/>
        <w:gridCol w:w="3408"/>
        <w:gridCol w:w="3408"/>
      </w:tblGrid>
      <w:tr>
        <w:tc>
          <w:tcPr>
            <w:tcW w:type="dxa" w:w="2376"/>
            <w:shd w:fill="1F4E79"/>
            <w:vAlign w:val="center"/>
          </w:tcPr>
          <w:p>
            <w:pPr>
              <w:spacing w:after="0"/>
            </w:pPr>
            <w:r/>
            <w:r>
              <w:rPr>
                <w:rFonts w:ascii="Arial" w:hAnsi="Arial" w:eastAsia="Arial"/>
                <w:b/>
                <w:color w:val="FFFFFF"/>
                <w:sz w:val="16"/>
              </w:rPr>
              <w:t>Price level</w:t>
            </w:r>
          </w:p>
        </w:tc>
        <w:tc>
          <w:tcPr>
            <w:tcW w:type="dxa" w:w="3960"/>
            <w:shd w:fill="1F4E79"/>
            <w:vAlign w:val="center"/>
          </w:tcPr>
          <w:p>
            <w:pPr>
              <w:spacing w:after="0"/>
            </w:pPr>
            <w:r/>
            <w:r>
              <w:rPr>
                <w:rFonts w:ascii="Arial" w:hAnsi="Arial" w:eastAsia="Arial"/>
                <w:b/>
                <w:color w:val="FFFFFF"/>
                <w:sz w:val="16"/>
              </w:rPr>
              <w:t>What it answers</w:t>
            </w:r>
          </w:p>
        </w:tc>
        <w:tc>
          <w:tcPr>
            <w:tcW w:type="dxa" w:w="4320"/>
            <w:shd w:fill="1F4E79"/>
            <w:vAlign w:val="center"/>
          </w:tcPr>
          <w:p>
            <w:pPr>
              <w:spacing w:after="0"/>
            </w:pPr>
            <w:r/>
            <w:r>
              <w:rPr>
                <w:rFonts w:ascii="Arial" w:hAnsi="Arial" w:eastAsia="Arial"/>
                <w:b/>
                <w:color w:val="FFFFFF"/>
                <w:sz w:val="16"/>
              </w:rPr>
              <w:t>Common mistake</w:t>
            </w:r>
          </w:p>
        </w:tc>
      </w:tr>
      <w:tr>
        <w:tc>
          <w:tcPr>
            <w:tcW w:type="dxa" w:w="2376"/>
            <w:vAlign w:val="top"/>
          </w:tcPr>
          <w:p>
            <w:pPr>
              <w:spacing w:after="0"/>
            </w:pPr>
            <w:r/>
            <w:r>
              <w:rPr>
                <w:rFonts w:ascii="Arial" w:hAnsi="Arial" w:eastAsia="Arial"/>
                <w:b w:val="0"/>
                <w:sz w:val="16"/>
              </w:rPr>
              <w:t>Nightly base rate</w:t>
            </w:r>
          </w:p>
        </w:tc>
        <w:tc>
          <w:tcPr>
            <w:tcW w:type="dxa" w:w="3960"/>
            <w:vAlign w:val="top"/>
          </w:tcPr>
          <w:p>
            <w:pPr>
              <w:spacing w:after="0"/>
            </w:pPr>
            <w:r/>
            <w:r>
              <w:rPr>
                <w:rFonts w:ascii="Arial" w:hAnsi="Arial" w:eastAsia="Arial"/>
                <w:b w:val="0"/>
                <w:sz w:val="16"/>
              </w:rPr>
              <w:t>What should the property cost on a neutral demand date?</w:t>
            </w:r>
          </w:p>
        </w:tc>
        <w:tc>
          <w:tcPr>
            <w:tcW w:type="dxa" w:w="4320"/>
            <w:vAlign w:val="top"/>
          </w:tcPr>
          <w:p>
            <w:pPr>
              <w:spacing w:after="0"/>
            </w:pPr>
            <w:r/>
            <w:r>
              <w:rPr>
                <w:rFonts w:ascii="Arial" w:hAnsi="Arial" w:eastAsia="Arial"/>
                <w:b w:val="0"/>
                <w:sz w:val="16"/>
              </w:rPr>
              <w:t>Using a market average without adjusting for reviews, amenities, location, and guest capacity.</w:t>
            </w:r>
          </w:p>
        </w:tc>
      </w:tr>
      <w:tr>
        <w:tc>
          <w:tcPr>
            <w:tcW w:type="dxa" w:w="2376"/>
            <w:vAlign w:val="top"/>
          </w:tcPr>
          <w:p>
            <w:pPr>
              <w:spacing w:after="0"/>
            </w:pPr>
            <w:r/>
            <w:r>
              <w:rPr>
                <w:rFonts w:ascii="Arial" w:hAnsi="Arial" w:eastAsia="Arial"/>
                <w:b w:val="0"/>
                <w:sz w:val="16"/>
              </w:rPr>
              <w:t>Rule-adjusted date rate</w:t>
            </w:r>
          </w:p>
        </w:tc>
        <w:tc>
          <w:tcPr>
            <w:tcW w:type="dxa" w:w="3960"/>
            <w:vAlign w:val="top"/>
          </w:tcPr>
          <w:p>
            <w:pPr>
              <w:spacing w:after="0"/>
            </w:pPr>
            <w:r/>
            <w:r>
              <w:rPr>
                <w:rFonts w:ascii="Arial" w:hAnsi="Arial" w:eastAsia="Arial"/>
                <w:b w:val="0"/>
                <w:sz w:val="16"/>
              </w:rPr>
              <w:t>What should this specific date cost?</w:t>
            </w:r>
          </w:p>
        </w:tc>
        <w:tc>
          <w:tcPr>
            <w:tcW w:type="dxa" w:w="4320"/>
            <w:vAlign w:val="top"/>
          </w:tcPr>
          <w:p>
            <w:pPr>
              <w:spacing w:after="0"/>
            </w:pPr>
            <w:r/>
            <w:r>
              <w:rPr>
                <w:rFonts w:ascii="Arial" w:hAnsi="Arial" w:eastAsia="Arial"/>
                <w:b w:val="0"/>
                <w:sz w:val="16"/>
              </w:rPr>
              <w:t>Leaving summer, weekends, holidays, and major events at the same price as normal weekdays.</w:t>
            </w:r>
          </w:p>
        </w:tc>
      </w:tr>
      <w:tr>
        <w:tc>
          <w:tcPr>
            <w:tcW w:type="dxa" w:w="2376"/>
            <w:vAlign w:val="top"/>
          </w:tcPr>
          <w:p>
            <w:pPr>
              <w:spacing w:after="0"/>
            </w:pPr>
            <w:r/>
            <w:r>
              <w:rPr>
                <w:rFonts w:ascii="Arial" w:hAnsi="Arial" w:eastAsia="Arial"/>
                <w:b w:val="0"/>
                <w:sz w:val="16"/>
              </w:rPr>
              <w:t>Guest-visible total price</w:t>
            </w:r>
          </w:p>
        </w:tc>
        <w:tc>
          <w:tcPr>
            <w:tcW w:type="dxa" w:w="3960"/>
            <w:vAlign w:val="top"/>
          </w:tcPr>
          <w:p>
            <w:pPr>
              <w:spacing w:after="0"/>
            </w:pPr>
            <w:r/>
            <w:r>
              <w:rPr>
                <w:rFonts w:ascii="Arial" w:hAnsi="Arial" w:eastAsia="Arial"/>
                <w:b w:val="0"/>
                <w:sz w:val="16"/>
              </w:rPr>
              <w:t>What does the guest compare in search?</w:t>
            </w:r>
          </w:p>
        </w:tc>
        <w:tc>
          <w:tcPr>
            <w:tcW w:type="dxa" w:w="4320"/>
            <w:vAlign w:val="top"/>
          </w:tcPr>
          <w:p>
            <w:pPr>
              <w:spacing w:after="0"/>
            </w:pPr>
            <w:r/>
            <w:r>
              <w:rPr>
                <w:rFonts w:ascii="Arial" w:hAnsi="Arial" w:eastAsia="Arial"/>
                <w:b w:val="0"/>
                <w:sz w:val="16"/>
              </w:rPr>
              <w:t>Ignoring the effect of cleaning fee, extra fees, and total price display.</w:t>
            </w:r>
          </w:p>
        </w:tc>
      </w:tr>
      <w:tr>
        <w:tc>
          <w:tcPr>
            <w:tcW w:type="dxa" w:w="2376"/>
            <w:vAlign w:val="top"/>
          </w:tcPr>
          <w:p>
            <w:pPr>
              <w:spacing w:after="0"/>
            </w:pPr>
            <w:r/>
            <w:r>
              <w:rPr>
                <w:rFonts w:ascii="Arial" w:hAnsi="Arial" w:eastAsia="Arial"/>
                <w:b w:val="0"/>
                <w:sz w:val="16"/>
              </w:rPr>
              <w:t>Net payout price</w:t>
            </w:r>
          </w:p>
        </w:tc>
        <w:tc>
          <w:tcPr>
            <w:tcW w:type="dxa" w:w="3960"/>
            <w:vAlign w:val="top"/>
          </w:tcPr>
          <w:p>
            <w:pPr>
              <w:spacing w:after="0"/>
            </w:pPr>
            <w:r/>
            <w:r>
              <w:rPr>
                <w:rFonts w:ascii="Arial" w:hAnsi="Arial" w:eastAsia="Arial"/>
                <w:b w:val="0"/>
                <w:sz w:val="16"/>
              </w:rPr>
              <w:t>What cash does the host/owner keep?</w:t>
            </w:r>
          </w:p>
        </w:tc>
        <w:tc>
          <w:tcPr>
            <w:tcW w:type="dxa" w:w="4320"/>
            <w:vAlign w:val="top"/>
          </w:tcPr>
          <w:p>
            <w:pPr>
              <w:spacing w:after="0"/>
            </w:pPr>
            <w:r/>
            <w:r>
              <w:rPr>
                <w:rFonts w:ascii="Arial" w:hAnsi="Arial" w:eastAsia="Arial"/>
                <w:b w:val="0"/>
                <w:sz w:val="16"/>
              </w:rPr>
              <w:t>Not adjusting for software-connected single-fee structures, cleaning cost, and channel mix.</w:t>
            </w:r>
          </w:p>
        </w:tc>
      </w:tr>
    </w:tbl>
    <w:p>
      <w:pPr>
        <w:pStyle w:val="Small"/>
      </w:pPr>
    </w:p>
    <w:p>
      <w:pPr>
        <w:pStyle w:val="Heading2"/>
      </w:pPr>
      <w:r>
        <w:t>3.3 Price positioning</w:t>
      </w:r>
    </w:p>
    <w:p>
      <w:r>
        <w:t>Price positioning is the strategic decision of where the listing should sit relative to true substitutes. This manual uses five positions: value, competitive, upper-mid, premium, and scarcity/luxury. Most listings should not attempt premium pricing all year. Premium positioning must be earned by better location, superior design, uncommon amenities, stronger reviews, lower friction, verified cleanliness, and accurate expectations. If the listing is average, price at or slightly below the comp-set median during normal demand, then use demand periods to capture upside.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shd w:fill="1F4E79"/>
            <w:vAlign w:val="center"/>
          </w:tcPr>
          <w:p>
            <w:pPr>
              <w:spacing w:after="0"/>
            </w:pPr>
            <w:r/>
            <w:r>
              <w:rPr>
                <w:rFonts w:ascii="Arial" w:hAnsi="Arial" w:eastAsia="Arial"/>
                <w:b/>
                <w:color w:val="FFFFFF"/>
                <w:sz w:val="16"/>
              </w:rPr>
              <w:t>Position</w:t>
            </w:r>
          </w:p>
        </w:tc>
        <w:tc>
          <w:tcPr>
            <w:tcW w:type="dxa" w:w="1944"/>
            <w:shd w:fill="1F4E79"/>
            <w:vAlign w:val="center"/>
          </w:tcPr>
          <w:p>
            <w:pPr>
              <w:spacing w:after="0"/>
            </w:pPr>
            <w:r/>
            <w:r>
              <w:rPr>
                <w:rFonts w:ascii="Arial" w:hAnsi="Arial" w:eastAsia="Arial"/>
                <w:b/>
                <w:color w:val="FFFFFF"/>
                <w:sz w:val="16"/>
              </w:rPr>
              <w:t>Comp-set target</w:t>
            </w:r>
          </w:p>
        </w:tc>
        <w:tc>
          <w:tcPr>
            <w:tcW w:type="dxa" w:w="4392"/>
            <w:shd w:fill="1F4E79"/>
            <w:vAlign w:val="center"/>
          </w:tcPr>
          <w:p>
            <w:pPr>
              <w:spacing w:after="0"/>
            </w:pPr>
            <w:r/>
            <w:r>
              <w:rPr>
                <w:rFonts w:ascii="Arial" w:hAnsi="Arial" w:eastAsia="Arial"/>
                <w:b/>
                <w:color w:val="FFFFFF"/>
                <w:sz w:val="16"/>
              </w:rPr>
              <w:t>Best fit</w:t>
            </w:r>
          </w:p>
        </w:tc>
        <w:tc>
          <w:tcPr>
            <w:tcW w:type="dxa" w:w="2880"/>
            <w:shd w:fill="1F4E79"/>
            <w:vAlign w:val="center"/>
          </w:tcPr>
          <w:p>
            <w:pPr>
              <w:spacing w:after="0"/>
            </w:pPr>
            <w:r/>
            <w:r>
              <w:rPr>
                <w:rFonts w:ascii="Arial" w:hAnsi="Arial" w:eastAsia="Arial"/>
                <w:b/>
                <w:color w:val="FFFFFF"/>
                <w:sz w:val="16"/>
              </w:rPr>
              <w:t>Risk</w:t>
            </w:r>
          </w:p>
        </w:tc>
      </w:tr>
      <w:tr>
        <w:tc>
          <w:tcPr>
            <w:tcW w:type="dxa" w:w="1584"/>
            <w:vAlign w:val="top"/>
          </w:tcPr>
          <w:p>
            <w:pPr>
              <w:spacing w:after="0"/>
            </w:pPr>
            <w:r/>
            <w:r>
              <w:rPr>
                <w:rFonts w:ascii="Arial" w:hAnsi="Arial" w:eastAsia="Arial"/>
                <w:b w:val="0"/>
                <w:sz w:val="16"/>
              </w:rPr>
              <w:t>Value</w:t>
            </w:r>
          </w:p>
        </w:tc>
        <w:tc>
          <w:tcPr>
            <w:tcW w:type="dxa" w:w="1944"/>
            <w:vAlign w:val="top"/>
          </w:tcPr>
          <w:p>
            <w:pPr>
              <w:spacing w:after="0"/>
            </w:pPr>
            <w:r/>
            <w:r>
              <w:rPr>
                <w:rFonts w:ascii="Arial" w:hAnsi="Arial" w:eastAsia="Arial"/>
                <w:b w:val="0"/>
                <w:sz w:val="16"/>
              </w:rPr>
              <w:t>35th-45th percentile</w:t>
            </w:r>
          </w:p>
        </w:tc>
        <w:tc>
          <w:tcPr>
            <w:tcW w:type="dxa" w:w="4392"/>
            <w:vAlign w:val="top"/>
          </w:tcPr>
          <w:p>
            <w:pPr>
              <w:spacing w:after="0"/>
            </w:pPr>
            <w:r/>
            <w:r>
              <w:rPr>
                <w:rFonts w:ascii="Arial" w:hAnsi="Arial" w:eastAsia="Arial"/>
                <w:b w:val="0"/>
                <w:sz w:val="16"/>
              </w:rPr>
              <w:t>New listing, lower review score, basic private room, soft market.</w:t>
            </w:r>
          </w:p>
        </w:tc>
        <w:tc>
          <w:tcPr>
            <w:tcW w:type="dxa" w:w="2880"/>
            <w:vAlign w:val="top"/>
          </w:tcPr>
          <w:p>
            <w:pPr>
              <w:spacing w:after="0"/>
            </w:pPr>
            <w:r/>
            <w:r>
              <w:rPr>
                <w:rFonts w:ascii="Arial" w:hAnsi="Arial" w:eastAsia="Arial"/>
                <w:b w:val="0"/>
                <w:sz w:val="16"/>
              </w:rPr>
              <w:t>May attract price-sensitive guests and cap perceived quality.</w:t>
            </w:r>
          </w:p>
        </w:tc>
      </w:tr>
      <w:tr>
        <w:tc>
          <w:tcPr>
            <w:tcW w:type="dxa" w:w="1584"/>
            <w:vAlign w:val="top"/>
          </w:tcPr>
          <w:p>
            <w:pPr>
              <w:spacing w:after="0"/>
            </w:pPr>
            <w:r/>
            <w:r>
              <w:rPr>
                <w:rFonts w:ascii="Arial" w:hAnsi="Arial" w:eastAsia="Arial"/>
                <w:b w:val="0"/>
                <w:sz w:val="16"/>
              </w:rPr>
              <w:t>Competitive</w:t>
            </w:r>
          </w:p>
        </w:tc>
        <w:tc>
          <w:tcPr>
            <w:tcW w:type="dxa" w:w="1944"/>
            <w:vAlign w:val="top"/>
          </w:tcPr>
          <w:p>
            <w:pPr>
              <w:spacing w:after="0"/>
            </w:pPr>
            <w:r/>
            <w:r>
              <w:rPr>
                <w:rFonts w:ascii="Arial" w:hAnsi="Arial" w:eastAsia="Arial"/>
                <w:b w:val="0"/>
                <w:sz w:val="16"/>
              </w:rPr>
              <w:t>45th-55th percentile</w:t>
            </w:r>
          </w:p>
        </w:tc>
        <w:tc>
          <w:tcPr>
            <w:tcW w:type="dxa" w:w="4392"/>
            <w:vAlign w:val="top"/>
          </w:tcPr>
          <w:p>
            <w:pPr>
              <w:spacing w:after="0"/>
            </w:pPr>
            <w:r/>
            <w:r>
              <w:rPr>
                <w:rFonts w:ascii="Arial" w:hAnsi="Arial" w:eastAsia="Arial"/>
                <w:b w:val="0"/>
                <w:sz w:val="16"/>
              </w:rPr>
              <w:t>Average listing with stable reviews and common amenities.</w:t>
            </w:r>
          </w:p>
        </w:tc>
        <w:tc>
          <w:tcPr>
            <w:tcW w:type="dxa" w:w="2880"/>
            <w:vAlign w:val="top"/>
          </w:tcPr>
          <w:p>
            <w:pPr>
              <w:spacing w:after="0"/>
            </w:pPr>
            <w:r/>
            <w:r>
              <w:rPr>
                <w:rFonts w:ascii="Arial" w:hAnsi="Arial" w:eastAsia="Arial"/>
                <w:b w:val="0"/>
                <w:sz w:val="16"/>
              </w:rPr>
              <w:t>May leave money on table during compression if not dynamically adjusted.</w:t>
            </w:r>
          </w:p>
        </w:tc>
      </w:tr>
      <w:tr>
        <w:tc>
          <w:tcPr>
            <w:tcW w:type="dxa" w:w="1584"/>
            <w:vAlign w:val="top"/>
          </w:tcPr>
          <w:p>
            <w:pPr>
              <w:spacing w:after="0"/>
            </w:pPr>
            <w:r/>
            <w:r>
              <w:rPr>
                <w:rFonts w:ascii="Arial" w:hAnsi="Arial" w:eastAsia="Arial"/>
                <w:b w:val="0"/>
                <w:sz w:val="16"/>
              </w:rPr>
              <w:t>Upper-mid</w:t>
            </w:r>
          </w:p>
        </w:tc>
        <w:tc>
          <w:tcPr>
            <w:tcW w:type="dxa" w:w="1944"/>
            <w:vAlign w:val="top"/>
          </w:tcPr>
          <w:p>
            <w:pPr>
              <w:spacing w:after="0"/>
            </w:pPr>
            <w:r/>
            <w:r>
              <w:rPr>
                <w:rFonts w:ascii="Arial" w:hAnsi="Arial" w:eastAsia="Arial"/>
                <w:b w:val="0"/>
                <w:sz w:val="16"/>
              </w:rPr>
              <w:t>55th-70th percentile</w:t>
            </w:r>
          </w:p>
        </w:tc>
        <w:tc>
          <w:tcPr>
            <w:tcW w:type="dxa" w:w="4392"/>
            <w:vAlign w:val="top"/>
          </w:tcPr>
          <w:p>
            <w:pPr>
              <w:spacing w:after="0"/>
            </w:pPr>
            <w:r/>
            <w:r>
              <w:rPr>
                <w:rFonts w:ascii="Arial" w:hAnsi="Arial" w:eastAsia="Arial"/>
                <w:b w:val="0"/>
                <w:sz w:val="16"/>
              </w:rPr>
              <w:t>Good reviews, better design, strong location, family-friendly amenities.</w:t>
            </w:r>
          </w:p>
        </w:tc>
        <w:tc>
          <w:tcPr>
            <w:tcW w:type="dxa" w:w="2880"/>
            <w:vAlign w:val="top"/>
          </w:tcPr>
          <w:p>
            <w:pPr>
              <w:spacing w:after="0"/>
            </w:pPr>
            <w:r/>
            <w:r>
              <w:rPr>
                <w:rFonts w:ascii="Arial" w:hAnsi="Arial" w:eastAsia="Arial"/>
                <w:b w:val="0"/>
                <w:sz w:val="16"/>
              </w:rPr>
              <w:t>Requires consistent execution and accurate photos.</w:t>
            </w:r>
          </w:p>
        </w:tc>
      </w:tr>
      <w:tr>
        <w:tc>
          <w:tcPr>
            <w:tcW w:type="dxa" w:w="1584"/>
            <w:vAlign w:val="top"/>
          </w:tcPr>
          <w:p>
            <w:pPr>
              <w:spacing w:after="0"/>
            </w:pPr>
            <w:r/>
            <w:r>
              <w:rPr>
                <w:rFonts w:ascii="Arial" w:hAnsi="Arial" w:eastAsia="Arial"/>
                <w:b w:val="0"/>
                <w:sz w:val="16"/>
              </w:rPr>
              <w:t>Premium</w:t>
            </w:r>
          </w:p>
        </w:tc>
        <w:tc>
          <w:tcPr>
            <w:tcW w:type="dxa" w:w="1944"/>
            <w:vAlign w:val="top"/>
          </w:tcPr>
          <w:p>
            <w:pPr>
              <w:spacing w:after="0"/>
            </w:pPr>
            <w:r/>
            <w:r>
              <w:rPr>
                <w:rFonts w:ascii="Arial" w:hAnsi="Arial" w:eastAsia="Arial"/>
                <w:b w:val="0"/>
                <w:sz w:val="16"/>
              </w:rPr>
              <w:t>70th-85th percentile</w:t>
            </w:r>
          </w:p>
        </w:tc>
        <w:tc>
          <w:tcPr>
            <w:tcW w:type="dxa" w:w="4392"/>
            <w:vAlign w:val="top"/>
          </w:tcPr>
          <w:p>
            <w:pPr>
              <w:spacing w:after="0"/>
            </w:pPr>
            <w:r/>
            <w:r>
              <w:rPr>
                <w:rFonts w:ascii="Arial" w:hAnsi="Arial" w:eastAsia="Arial"/>
                <w:b w:val="0"/>
                <w:sz w:val="16"/>
              </w:rPr>
              <w:t>Unique view, waterfront, hot tub, pool, luxury finishes, strong Superhost-like service.</w:t>
            </w:r>
          </w:p>
        </w:tc>
        <w:tc>
          <w:tcPr>
            <w:tcW w:type="dxa" w:w="2880"/>
            <w:vAlign w:val="top"/>
          </w:tcPr>
          <w:p>
            <w:pPr>
              <w:spacing w:after="0"/>
            </w:pPr>
            <w:r/>
            <w:r>
              <w:rPr>
                <w:rFonts w:ascii="Arial" w:hAnsi="Arial" w:eastAsia="Arial"/>
                <w:b w:val="0"/>
                <w:sz w:val="16"/>
              </w:rPr>
              <w:t>Value-for-money complaints if product does not support price.</w:t>
            </w:r>
          </w:p>
        </w:tc>
      </w:tr>
      <w:tr>
        <w:tc>
          <w:tcPr>
            <w:tcW w:type="dxa" w:w="1584"/>
            <w:vAlign w:val="top"/>
          </w:tcPr>
          <w:p>
            <w:pPr>
              <w:spacing w:after="0"/>
            </w:pPr>
            <w:r/>
            <w:r>
              <w:rPr>
                <w:rFonts w:ascii="Arial" w:hAnsi="Arial" w:eastAsia="Arial"/>
                <w:b w:val="0"/>
                <w:sz w:val="16"/>
              </w:rPr>
              <w:t>Scarcity/luxury</w:t>
            </w:r>
          </w:p>
        </w:tc>
        <w:tc>
          <w:tcPr>
            <w:tcW w:type="dxa" w:w="1944"/>
            <w:vAlign w:val="top"/>
          </w:tcPr>
          <w:p>
            <w:pPr>
              <w:spacing w:after="0"/>
            </w:pPr>
            <w:r/>
            <w:r>
              <w:rPr>
                <w:rFonts w:ascii="Arial" w:hAnsi="Arial" w:eastAsia="Arial"/>
                <w:b w:val="0"/>
                <w:sz w:val="16"/>
              </w:rPr>
              <w:t>85th percentile and above</w:t>
            </w:r>
          </w:p>
        </w:tc>
        <w:tc>
          <w:tcPr>
            <w:tcW w:type="dxa" w:w="4392"/>
            <w:vAlign w:val="top"/>
          </w:tcPr>
          <w:p>
            <w:pPr>
              <w:spacing w:after="0"/>
            </w:pPr>
            <w:r/>
            <w:r>
              <w:rPr>
                <w:rFonts w:ascii="Arial" w:hAnsi="Arial" w:eastAsia="Arial"/>
                <w:b w:val="0"/>
                <w:sz w:val="16"/>
              </w:rPr>
              <w:t>Rare estate, iconic destination, major event scarcity, exceptional amenities.</w:t>
            </w:r>
          </w:p>
        </w:tc>
        <w:tc>
          <w:tcPr>
            <w:tcW w:type="dxa" w:w="2880"/>
            <w:vAlign w:val="top"/>
          </w:tcPr>
          <w:p>
            <w:pPr>
              <w:spacing w:after="0"/>
            </w:pPr>
            <w:r/>
            <w:r>
              <w:rPr>
                <w:rFonts w:ascii="Arial" w:hAnsi="Arial" w:eastAsia="Arial"/>
                <w:b w:val="0"/>
                <w:sz w:val="16"/>
              </w:rPr>
              <w:t>Longer booking window and higher cancellation exposure; extreme rates can stall.</w:t>
            </w:r>
          </w:p>
        </w:tc>
      </w:tr>
    </w:tbl>
    <w:p>
      <w:pPr>
        <w:pStyle w:val="Small"/>
      </w:pPr>
    </w:p>
    <w:p>
      <w:pPr>
        <w:pStyle w:val="Heading2"/>
      </w:pPr>
      <w:r>
        <w:t>3.4 Rate integrity</w:t>
      </w:r>
    </w:p>
    <w:p>
      <w:r>
        <w:t>Rate integrity means the calendar communicates a coherent value story. Guests should see a logical pattern: lower midweek shoulder dates, stronger weekends, protected holidays, higher peak season, and fair discounts for longer stays. Erratic discounts, dramatic last-minute swings, or fees that make short stays look punitive can damage conversion and trust. Rate integrity also protects owners from unnecessary discounting and helps customer service explain why a date is priced the way it is.</w:t>
      </w:r>
    </w:p>
    <w:p>
      <w:r>
        <w:t>Use discounting only when the discount buys something specific: first reviews, occupancy on a distressed gap, a longer stay that reduces cleaning turns, conversion in a soft market, or replacement demand after a cancellation. Do not discount just because a competitor is cheaper. Determine whether the cheaper competitor is truly comparable. If it has weaker reviews, smaller capacity, less desirable location, hidden friction, or a different cancellation policy, it may not define your price.</w:t>
      </w:r>
    </w:p>
    <w:p>
      <w:r>
        <w:br w:type="page"/>
      </w:r>
    </w:p>
    <w:p>
      <w:pPr>
        <w:pStyle w:val="Heading1"/>
      </w:pPr>
      <w:r>
        <w:t>4. Data Foundation and Competitive Set Design</w:t>
      </w:r>
    </w:p>
    <w:p>
      <w:pPr>
        <w:pStyle w:val="Heading2"/>
      </w:pPr>
      <w:r>
        <w:t>4.1 Required data inputs</w:t>
      </w:r>
    </w:p>
    <w:p>
      <w:r>
        <w:t>A professional Airbnb pricing system needs at least six data groups: property attributes, competitor attributes, demand calendar, booking curve, financial cost model, and review/quality signals. The data does not need to be perfect, but it must be organized consistently. Inaccurate or vague comparable sets are a common cause of underpricing premium listings and overpricing ordinary listings.</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1F4E79"/>
            <w:vAlign w:val="center"/>
          </w:tcPr>
          <w:p>
            <w:pPr>
              <w:spacing w:after="0"/>
            </w:pPr>
            <w:r/>
            <w:r>
              <w:rPr>
                <w:rFonts w:ascii="Arial" w:hAnsi="Arial" w:eastAsia="Arial"/>
                <w:b/>
                <w:color w:val="FFFFFF"/>
                <w:sz w:val="15"/>
              </w:rPr>
              <w:t>Data group</w:t>
            </w:r>
          </w:p>
        </w:tc>
        <w:tc>
          <w:tcPr>
            <w:tcW w:type="dxa" w:w="6192"/>
            <w:shd w:fill="1F4E79"/>
            <w:vAlign w:val="center"/>
          </w:tcPr>
          <w:p>
            <w:pPr>
              <w:spacing w:after="0"/>
            </w:pPr>
            <w:r/>
            <w:r>
              <w:rPr>
                <w:rFonts w:ascii="Arial" w:hAnsi="Arial" w:eastAsia="Arial"/>
                <w:b/>
                <w:color w:val="FFFFFF"/>
                <w:sz w:val="15"/>
              </w:rPr>
              <w:t>Minimum variables</w:t>
            </w:r>
          </w:p>
        </w:tc>
        <w:tc>
          <w:tcPr>
            <w:tcW w:type="dxa" w:w="2808"/>
            <w:shd w:fill="1F4E79"/>
            <w:vAlign w:val="center"/>
          </w:tcPr>
          <w:p>
            <w:pPr>
              <w:spacing w:after="0"/>
            </w:pPr>
            <w:r/>
            <w:r>
              <w:rPr>
                <w:rFonts w:ascii="Arial" w:hAnsi="Arial" w:eastAsia="Arial"/>
                <w:b/>
                <w:color w:val="FFFFFF"/>
                <w:sz w:val="15"/>
              </w:rPr>
              <w:t>Use in pricing</w:t>
            </w:r>
          </w:p>
        </w:tc>
      </w:tr>
      <w:tr>
        <w:tc>
          <w:tcPr>
            <w:tcW w:type="dxa" w:w="1944"/>
            <w:vAlign w:val="top"/>
          </w:tcPr>
          <w:p>
            <w:pPr>
              <w:spacing w:after="0"/>
            </w:pPr>
            <w:r/>
            <w:r>
              <w:rPr>
                <w:rFonts w:ascii="Arial" w:hAnsi="Arial" w:eastAsia="Arial"/>
                <w:b w:val="0"/>
                <w:sz w:val="15"/>
              </w:rPr>
              <w:t>Property attributes</w:t>
            </w:r>
          </w:p>
        </w:tc>
        <w:tc>
          <w:tcPr>
            <w:tcW w:type="dxa" w:w="6192"/>
            <w:vAlign w:val="top"/>
          </w:tcPr>
          <w:p>
            <w:pPr>
              <w:spacing w:after="0"/>
            </w:pPr>
            <w:r/>
            <w:r>
              <w:rPr>
                <w:rFonts w:ascii="Arial" w:hAnsi="Arial" w:eastAsia="Arial"/>
                <w:b w:val="0"/>
                <w:sz w:val="15"/>
              </w:rPr>
              <w:t>Bedrooms, bathrooms, capacity, beds, property type, parking, pet policy, pool, hot tub, view, waterfront, kitchen, accessibility, work setup.</w:t>
            </w:r>
          </w:p>
        </w:tc>
        <w:tc>
          <w:tcPr>
            <w:tcW w:type="dxa" w:w="2808"/>
            <w:vAlign w:val="top"/>
          </w:tcPr>
          <w:p>
            <w:pPr>
              <w:spacing w:after="0"/>
            </w:pPr>
            <w:r/>
            <w:r>
              <w:rPr>
                <w:rFonts w:ascii="Arial" w:hAnsi="Arial" w:eastAsia="Arial"/>
                <w:b w:val="0"/>
                <w:sz w:val="15"/>
              </w:rPr>
              <w:t>Create property tier and amenity premiums.</w:t>
            </w:r>
          </w:p>
        </w:tc>
      </w:tr>
      <w:tr>
        <w:tc>
          <w:tcPr>
            <w:tcW w:type="dxa" w:w="1944"/>
            <w:vAlign w:val="top"/>
          </w:tcPr>
          <w:p>
            <w:pPr>
              <w:spacing w:after="0"/>
            </w:pPr>
            <w:r/>
            <w:r>
              <w:rPr>
                <w:rFonts w:ascii="Arial" w:hAnsi="Arial" w:eastAsia="Arial"/>
                <w:b w:val="0"/>
                <w:sz w:val="15"/>
              </w:rPr>
              <w:t>Comp-set attributes</w:t>
            </w:r>
          </w:p>
        </w:tc>
        <w:tc>
          <w:tcPr>
            <w:tcW w:type="dxa" w:w="6192"/>
            <w:vAlign w:val="top"/>
          </w:tcPr>
          <w:p>
            <w:pPr>
              <w:spacing w:after="0"/>
            </w:pPr>
            <w:r/>
            <w:r>
              <w:rPr>
                <w:rFonts w:ascii="Arial" w:hAnsi="Arial" w:eastAsia="Arial"/>
                <w:b w:val="0"/>
                <w:sz w:val="15"/>
              </w:rPr>
              <w:t>Same variables plus review score, number of reviews, cancellation policy, cleaning fee, minimum stay, availability, booked/unbooked price.</w:t>
            </w:r>
          </w:p>
        </w:tc>
        <w:tc>
          <w:tcPr>
            <w:tcW w:type="dxa" w:w="2808"/>
            <w:vAlign w:val="top"/>
          </w:tcPr>
          <w:p>
            <w:pPr>
              <w:spacing w:after="0"/>
            </w:pPr>
            <w:r/>
            <w:r>
              <w:rPr>
                <w:rFonts w:ascii="Arial" w:hAnsi="Arial" w:eastAsia="Arial"/>
                <w:b w:val="0"/>
                <w:sz w:val="15"/>
              </w:rPr>
              <w:t>Benchmark guest-visible total price and positioning.</w:t>
            </w:r>
          </w:p>
        </w:tc>
      </w:tr>
      <w:tr>
        <w:tc>
          <w:tcPr>
            <w:tcW w:type="dxa" w:w="1944"/>
            <w:vAlign w:val="top"/>
          </w:tcPr>
          <w:p>
            <w:pPr>
              <w:spacing w:after="0"/>
            </w:pPr>
            <w:r/>
            <w:r>
              <w:rPr>
                <w:rFonts w:ascii="Arial" w:hAnsi="Arial" w:eastAsia="Arial"/>
                <w:b w:val="0"/>
                <w:sz w:val="15"/>
              </w:rPr>
              <w:t>Demand calendar</w:t>
            </w:r>
          </w:p>
        </w:tc>
        <w:tc>
          <w:tcPr>
            <w:tcW w:type="dxa" w:w="6192"/>
            <w:vAlign w:val="top"/>
          </w:tcPr>
          <w:p>
            <w:pPr>
              <w:spacing w:after="0"/>
            </w:pPr>
            <w:r/>
            <w:r>
              <w:rPr>
                <w:rFonts w:ascii="Arial" w:hAnsi="Arial" w:eastAsia="Arial"/>
                <w:b w:val="0"/>
                <w:sz w:val="15"/>
              </w:rPr>
              <w:t>Season, day of week, school breaks, holidays, festivals, sports, conventions, graduations, local weather season.</w:t>
            </w:r>
          </w:p>
        </w:tc>
        <w:tc>
          <w:tcPr>
            <w:tcW w:type="dxa" w:w="2808"/>
            <w:vAlign w:val="top"/>
          </w:tcPr>
          <w:p>
            <w:pPr>
              <w:spacing w:after="0"/>
            </w:pPr>
            <w:r/>
            <w:r>
              <w:rPr>
                <w:rFonts w:ascii="Arial" w:hAnsi="Arial" w:eastAsia="Arial"/>
                <w:b w:val="0"/>
                <w:sz w:val="15"/>
              </w:rPr>
              <w:t>Apply premiums, restrictions, and lead-time rules.</w:t>
            </w:r>
          </w:p>
        </w:tc>
      </w:tr>
      <w:tr>
        <w:tc>
          <w:tcPr>
            <w:tcW w:type="dxa" w:w="1944"/>
            <w:vAlign w:val="top"/>
          </w:tcPr>
          <w:p>
            <w:pPr>
              <w:spacing w:after="0"/>
            </w:pPr>
            <w:r/>
            <w:r>
              <w:rPr>
                <w:rFonts w:ascii="Arial" w:hAnsi="Arial" w:eastAsia="Arial"/>
                <w:b w:val="0"/>
                <w:sz w:val="15"/>
              </w:rPr>
              <w:t>Booking curve</w:t>
            </w:r>
          </w:p>
        </w:tc>
        <w:tc>
          <w:tcPr>
            <w:tcW w:type="dxa" w:w="6192"/>
            <w:vAlign w:val="top"/>
          </w:tcPr>
          <w:p>
            <w:pPr>
              <w:spacing w:after="0"/>
            </w:pPr>
            <w:r/>
            <w:r>
              <w:rPr>
                <w:rFonts w:ascii="Arial" w:hAnsi="Arial" w:eastAsia="Arial"/>
                <w:b w:val="0"/>
                <w:sz w:val="15"/>
              </w:rPr>
              <w:t>Lead time, pickup by week, pace vs last year, gaps, cancellations, search/inquiry trend if available.</w:t>
            </w:r>
          </w:p>
        </w:tc>
        <w:tc>
          <w:tcPr>
            <w:tcW w:type="dxa" w:w="2808"/>
            <w:vAlign w:val="top"/>
          </w:tcPr>
          <w:p>
            <w:pPr>
              <w:spacing w:after="0"/>
            </w:pPr>
            <w:r/>
            <w:r>
              <w:rPr>
                <w:rFonts w:ascii="Arial" w:hAnsi="Arial" w:eastAsia="Arial"/>
                <w:b w:val="0"/>
                <w:sz w:val="15"/>
              </w:rPr>
              <w:t>Avoid premature discounting and identify true compression.</w:t>
            </w:r>
          </w:p>
        </w:tc>
      </w:tr>
      <w:tr>
        <w:tc>
          <w:tcPr>
            <w:tcW w:type="dxa" w:w="1944"/>
            <w:vAlign w:val="top"/>
          </w:tcPr>
          <w:p>
            <w:pPr>
              <w:spacing w:after="0"/>
            </w:pPr>
            <w:r/>
            <w:r>
              <w:rPr>
                <w:rFonts w:ascii="Arial" w:hAnsi="Arial" w:eastAsia="Arial"/>
                <w:b w:val="0"/>
                <w:sz w:val="15"/>
              </w:rPr>
              <w:t>Financial model</w:t>
            </w:r>
          </w:p>
        </w:tc>
        <w:tc>
          <w:tcPr>
            <w:tcW w:type="dxa" w:w="6192"/>
            <w:vAlign w:val="top"/>
          </w:tcPr>
          <w:p>
            <w:pPr>
              <w:spacing w:after="0"/>
            </w:pPr>
            <w:r/>
            <w:r>
              <w:rPr>
                <w:rFonts w:ascii="Arial" w:hAnsi="Arial" w:eastAsia="Arial"/>
                <w:b w:val="0"/>
                <w:sz w:val="15"/>
              </w:rPr>
              <w:t>Mortgage/rent target, cleaning cost, supplies, utilities, maintenance, taxes, OTA/service fees, manager share.</w:t>
            </w:r>
          </w:p>
        </w:tc>
        <w:tc>
          <w:tcPr>
            <w:tcW w:type="dxa" w:w="2808"/>
            <w:vAlign w:val="top"/>
          </w:tcPr>
          <w:p>
            <w:pPr>
              <w:spacing w:after="0"/>
            </w:pPr>
            <w:r/>
            <w:r>
              <w:rPr>
                <w:rFonts w:ascii="Arial" w:hAnsi="Arial" w:eastAsia="Arial"/>
                <w:b w:val="0"/>
                <w:sz w:val="15"/>
              </w:rPr>
              <w:t>Set floors, payout targets, and channel-specific rates.</w:t>
            </w:r>
          </w:p>
        </w:tc>
      </w:tr>
      <w:tr>
        <w:tc>
          <w:tcPr>
            <w:tcW w:type="dxa" w:w="1944"/>
            <w:vAlign w:val="top"/>
          </w:tcPr>
          <w:p>
            <w:pPr>
              <w:spacing w:after="0"/>
            </w:pPr>
            <w:r/>
            <w:r>
              <w:rPr>
                <w:rFonts w:ascii="Arial" w:hAnsi="Arial" w:eastAsia="Arial"/>
                <w:b w:val="0"/>
                <w:sz w:val="15"/>
              </w:rPr>
              <w:t>Quality signals</w:t>
            </w:r>
          </w:p>
        </w:tc>
        <w:tc>
          <w:tcPr>
            <w:tcW w:type="dxa" w:w="6192"/>
            <w:vAlign w:val="top"/>
          </w:tcPr>
          <w:p>
            <w:pPr>
              <w:spacing w:after="0"/>
            </w:pPr>
            <w:r/>
            <w:r>
              <w:rPr>
                <w:rFonts w:ascii="Arial" w:hAnsi="Arial" w:eastAsia="Arial"/>
                <w:b w:val="0"/>
                <w:sz w:val="15"/>
              </w:rPr>
              <w:t>Review score, review topics, response speed, cleanliness, accuracy, complaints, photo quality.</w:t>
            </w:r>
          </w:p>
        </w:tc>
        <w:tc>
          <w:tcPr>
            <w:tcW w:type="dxa" w:w="2808"/>
            <w:vAlign w:val="top"/>
          </w:tcPr>
          <w:p>
            <w:pPr>
              <w:spacing w:after="0"/>
            </w:pPr>
            <w:r/>
            <w:r>
              <w:rPr>
                <w:rFonts w:ascii="Arial" w:hAnsi="Arial" w:eastAsia="Arial"/>
                <w:b w:val="0"/>
                <w:sz w:val="15"/>
              </w:rPr>
              <w:t>Support premium or require value correction.</w:t>
            </w:r>
          </w:p>
        </w:tc>
      </w:tr>
    </w:tbl>
    <w:p>
      <w:pPr>
        <w:pStyle w:val="Small"/>
      </w:pPr>
    </w:p>
    <w:p>
      <w:pPr>
        <w:pStyle w:val="Heading2"/>
      </w:pPr>
      <w:r>
        <w:t>4.2 Building the true competitive set</w:t>
      </w:r>
    </w:p>
    <w:p>
      <w:r>
        <w:t>The comp set should include properties that a rational guest would consider instead of yours for the same trip purpose. For a two-bedroom downtown apartment, the true set may be 15-20 two-bedroom apartments in the same neighborhood plus a few hotel-suite substitutes. For a six-bedroom beach house, the true set may include other large homes within a specific beach access zone, not all homes in the city. For a private room, the true set may include low-cost hotel rooms, hostels, and other private rooms with similar privacy and transit access.</w:t>
      </w:r>
    </w:p>
    <w:p>
      <w:pPr>
        <w:pStyle w:val="ListNumber"/>
        <w:spacing w:after="40"/>
      </w:pPr>
      <w:r>
        <w:rPr>
          <w:rFonts w:ascii="Arial" w:hAnsi="Arial" w:eastAsia="Arial"/>
          <w:sz w:val="18"/>
        </w:rPr>
        <w:t>Start with location radius, but do not let radius dominate. In dense urban areas, 0.5-1.0 miles may be enough; in rural or resort areas, comparable destinations may span 5-25 miles.</w:t>
      </w:r>
    </w:p>
    <w:p>
      <w:pPr>
        <w:pStyle w:val="ListNumber"/>
        <w:spacing w:after="40"/>
      </w:pPr>
      <w:r>
        <w:rPr>
          <w:rFonts w:ascii="Arial" w:hAnsi="Arial" w:eastAsia="Arial"/>
          <w:sz w:val="18"/>
        </w:rPr>
        <w:t>Filter by guest use case: couple, family, remote worker, wedding group, ski group, sports fans, conference traveler, snowbird, or monthly tenant.</w:t>
      </w:r>
    </w:p>
    <w:p>
      <w:pPr>
        <w:pStyle w:val="ListNumber"/>
        <w:spacing w:after="40"/>
      </w:pPr>
      <w:r>
        <w:rPr>
          <w:rFonts w:ascii="Arial" w:hAnsi="Arial" w:eastAsia="Arial"/>
          <w:sz w:val="18"/>
        </w:rPr>
        <w:t>Match capacity and sleeping configuration. A 4-bedroom house sleeping 8 is not equivalent to a 4-bedroom house sleeping 14 if groups drive demand.</w:t>
      </w:r>
    </w:p>
    <w:p>
      <w:pPr>
        <w:pStyle w:val="ListNumber"/>
        <w:spacing w:after="40"/>
      </w:pPr>
      <w:r>
        <w:rPr>
          <w:rFonts w:ascii="Arial" w:hAnsi="Arial" w:eastAsia="Arial"/>
          <w:sz w:val="18"/>
        </w:rPr>
        <w:t>Score amenities that affect willingness to pay: waterfront, pool, hot tub, private parking, EV charging, pet-friendly, chef kitchen, washer/dryer, ski-in/ski-out, beach access, elevator, and workspace.</w:t>
      </w:r>
    </w:p>
    <w:p>
      <w:pPr>
        <w:pStyle w:val="ListNumber"/>
        <w:spacing w:after="40"/>
      </w:pPr>
      <w:r>
        <w:rPr>
          <w:rFonts w:ascii="Arial" w:hAnsi="Arial" w:eastAsia="Arial"/>
          <w:sz w:val="18"/>
        </w:rPr>
        <w:t>Compare guest-visible total price for specific trip lengths, not just the nightly rate. A $150 cleaning fee changes relative value for a two-night trip but matters less for a seven-night trip.</w:t>
      </w:r>
    </w:p>
    <w:p>
      <w:pPr>
        <w:pStyle w:val="ListNumber"/>
        <w:spacing w:after="40"/>
      </w:pPr>
      <w:r>
        <w:rPr>
          <w:rFonts w:ascii="Arial" w:hAnsi="Arial" w:eastAsia="Arial"/>
          <w:sz w:val="18"/>
        </w:rPr>
        <w:t>Remove outliers. A poorly photographed, low-review listing and an ultra-luxury estate may distort averages if included without adjustment.</w:t>
      </w:r>
    </w:p>
    <w:p>
      <w:pPr>
        <w:pStyle w:val="ListNumber"/>
        <w:spacing w:after="40"/>
      </w:pPr>
      <w:r>
        <w:rPr>
          <w:rFonts w:ascii="Arial" w:hAnsi="Arial" w:eastAsia="Arial"/>
          <w:sz w:val="18"/>
        </w:rPr>
        <w:t>Refresh the comp set monthly in stable markets, weekly during peak season, and immediately after major regulation, supply, or event changes.</w:t>
      </w:r>
    </w:p>
    <w:p>
      <w:pPr>
        <w:pStyle w:val="Heading2"/>
      </w:pPr>
      <w:r>
        <w:t>4.3 Comp-set scoring model</w:t>
      </w:r>
    </w:p>
    <w:p>
      <w:r>
        <w:t>Use a simple scorecard to convert qualitative differences into pricing power. The score is not intended to be mathematically perfect. Its role is to create disciplined thinking and prevent the host from anchoring on emotional property value rather than guest value.</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F4E79"/>
            <w:vAlign w:val="center"/>
          </w:tcPr>
          <w:p>
            <w:pPr>
              <w:spacing w:after="0"/>
            </w:pPr>
            <w:r/>
            <w:r>
              <w:rPr>
                <w:rFonts w:ascii="Arial" w:hAnsi="Arial" w:eastAsia="Arial"/>
                <w:b/>
                <w:color w:val="FFFFFF"/>
                <w:sz w:val="16"/>
              </w:rPr>
              <w:t>Factor</w:t>
            </w:r>
          </w:p>
        </w:tc>
        <w:tc>
          <w:tcPr>
            <w:tcW w:type="dxa" w:w="1080"/>
            <w:shd w:fill="1F4E79"/>
            <w:vAlign w:val="center"/>
          </w:tcPr>
          <w:p>
            <w:pPr>
              <w:spacing w:after="0"/>
            </w:pPr>
            <w:r/>
            <w:r>
              <w:rPr>
                <w:rFonts w:ascii="Arial" w:hAnsi="Arial" w:eastAsia="Arial"/>
                <w:b/>
                <w:color w:val="FFFFFF"/>
                <w:sz w:val="16"/>
              </w:rPr>
              <w:t>Weight</w:t>
            </w:r>
          </w:p>
        </w:tc>
        <w:tc>
          <w:tcPr>
            <w:tcW w:type="dxa" w:w="6696"/>
            <w:shd w:fill="1F4E79"/>
            <w:vAlign w:val="center"/>
          </w:tcPr>
          <w:p>
            <w:pPr>
              <w:spacing w:after="0"/>
            </w:pPr>
            <w:r/>
            <w:r>
              <w:rPr>
                <w:rFonts w:ascii="Arial" w:hAnsi="Arial" w:eastAsia="Arial"/>
                <w:b/>
                <w:color w:val="FFFFFF"/>
                <w:sz w:val="16"/>
              </w:rPr>
              <w:t>Scoring guide</w:t>
            </w:r>
          </w:p>
        </w:tc>
      </w:tr>
      <w:tr>
        <w:tc>
          <w:tcPr>
            <w:tcW w:type="dxa" w:w="2880"/>
            <w:vAlign w:val="top"/>
          </w:tcPr>
          <w:p>
            <w:pPr>
              <w:spacing w:after="0"/>
            </w:pPr>
            <w:r/>
            <w:r>
              <w:rPr>
                <w:rFonts w:ascii="Arial" w:hAnsi="Arial" w:eastAsia="Arial"/>
                <w:b w:val="0"/>
                <w:sz w:val="16"/>
              </w:rPr>
              <w:t>Location fit</w:t>
            </w:r>
          </w:p>
        </w:tc>
        <w:tc>
          <w:tcPr>
            <w:tcW w:type="dxa" w:w="1080"/>
            <w:vAlign w:val="top"/>
          </w:tcPr>
          <w:p>
            <w:pPr>
              <w:spacing w:after="0"/>
            </w:pPr>
            <w:r/>
            <w:r>
              <w:rPr>
                <w:rFonts w:ascii="Arial" w:hAnsi="Arial" w:eastAsia="Arial"/>
                <w:b w:val="0"/>
                <w:sz w:val="16"/>
              </w:rPr>
              <w:t>20%</w:t>
            </w:r>
          </w:p>
        </w:tc>
        <w:tc>
          <w:tcPr>
            <w:tcW w:type="dxa" w:w="6696"/>
            <w:vAlign w:val="top"/>
          </w:tcPr>
          <w:p>
            <w:pPr>
              <w:spacing w:after="0"/>
            </w:pPr>
            <w:r/>
            <w:r>
              <w:rPr>
                <w:rFonts w:ascii="Arial" w:hAnsi="Arial" w:eastAsia="Arial"/>
                <w:b w:val="0"/>
                <w:sz w:val="16"/>
              </w:rPr>
              <w:t>0 = inconvenient; 3 = normal; 5 = prime attraction/business/event access.</w:t>
            </w:r>
          </w:p>
        </w:tc>
      </w:tr>
      <w:tr>
        <w:tc>
          <w:tcPr>
            <w:tcW w:type="dxa" w:w="2880"/>
            <w:vAlign w:val="top"/>
          </w:tcPr>
          <w:p>
            <w:pPr>
              <w:spacing w:after="0"/>
            </w:pPr>
            <w:r/>
            <w:r>
              <w:rPr>
                <w:rFonts w:ascii="Arial" w:hAnsi="Arial" w:eastAsia="Arial"/>
                <w:b w:val="0"/>
                <w:sz w:val="16"/>
              </w:rPr>
              <w:t>Capacity and layout</w:t>
            </w:r>
          </w:p>
        </w:tc>
        <w:tc>
          <w:tcPr>
            <w:tcW w:type="dxa" w:w="1080"/>
            <w:vAlign w:val="top"/>
          </w:tcPr>
          <w:p>
            <w:pPr>
              <w:spacing w:after="0"/>
            </w:pPr>
            <w:r/>
            <w:r>
              <w:rPr>
                <w:rFonts w:ascii="Arial" w:hAnsi="Arial" w:eastAsia="Arial"/>
                <w:b w:val="0"/>
                <w:sz w:val="16"/>
              </w:rPr>
              <w:t>15%</w:t>
            </w:r>
          </w:p>
        </w:tc>
        <w:tc>
          <w:tcPr>
            <w:tcW w:type="dxa" w:w="6696"/>
            <w:vAlign w:val="top"/>
          </w:tcPr>
          <w:p>
            <w:pPr>
              <w:spacing w:after="0"/>
            </w:pPr>
            <w:r/>
            <w:r>
              <w:rPr>
                <w:rFonts w:ascii="Arial" w:hAnsi="Arial" w:eastAsia="Arial"/>
                <w:b w:val="0"/>
                <w:sz w:val="16"/>
              </w:rPr>
              <w:t>0 = cramped; 3 = adequate; 5 = ideal beds/baths for target segment.</w:t>
            </w:r>
          </w:p>
        </w:tc>
      </w:tr>
      <w:tr>
        <w:tc>
          <w:tcPr>
            <w:tcW w:type="dxa" w:w="2880"/>
            <w:vAlign w:val="top"/>
          </w:tcPr>
          <w:p>
            <w:pPr>
              <w:spacing w:after="0"/>
            </w:pPr>
            <w:r/>
            <w:r>
              <w:rPr>
                <w:rFonts w:ascii="Arial" w:hAnsi="Arial" w:eastAsia="Arial"/>
                <w:b w:val="0"/>
                <w:sz w:val="16"/>
              </w:rPr>
              <w:t>Design and condition</w:t>
            </w:r>
          </w:p>
        </w:tc>
        <w:tc>
          <w:tcPr>
            <w:tcW w:type="dxa" w:w="1080"/>
            <w:vAlign w:val="top"/>
          </w:tcPr>
          <w:p>
            <w:pPr>
              <w:spacing w:after="0"/>
            </w:pPr>
            <w:r/>
            <w:r>
              <w:rPr>
                <w:rFonts w:ascii="Arial" w:hAnsi="Arial" w:eastAsia="Arial"/>
                <w:b w:val="0"/>
                <w:sz w:val="16"/>
              </w:rPr>
              <w:t>15%</w:t>
            </w:r>
          </w:p>
        </w:tc>
        <w:tc>
          <w:tcPr>
            <w:tcW w:type="dxa" w:w="6696"/>
            <w:vAlign w:val="top"/>
          </w:tcPr>
          <w:p>
            <w:pPr>
              <w:spacing w:after="0"/>
            </w:pPr>
            <w:r/>
            <w:r>
              <w:rPr>
                <w:rFonts w:ascii="Arial" w:hAnsi="Arial" w:eastAsia="Arial"/>
                <w:b w:val="0"/>
                <w:sz w:val="16"/>
              </w:rPr>
              <w:t>0 = dated; 3 = clean/basic; 5 = professionally designed and photogenic.</w:t>
            </w:r>
          </w:p>
        </w:tc>
      </w:tr>
      <w:tr>
        <w:tc>
          <w:tcPr>
            <w:tcW w:type="dxa" w:w="2880"/>
            <w:vAlign w:val="top"/>
          </w:tcPr>
          <w:p>
            <w:pPr>
              <w:spacing w:after="0"/>
            </w:pPr>
            <w:r/>
            <w:r>
              <w:rPr>
                <w:rFonts w:ascii="Arial" w:hAnsi="Arial" w:eastAsia="Arial"/>
                <w:b w:val="0"/>
                <w:sz w:val="16"/>
              </w:rPr>
              <w:t>Amenities</w:t>
            </w:r>
          </w:p>
        </w:tc>
        <w:tc>
          <w:tcPr>
            <w:tcW w:type="dxa" w:w="1080"/>
            <w:vAlign w:val="top"/>
          </w:tcPr>
          <w:p>
            <w:pPr>
              <w:spacing w:after="0"/>
            </w:pPr>
            <w:r/>
            <w:r>
              <w:rPr>
                <w:rFonts w:ascii="Arial" w:hAnsi="Arial" w:eastAsia="Arial"/>
                <w:b w:val="0"/>
                <w:sz w:val="16"/>
              </w:rPr>
              <w:t>15%</w:t>
            </w:r>
          </w:p>
        </w:tc>
        <w:tc>
          <w:tcPr>
            <w:tcW w:type="dxa" w:w="6696"/>
            <w:vAlign w:val="top"/>
          </w:tcPr>
          <w:p>
            <w:pPr>
              <w:spacing w:after="0"/>
            </w:pPr>
            <w:r/>
            <w:r>
              <w:rPr>
                <w:rFonts w:ascii="Arial" w:hAnsi="Arial" w:eastAsia="Arial"/>
                <w:b w:val="0"/>
                <w:sz w:val="16"/>
              </w:rPr>
              <w:t>0 = minimal; 3 = expected amenities; 5 = high-demand amenities such as pool, hot tub, view, pet-friendly, EV, workspace.</w:t>
            </w:r>
          </w:p>
        </w:tc>
      </w:tr>
      <w:tr>
        <w:tc>
          <w:tcPr>
            <w:tcW w:type="dxa" w:w="2880"/>
            <w:vAlign w:val="top"/>
          </w:tcPr>
          <w:p>
            <w:pPr>
              <w:spacing w:after="0"/>
            </w:pPr>
            <w:r/>
            <w:r>
              <w:rPr>
                <w:rFonts w:ascii="Arial" w:hAnsi="Arial" w:eastAsia="Arial"/>
                <w:b w:val="0"/>
                <w:sz w:val="16"/>
              </w:rPr>
              <w:t>Reviews and trust</w:t>
            </w:r>
          </w:p>
        </w:tc>
        <w:tc>
          <w:tcPr>
            <w:tcW w:type="dxa" w:w="1080"/>
            <w:vAlign w:val="top"/>
          </w:tcPr>
          <w:p>
            <w:pPr>
              <w:spacing w:after="0"/>
            </w:pPr>
            <w:r/>
            <w:r>
              <w:rPr>
                <w:rFonts w:ascii="Arial" w:hAnsi="Arial" w:eastAsia="Arial"/>
                <w:b w:val="0"/>
                <w:sz w:val="16"/>
              </w:rPr>
              <w:t>15%</w:t>
            </w:r>
          </w:p>
        </w:tc>
        <w:tc>
          <w:tcPr>
            <w:tcW w:type="dxa" w:w="6696"/>
            <w:vAlign w:val="top"/>
          </w:tcPr>
          <w:p>
            <w:pPr>
              <w:spacing w:after="0"/>
            </w:pPr>
            <w:r/>
            <w:r>
              <w:rPr>
                <w:rFonts w:ascii="Arial" w:hAnsi="Arial" w:eastAsia="Arial"/>
                <w:b w:val="0"/>
                <w:sz w:val="16"/>
              </w:rPr>
              <w:t>0 = weak/low count; 3 = stable; 5 = excellent score, many recent reviews, strong cleanliness language.</w:t>
            </w:r>
          </w:p>
        </w:tc>
      </w:tr>
      <w:tr>
        <w:tc>
          <w:tcPr>
            <w:tcW w:type="dxa" w:w="2880"/>
            <w:vAlign w:val="top"/>
          </w:tcPr>
          <w:p>
            <w:pPr>
              <w:spacing w:after="0"/>
            </w:pPr>
            <w:r/>
            <w:r>
              <w:rPr>
                <w:rFonts w:ascii="Arial" w:hAnsi="Arial" w:eastAsia="Arial"/>
                <w:b w:val="0"/>
                <w:sz w:val="16"/>
              </w:rPr>
              <w:t>Rules and flexibility</w:t>
            </w:r>
          </w:p>
        </w:tc>
        <w:tc>
          <w:tcPr>
            <w:tcW w:type="dxa" w:w="1080"/>
            <w:vAlign w:val="top"/>
          </w:tcPr>
          <w:p>
            <w:pPr>
              <w:spacing w:after="0"/>
            </w:pPr>
            <w:r/>
            <w:r>
              <w:rPr>
                <w:rFonts w:ascii="Arial" w:hAnsi="Arial" w:eastAsia="Arial"/>
                <w:b w:val="0"/>
                <w:sz w:val="16"/>
              </w:rPr>
              <w:t>10%</w:t>
            </w:r>
          </w:p>
        </w:tc>
        <w:tc>
          <w:tcPr>
            <w:tcW w:type="dxa" w:w="6696"/>
            <w:vAlign w:val="top"/>
          </w:tcPr>
          <w:p>
            <w:pPr>
              <w:spacing w:after="0"/>
            </w:pPr>
            <w:r/>
            <w:r>
              <w:rPr>
                <w:rFonts w:ascii="Arial" w:hAnsi="Arial" w:eastAsia="Arial"/>
                <w:b w:val="0"/>
                <w:sz w:val="16"/>
              </w:rPr>
              <w:t>0 = restrictive without demand justification; 3 = normal; 5 = optimized LOS/check-in/cancellation.</w:t>
            </w:r>
          </w:p>
        </w:tc>
      </w:tr>
      <w:tr>
        <w:tc>
          <w:tcPr>
            <w:tcW w:type="dxa" w:w="2880"/>
            <w:vAlign w:val="top"/>
          </w:tcPr>
          <w:p>
            <w:pPr>
              <w:spacing w:after="0"/>
            </w:pPr>
            <w:r/>
            <w:r>
              <w:rPr>
                <w:rFonts w:ascii="Arial" w:hAnsi="Arial" w:eastAsia="Arial"/>
                <w:b w:val="0"/>
                <w:sz w:val="16"/>
              </w:rPr>
              <w:t>Total-price competitiveness</w:t>
            </w:r>
          </w:p>
        </w:tc>
        <w:tc>
          <w:tcPr>
            <w:tcW w:type="dxa" w:w="1080"/>
            <w:vAlign w:val="top"/>
          </w:tcPr>
          <w:p>
            <w:pPr>
              <w:spacing w:after="0"/>
            </w:pPr>
            <w:r/>
            <w:r>
              <w:rPr>
                <w:rFonts w:ascii="Arial" w:hAnsi="Arial" w:eastAsia="Arial"/>
                <w:b w:val="0"/>
                <w:sz w:val="16"/>
              </w:rPr>
              <w:t>10%</w:t>
            </w:r>
          </w:p>
        </w:tc>
        <w:tc>
          <w:tcPr>
            <w:tcW w:type="dxa" w:w="6696"/>
            <w:vAlign w:val="top"/>
          </w:tcPr>
          <w:p>
            <w:pPr>
              <w:spacing w:after="0"/>
            </w:pPr>
            <w:r/>
            <w:r>
              <w:rPr>
                <w:rFonts w:ascii="Arial" w:hAnsi="Arial" w:eastAsia="Arial"/>
                <w:b w:val="0"/>
                <w:sz w:val="16"/>
              </w:rPr>
              <w:t>0 = high all-in price for value delivered; 3 = fair; 5 = clear value against substitutes.</w:t>
            </w:r>
          </w:p>
        </w:tc>
      </w:tr>
    </w:tbl>
    <w:p>
      <w:pPr>
        <w:pStyle w:val="Small"/>
      </w:pPr>
    </w:p>
    <w:p>
      <w:pPr>
        <w:pStyle w:val="Callout"/>
      </w:pPr>
      <w:r>
        <w:rPr>
          <w:b/>
        </w:rPr>
        <w:t>Suggested base position: Score below 2.5 = 35th-45th percentile; 2.5-3.4 = 45th-55th; 3.5-4.2 = 55th-70th; 4.3+ = 70th percentile or higher, subject to review quality and conversion.</w:t>
      </w:r>
    </w:p>
    <w:p>
      <w:pPr>
        <w:pStyle w:val="Heading2"/>
      </w:pPr>
      <w:r>
        <w:t>4.4 Data sources and caveats</w:t>
      </w:r>
    </w:p>
    <w:p>
      <w:r>
        <w:t>Airbnb’s Similar Listings tool can be useful for quick checks [P9]. Third-party tools such as AirDNA, Beyond, PriceLabs, Wheelhouse, KeyData, and PMS dashboards can provide broader market and pacing views. Open-data projects such as Inside Airbnb can support research, but operators should understand data assumptions, such as occupancy models based on reviews [I8]. Dynamic pricing tools often infer booked dates from calendar changes and must distinguish true bookings from owner blocks [I7]. This means pricing decisions should use multiple signals rather than a single dashboard.</w:t>
      </w:r>
    </w:p>
    <w:p>
      <w:r>
        <w:t>The correct working standard is triangulation. If Airbnb Similar Listings, a dynamic pricing tool, a manual comp set, and actual portfolio pace all point in the same direction, act confidently. If they disagree, inspect the comp set and market context. Many pricing mistakes occur when an operator follows an algorithm through a local exception: a festival that is not yet recognized, a newly opened hotel, a regulatory supply shock, or a weather event.</w:t>
      </w:r>
    </w:p>
    <w:p>
      <w:r>
        <w:br w:type="page"/>
      </w:r>
    </w:p>
    <w:p>
      <w:pPr>
        <w:pStyle w:val="Heading1"/>
      </w:pPr>
      <w:r>
        <w:t>5. US Demand Segmentation</w:t>
      </w:r>
    </w:p>
    <w:p>
      <w:r>
        <w:t>US Airbnb demand is not one market. It is a set of demand micro-markets defined by traveler purpose, geography, seasonality, transportation, regulations, and local alternatives. The same two-bedroom unit can be a value family product in Orlando, a business-travel substitute in Chicago, a festival product in Austin, a monthly-stay product in San Francisco, or a shoulder-season gap-fill product in coastal Maine.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shd w:fill="1F4E79"/>
            <w:vAlign w:val="center"/>
          </w:tcPr>
          <w:p>
            <w:pPr>
              <w:spacing w:after="0"/>
            </w:pPr>
            <w:r/>
            <w:r>
              <w:rPr>
                <w:rFonts w:ascii="Arial" w:hAnsi="Arial" w:eastAsia="Arial"/>
                <w:b/>
                <w:color w:val="FFFFFF"/>
                <w:sz w:val="15"/>
              </w:rPr>
              <w:t>Market type</w:t>
            </w:r>
          </w:p>
        </w:tc>
        <w:tc>
          <w:tcPr>
            <w:tcW w:type="dxa" w:w="3240"/>
            <w:shd w:fill="1F4E79"/>
            <w:vAlign w:val="center"/>
          </w:tcPr>
          <w:p>
            <w:pPr>
              <w:spacing w:after="0"/>
            </w:pPr>
            <w:r/>
            <w:r>
              <w:rPr>
                <w:rFonts w:ascii="Arial" w:hAnsi="Arial" w:eastAsia="Arial"/>
                <w:b/>
                <w:color w:val="FFFFFF"/>
                <w:sz w:val="15"/>
              </w:rPr>
              <w:t>Demand pattern</w:t>
            </w:r>
          </w:p>
        </w:tc>
        <w:tc>
          <w:tcPr>
            <w:tcW w:type="dxa" w:w="3528"/>
            <w:shd w:fill="1F4E79"/>
            <w:vAlign w:val="center"/>
          </w:tcPr>
          <w:p>
            <w:pPr>
              <w:spacing w:after="0"/>
            </w:pPr>
            <w:r/>
            <w:r>
              <w:rPr>
                <w:rFonts w:ascii="Arial" w:hAnsi="Arial" w:eastAsia="Arial"/>
                <w:b/>
                <w:color w:val="FFFFFF"/>
                <w:sz w:val="15"/>
              </w:rPr>
              <w:t>Typical pricing priorities</w:t>
            </w:r>
          </w:p>
        </w:tc>
        <w:tc>
          <w:tcPr>
            <w:tcW w:type="dxa" w:w="1944"/>
            <w:shd w:fill="1F4E79"/>
            <w:vAlign w:val="center"/>
          </w:tcPr>
          <w:p>
            <w:pPr>
              <w:spacing w:after="0"/>
            </w:pPr>
            <w:r/>
            <w:r>
              <w:rPr>
                <w:rFonts w:ascii="Arial" w:hAnsi="Arial" w:eastAsia="Arial"/>
                <w:b/>
                <w:color w:val="FFFFFF"/>
                <w:sz w:val="15"/>
              </w:rPr>
              <w:t>Common risk</w:t>
            </w:r>
          </w:p>
        </w:tc>
      </w:tr>
      <w:tr>
        <w:tc>
          <w:tcPr>
            <w:tcW w:type="dxa" w:w="2088"/>
            <w:vAlign w:val="top"/>
          </w:tcPr>
          <w:p>
            <w:pPr>
              <w:spacing w:after="0"/>
            </w:pPr>
            <w:r/>
            <w:r>
              <w:rPr>
                <w:rFonts w:ascii="Arial" w:hAnsi="Arial" w:eastAsia="Arial"/>
                <w:b w:val="0"/>
                <w:sz w:val="15"/>
              </w:rPr>
              <w:t>Dense urban core</w:t>
            </w:r>
          </w:p>
        </w:tc>
        <w:tc>
          <w:tcPr>
            <w:tcW w:type="dxa" w:w="3240"/>
            <w:vAlign w:val="top"/>
          </w:tcPr>
          <w:p>
            <w:pPr>
              <w:spacing w:after="0"/>
            </w:pPr>
            <w:r/>
            <w:r>
              <w:rPr>
                <w:rFonts w:ascii="Arial" w:hAnsi="Arial" w:eastAsia="Arial"/>
                <w:b w:val="0"/>
                <w:sz w:val="15"/>
              </w:rPr>
              <w:t>Business, events, weekends, conferences, international/domestic leisure, regulation-sensitive.</w:t>
            </w:r>
          </w:p>
        </w:tc>
        <w:tc>
          <w:tcPr>
            <w:tcW w:type="dxa" w:w="3528"/>
            <w:vAlign w:val="top"/>
          </w:tcPr>
          <w:p>
            <w:pPr>
              <w:spacing w:after="0"/>
            </w:pPr>
            <w:r/>
            <w:r>
              <w:rPr>
                <w:rFonts w:ascii="Arial" w:hAnsi="Arial" w:eastAsia="Arial"/>
                <w:b w:val="0"/>
                <w:sz w:val="15"/>
              </w:rPr>
              <w:t>Hotel comp awareness, flexible LOS, event premiums, regulation compliance, midweek strategy.</w:t>
            </w:r>
          </w:p>
        </w:tc>
        <w:tc>
          <w:tcPr>
            <w:tcW w:type="dxa" w:w="1944"/>
            <w:vAlign w:val="top"/>
          </w:tcPr>
          <w:p>
            <w:pPr>
              <w:spacing w:after="0"/>
            </w:pPr>
            <w:r/>
            <w:r>
              <w:rPr>
                <w:rFonts w:ascii="Arial" w:hAnsi="Arial" w:eastAsia="Arial"/>
                <w:b w:val="0"/>
                <w:sz w:val="15"/>
              </w:rPr>
              <w:t>Regulatory change; hotel substitute price pressure; cleaning/fee sensitivity.</w:t>
            </w:r>
          </w:p>
        </w:tc>
      </w:tr>
      <w:tr>
        <w:tc>
          <w:tcPr>
            <w:tcW w:type="dxa" w:w="2088"/>
            <w:vAlign w:val="top"/>
          </w:tcPr>
          <w:p>
            <w:pPr>
              <w:spacing w:after="0"/>
            </w:pPr>
            <w:r/>
            <w:r>
              <w:rPr>
                <w:rFonts w:ascii="Arial" w:hAnsi="Arial" w:eastAsia="Arial"/>
                <w:b w:val="0"/>
                <w:sz w:val="15"/>
              </w:rPr>
              <w:t>Large metro suburb</w:t>
            </w:r>
          </w:p>
        </w:tc>
        <w:tc>
          <w:tcPr>
            <w:tcW w:type="dxa" w:w="3240"/>
            <w:vAlign w:val="top"/>
          </w:tcPr>
          <w:p>
            <w:pPr>
              <w:spacing w:after="0"/>
            </w:pPr>
            <w:r/>
            <w:r>
              <w:rPr>
                <w:rFonts w:ascii="Arial" w:hAnsi="Arial" w:eastAsia="Arial"/>
                <w:b w:val="0"/>
                <w:sz w:val="15"/>
              </w:rPr>
              <w:t>Family visits, relocation, medical, youth sports, drive-market leisure, business overflow.</w:t>
            </w:r>
          </w:p>
        </w:tc>
        <w:tc>
          <w:tcPr>
            <w:tcW w:type="dxa" w:w="3528"/>
            <w:vAlign w:val="top"/>
          </w:tcPr>
          <w:p>
            <w:pPr>
              <w:spacing w:after="0"/>
            </w:pPr>
            <w:r/>
            <w:r>
              <w:rPr>
                <w:rFonts w:ascii="Arial" w:hAnsi="Arial" w:eastAsia="Arial"/>
                <w:b w:val="0"/>
                <w:sz w:val="15"/>
              </w:rPr>
              <w:t>Group value, parking, pet/workspace premiums, weekly/monthly discounts.</w:t>
            </w:r>
          </w:p>
        </w:tc>
        <w:tc>
          <w:tcPr>
            <w:tcW w:type="dxa" w:w="1944"/>
            <w:vAlign w:val="top"/>
          </w:tcPr>
          <w:p>
            <w:pPr>
              <w:spacing w:after="0"/>
            </w:pPr>
            <w:r/>
            <w:r>
              <w:rPr>
                <w:rFonts w:ascii="Arial" w:hAnsi="Arial" w:eastAsia="Arial"/>
                <w:b w:val="0"/>
                <w:sz w:val="15"/>
              </w:rPr>
              <w:t>Generic supply growth; weak differentiation.</w:t>
            </w:r>
          </w:p>
        </w:tc>
      </w:tr>
      <w:tr>
        <w:tc>
          <w:tcPr>
            <w:tcW w:type="dxa" w:w="2088"/>
            <w:vAlign w:val="top"/>
          </w:tcPr>
          <w:p>
            <w:pPr>
              <w:spacing w:after="0"/>
            </w:pPr>
            <w:r/>
            <w:r>
              <w:rPr>
                <w:rFonts w:ascii="Arial" w:hAnsi="Arial" w:eastAsia="Arial"/>
                <w:b w:val="0"/>
                <w:sz w:val="15"/>
              </w:rPr>
              <w:t>Coastal beach</w:t>
            </w:r>
          </w:p>
        </w:tc>
        <w:tc>
          <w:tcPr>
            <w:tcW w:type="dxa" w:w="3240"/>
            <w:vAlign w:val="top"/>
          </w:tcPr>
          <w:p>
            <w:pPr>
              <w:spacing w:after="0"/>
            </w:pPr>
            <w:r/>
            <w:r>
              <w:rPr>
                <w:rFonts w:ascii="Arial" w:hAnsi="Arial" w:eastAsia="Arial"/>
                <w:b w:val="0"/>
                <w:sz w:val="15"/>
              </w:rPr>
              <w:t>Summer leisure, holiday weeks, family/group trips, weather exposure.</w:t>
            </w:r>
          </w:p>
        </w:tc>
        <w:tc>
          <w:tcPr>
            <w:tcW w:type="dxa" w:w="3528"/>
            <w:vAlign w:val="top"/>
          </w:tcPr>
          <w:p>
            <w:pPr>
              <w:spacing w:after="0"/>
            </w:pPr>
            <w:r/>
            <w:r>
              <w:rPr>
                <w:rFonts w:ascii="Arial" w:hAnsi="Arial" w:eastAsia="Arial"/>
                <w:b w:val="0"/>
                <w:sz w:val="15"/>
              </w:rPr>
              <w:t>High-season defense, weekly patterns, Saturday/Sunday turnovers, view/access premiums.</w:t>
            </w:r>
          </w:p>
        </w:tc>
        <w:tc>
          <w:tcPr>
            <w:tcW w:type="dxa" w:w="1944"/>
            <w:vAlign w:val="top"/>
          </w:tcPr>
          <w:p>
            <w:pPr>
              <w:spacing w:after="0"/>
            </w:pPr>
            <w:r/>
            <w:r>
              <w:rPr>
                <w:rFonts w:ascii="Arial" w:hAnsi="Arial" w:eastAsia="Arial"/>
                <w:b w:val="0"/>
                <w:sz w:val="15"/>
              </w:rPr>
              <w:t>Premature discounting before booking curve matures; storm/cancellation risk.</w:t>
            </w:r>
          </w:p>
        </w:tc>
      </w:tr>
      <w:tr>
        <w:tc>
          <w:tcPr>
            <w:tcW w:type="dxa" w:w="2088"/>
            <w:vAlign w:val="top"/>
          </w:tcPr>
          <w:p>
            <w:pPr>
              <w:spacing w:after="0"/>
            </w:pPr>
            <w:r/>
            <w:r>
              <w:rPr>
                <w:rFonts w:ascii="Arial" w:hAnsi="Arial" w:eastAsia="Arial"/>
                <w:b w:val="0"/>
                <w:sz w:val="15"/>
              </w:rPr>
              <w:t>Mountain/lake</w:t>
            </w:r>
          </w:p>
        </w:tc>
        <w:tc>
          <w:tcPr>
            <w:tcW w:type="dxa" w:w="3240"/>
            <w:vAlign w:val="top"/>
          </w:tcPr>
          <w:p>
            <w:pPr>
              <w:spacing w:after="0"/>
            </w:pPr>
            <w:r/>
            <w:r>
              <w:rPr>
                <w:rFonts w:ascii="Arial" w:hAnsi="Arial" w:eastAsia="Arial"/>
                <w:b w:val="0"/>
                <w:sz w:val="15"/>
              </w:rPr>
              <w:t>Dual season: ski/winter and summer outdoors; shoulder gaps.</w:t>
            </w:r>
          </w:p>
        </w:tc>
        <w:tc>
          <w:tcPr>
            <w:tcW w:type="dxa" w:w="3528"/>
            <w:vAlign w:val="top"/>
          </w:tcPr>
          <w:p>
            <w:pPr>
              <w:spacing w:after="0"/>
            </w:pPr>
            <w:r/>
            <w:r>
              <w:rPr>
                <w:rFonts w:ascii="Arial" w:hAnsi="Arial" w:eastAsia="Arial"/>
                <w:b w:val="0"/>
                <w:sz w:val="15"/>
              </w:rPr>
              <w:t>Seasonal floors, weather-aware booking windows, large-home premiums, hot tub/fireplace/water access premiums.</w:t>
            </w:r>
          </w:p>
        </w:tc>
        <w:tc>
          <w:tcPr>
            <w:tcW w:type="dxa" w:w="1944"/>
            <w:vAlign w:val="top"/>
          </w:tcPr>
          <w:p>
            <w:pPr>
              <w:spacing w:after="0"/>
            </w:pPr>
            <w:r/>
            <w:r>
              <w:rPr>
                <w:rFonts w:ascii="Arial" w:hAnsi="Arial" w:eastAsia="Arial"/>
                <w:b w:val="0"/>
                <w:sz w:val="15"/>
              </w:rPr>
              <w:t>Road/weather risk; shoulder-season vacancy.</w:t>
            </w:r>
          </w:p>
        </w:tc>
      </w:tr>
      <w:tr>
        <w:tc>
          <w:tcPr>
            <w:tcW w:type="dxa" w:w="2088"/>
            <w:vAlign w:val="top"/>
          </w:tcPr>
          <w:p>
            <w:pPr>
              <w:spacing w:after="0"/>
            </w:pPr>
            <w:r/>
            <w:r>
              <w:rPr>
                <w:rFonts w:ascii="Arial" w:hAnsi="Arial" w:eastAsia="Arial"/>
                <w:b w:val="0"/>
                <w:sz w:val="15"/>
              </w:rPr>
              <w:t>Theme-park/resort</w:t>
            </w:r>
          </w:p>
        </w:tc>
        <w:tc>
          <w:tcPr>
            <w:tcW w:type="dxa" w:w="3240"/>
            <w:vAlign w:val="top"/>
          </w:tcPr>
          <w:p>
            <w:pPr>
              <w:spacing w:after="0"/>
            </w:pPr>
            <w:r/>
            <w:r>
              <w:rPr>
                <w:rFonts w:ascii="Arial" w:hAnsi="Arial" w:eastAsia="Arial"/>
                <w:b w:val="0"/>
                <w:sz w:val="15"/>
              </w:rPr>
              <w:t>Families, school breaks, multi-night stays, domestic/international mix.</w:t>
            </w:r>
          </w:p>
        </w:tc>
        <w:tc>
          <w:tcPr>
            <w:tcW w:type="dxa" w:w="3528"/>
            <w:vAlign w:val="top"/>
          </w:tcPr>
          <w:p>
            <w:pPr>
              <w:spacing w:after="0"/>
            </w:pPr>
            <w:r/>
            <w:r>
              <w:rPr>
                <w:rFonts w:ascii="Arial" w:hAnsi="Arial" w:eastAsia="Arial"/>
                <w:b w:val="0"/>
                <w:sz w:val="15"/>
              </w:rPr>
              <w:t>Capacity, kids amenities, weekly discounts, school-break premiums, cleaning fee amortization.</w:t>
            </w:r>
          </w:p>
        </w:tc>
        <w:tc>
          <w:tcPr>
            <w:tcW w:type="dxa" w:w="1944"/>
            <w:vAlign w:val="top"/>
          </w:tcPr>
          <w:p>
            <w:pPr>
              <w:spacing w:after="0"/>
            </w:pPr>
            <w:r/>
            <w:r>
              <w:rPr>
                <w:rFonts w:ascii="Arial" w:hAnsi="Arial" w:eastAsia="Arial"/>
                <w:b w:val="0"/>
                <w:sz w:val="15"/>
              </w:rPr>
              <w:t>Highly competitive supply; value shopping.</w:t>
            </w:r>
          </w:p>
        </w:tc>
      </w:tr>
      <w:tr>
        <w:tc>
          <w:tcPr>
            <w:tcW w:type="dxa" w:w="2088"/>
            <w:vAlign w:val="top"/>
          </w:tcPr>
          <w:p>
            <w:pPr>
              <w:spacing w:after="0"/>
            </w:pPr>
            <w:r/>
            <w:r>
              <w:rPr>
                <w:rFonts w:ascii="Arial" w:hAnsi="Arial" w:eastAsia="Arial"/>
                <w:b w:val="0"/>
                <w:sz w:val="15"/>
              </w:rPr>
              <w:t>College/event town</w:t>
            </w:r>
          </w:p>
        </w:tc>
        <w:tc>
          <w:tcPr>
            <w:tcW w:type="dxa" w:w="3240"/>
            <w:vAlign w:val="top"/>
          </w:tcPr>
          <w:p>
            <w:pPr>
              <w:spacing w:after="0"/>
            </w:pPr>
            <w:r/>
            <w:r>
              <w:rPr>
                <w:rFonts w:ascii="Arial" w:hAnsi="Arial" w:eastAsia="Arial"/>
                <w:b w:val="0"/>
                <w:sz w:val="15"/>
              </w:rPr>
              <w:t>Graduations, sports, move-in weekends, alumni events, conferences.</w:t>
            </w:r>
          </w:p>
        </w:tc>
        <w:tc>
          <w:tcPr>
            <w:tcW w:type="dxa" w:w="3528"/>
            <w:vAlign w:val="top"/>
          </w:tcPr>
          <w:p>
            <w:pPr>
              <w:spacing w:after="0"/>
            </w:pPr>
            <w:r/>
            <w:r>
              <w:rPr>
                <w:rFonts w:ascii="Arial" w:hAnsi="Arial" w:eastAsia="Arial"/>
                <w:b w:val="0"/>
                <w:sz w:val="15"/>
              </w:rPr>
              <w:t>Event calendar, strict floors, minimum stays, early identification, cancellation protection.</w:t>
            </w:r>
          </w:p>
        </w:tc>
        <w:tc>
          <w:tcPr>
            <w:tcW w:type="dxa" w:w="1944"/>
            <w:vAlign w:val="top"/>
          </w:tcPr>
          <w:p>
            <w:pPr>
              <w:spacing w:after="0"/>
            </w:pPr>
            <w:r/>
            <w:r>
              <w:rPr>
                <w:rFonts w:ascii="Arial" w:hAnsi="Arial" w:eastAsia="Arial"/>
                <w:b w:val="0"/>
                <w:sz w:val="15"/>
              </w:rPr>
              <w:t>One-time events overestimated; local occupancy may not compress.</w:t>
            </w:r>
          </w:p>
        </w:tc>
      </w:tr>
      <w:tr>
        <w:tc>
          <w:tcPr>
            <w:tcW w:type="dxa" w:w="2088"/>
            <w:vAlign w:val="top"/>
          </w:tcPr>
          <w:p>
            <w:pPr>
              <w:spacing w:after="0"/>
            </w:pPr>
            <w:r/>
            <w:r>
              <w:rPr>
                <w:rFonts w:ascii="Arial" w:hAnsi="Arial" w:eastAsia="Arial"/>
                <w:b w:val="0"/>
                <w:sz w:val="15"/>
              </w:rPr>
              <w:t>Rural/small city</w:t>
            </w:r>
          </w:p>
        </w:tc>
        <w:tc>
          <w:tcPr>
            <w:tcW w:type="dxa" w:w="3240"/>
            <w:vAlign w:val="top"/>
          </w:tcPr>
          <w:p>
            <w:pPr>
              <w:spacing w:after="0"/>
            </w:pPr>
            <w:r/>
            <w:r>
              <w:rPr>
                <w:rFonts w:ascii="Arial" w:hAnsi="Arial" w:eastAsia="Arial"/>
                <w:b w:val="0"/>
                <w:sz w:val="15"/>
              </w:rPr>
              <w:t>Drive-to escapes, weddings, outdoor recreation, remote work, family gatherings.</w:t>
            </w:r>
          </w:p>
        </w:tc>
        <w:tc>
          <w:tcPr>
            <w:tcW w:type="dxa" w:w="3528"/>
            <w:vAlign w:val="top"/>
          </w:tcPr>
          <w:p>
            <w:pPr>
              <w:spacing w:after="0"/>
            </w:pPr>
            <w:r/>
            <w:r>
              <w:rPr>
                <w:rFonts w:ascii="Arial" w:hAnsi="Arial" w:eastAsia="Arial"/>
                <w:b w:val="0"/>
                <w:sz w:val="15"/>
              </w:rPr>
              <w:t>Longer stays, pet/workspace premiums, unique-stay positioning, lower weekday rates.</w:t>
            </w:r>
          </w:p>
        </w:tc>
        <w:tc>
          <w:tcPr>
            <w:tcW w:type="dxa" w:w="1944"/>
            <w:vAlign w:val="top"/>
          </w:tcPr>
          <w:p>
            <w:pPr>
              <w:spacing w:after="0"/>
            </w:pPr>
            <w:r/>
            <w:r>
              <w:rPr>
                <w:rFonts w:ascii="Arial" w:hAnsi="Arial" w:eastAsia="Arial"/>
                <w:b w:val="0"/>
                <w:sz w:val="15"/>
              </w:rPr>
              <w:t>Sparse comp data; high seasonality; limited last-minute demand.</w:t>
            </w:r>
          </w:p>
        </w:tc>
      </w:tr>
      <w:tr>
        <w:tc>
          <w:tcPr>
            <w:tcW w:type="dxa" w:w="2088"/>
            <w:vAlign w:val="top"/>
          </w:tcPr>
          <w:p>
            <w:pPr>
              <w:spacing w:after="0"/>
            </w:pPr>
            <w:r/>
            <w:r>
              <w:rPr>
                <w:rFonts w:ascii="Arial" w:hAnsi="Arial" w:eastAsia="Arial"/>
                <w:b w:val="0"/>
                <w:sz w:val="15"/>
              </w:rPr>
              <w:t>Luxury destination</w:t>
            </w:r>
          </w:p>
        </w:tc>
        <w:tc>
          <w:tcPr>
            <w:tcW w:type="dxa" w:w="3240"/>
            <w:vAlign w:val="top"/>
          </w:tcPr>
          <w:p>
            <w:pPr>
              <w:spacing w:after="0"/>
            </w:pPr>
            <w:r/>
            <w:r>
              <w:rPr>
                <w:rFonts w:ascii="Arial" w:hAnsi="Arial" w:eastAsia="Arial"/>
                <w:b w:val="0"/>
                <w:sz w:val="15"/>
              </w:rPr>
              <w:t>Affluent leisure, privacy, family offices, weddings, premium events.</w:t>
            </w:r>
          </w:p>
        </w:tc>
        <w:tc>
          <w:tcPr>
            <w:tcW w:type="dxa" w:w="3528"/>
            <w:vAlign w:val="top"/>
          </w:tcPr>
          <w:p>
            <w:pPr>
              <w:spacing w:after="0"/>
            </w:pPr>
            <w:r/>
            <w:r>
              <w:rPr>
                <w:rFonts w:ascii="Arial" w:hAnsi="Arial" w:eastAsia="Arial"/>
                <w:b w:val="0"/>
                <w:sz w:val="15"/>
              </w:rPr>
              <w:t>Scarcity pricing, concierge/service quality, strict value delivery, no panic discounting.</w:t>
            </w:r>
          </w:p>
        </w:tc>
        <w:tc>
          <w:tcPr>
            <w:tcW w:type="dxa" w:w="1944"/>
            <w:vAlign w:val="top"/>
          </w:tcPr>
          <w:p>
            <w:pPr>
              <w:spacing w:after="0"/>
            </w:pPr>
            <w:r/>
            <w:r>
              <w:rPr>
                <w:rFonts w:ascii="Arial" w:hAnsi="Arial" w:eastAsia="Arial"/>
                <w:b w:val="0"/>
                <w:sz w:val="15"/>
              </w:rPr>
              <w:t>High cancellation cost; extreme rates can stall when supply exceeds ultra-high-end demand.</w:t>
            </w:r>
          </w:p>
        </w:tc>
      </w:tr>
    </w:tbl>
    <w:p>
      <w:pPr>
        <w:pStyle w:val="Small"/>
      </w:pPr>
    </w:p>
    <w:p>
      <w:pPr>
        <w:pStyle w:val="Heading2"/>
      </w:pPr>
      <w:r>
        <w:t>5.1 Traveler segments and pricing behavior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shd w:fill="1F4E79"/>
            <w:vAlign w:val="center"/>
          </w:tcPr>
          <w:p>
            <w:pPr>
              <w:spacing w:after="0"/>
            </w:pPr>
            <w:r/>
            <w:r>
              <w:rPr>
                <w:rFonts w:ascii="Arial" w:hAnsi="Arial" w:eastAsia="Arial"/>
                <w:b/>
                <w:color w:val="FFFFFF"/>
                <w:sz w:val="15"/>
              </w:rPr>
              <w:t>Traveler segment</w:t>
            </w:r>
          </w:p>
        </w:tc>
        <w:tc>
          <w:tcPr>
            <w:tcW w:type="dxa" w:w="1584"/>
            <w:shd w:fill="1F4E79"/>
            <w:vAlign w:val="center"/>
          </w:tcPr>
          <w:p>
            <w:pPr>
              <w:spacing w:after="0"/>
            </w:pPr>
            <w:r/>
            <w:r>
              <w:rPr>
                <w:rFonts w:ascii="Arial" w:hAnsi="Arial" w:eastAsia="Arial"/>
                <w:b/>
                <w:color w:val="FFFFFF"/>
                <w:sz w:val="15"/>
              </w:rPr>
              <w:t>Price sensitivity</w:t>
            </w:r>
          </w:p>
        </w:tc>
        <w:tc>
          <w:tcPr>
            <w:tcW w:type="dxa" w:w="3672"/>
            <w:shd w:fill="1F4E79"/>
            <w:vAlign w:val="center"/>
          </w:tcPr>
          <w:p>
            <w:pPr>
              <w:spacing w:after="0"/>
            </w:pPr>
            <w:r/>
            <w:r>
              <w:rPr>
                <w:rFonts w:ascii="Arial" w:hAnsi="Arial" w:eastAsia="Arial"/>
                <w:b/>
                <w:color w:val="FFFFFF"/>
                <w:sz w:val="15"/>
              </w:rPr>
              <w:t>What they value</w:t>
            </w:r>
          </w:p>
        </w:tc>
        <w:tc>
          <w:tcPr>
            <w:tcW w:type="dxa" w:w="3168"/>
            <w:shd w:fill="1F4E79"/>
            <w:vAlign w:val="center"/>
          </w:tcPr>
          <w:p>
            <w:pPr>
              <w:spacing w:after="0"/>
            </w:pPr>
            <w:r/>
            <w:r>
              <w:rPr>
                <w:rFonts w:ascii="Arial" w:hAnsi="Arial" w:eastAsia="Arial"/>
                <w:b/>
                <w:color w:val="FFFFFF"/>
                <w:sz w:val="15"/>
              </w:rPr>
              <w:t>Recommended pricing approach</w:t>
            </w:r>
          </w:p>
        </w:tc>
      </w:tr>
      <w:tr>
        <w:tc>
          <w:tcPr>
            <w:tcW w:type="dxa" w:w="2232"/>
            <w:vAlign w:val="top"/>
          </w:tcPr>
          <w:p>
            <w:pPr>
              <w:spacing w:after="0"/>
            </w:pPr>
            <w:r/>
            <w:r>
              <w:rPr>
                <w:rFonts w:ascii="Arial" w:hAnsi="Arial" w:eastAsia="Arial"/>
                <w:b w:val="0"/>
                <w:sz w:val="15"/>
              </w:rPr>
              <w:t>Solo budget traveler</w:t>
            </w:r>
          </w:p>
        </w:tc>
        <w:tc>
          <w:tcPr>
            <w:tcW w:type="dxa" w:w="1584"/>
            <w:vAlign w:val="top"/>
          </w:tcPr>
          <w:p>
            <w:pPr>
              <w:spacing w:after="0"/>
            </w:pPr>
            <w:r/>
            <w:r>
              <w:rPr>
                <w:rFonts w:ascii="Arial" w:hAnsi="Arial" w:eastAsia="Arial"/>
                <w:b w:val="0"/>
                <w:sz w:val="15"/>
              </w:rPr>
              <w:t>Very high</w:t>
            </w:r>
          </w:p>
        </w:tc>
        <w:tc>
          <w:tcPr>
            <w:tcW w:type="dxa" w:w="3672"/>
            <w:vAlign w:val="top"/>
          </w:tcPr>
          <w:p>
            <w:pPr>
              <w:spacing w:after="0"/>
            </w:pPr>
            <w:r/>
            <w:r>
              <w:rPr>
                <w:rFonts w:ascii="Arial" w:hAnsi="Arial" w:eastAsia="Arial"/>
                <w:b w:val="0"/>
                <w:sz w:val="15"/>
              </w:rPr>
              <w:t>Low all-in price, transit access, safety, Wi-Fi.</w:t>
            </w:r>
          </w:p>
        </w:tc>
        <w:tc>
          <w:tcPr>
            <w:tcW w:type="dxa" w:w="3168"/>
            <w:vAlign w:val="top"/>
          </w:tcPr>
          <w:p>
            <w:pPr>
              <w:spacing w:after="0"/>
            </w:pPr>
            <w:r/>
            <w:r>
              <w:rPr>
                <w:rFonts w:ascii="Arial" w:hAnsi="Arial" w:eastAsia="Arial"/>
                <w:b w:val="0"/>
                <w:sz w:val="15"/>
              </w:rPr>
              <w:t>Private rooms/studios should keep cleaning and extra fees low; use weekday and last-minute fills.</w:t>
            </w:r>
          </w:p>
        </w:tc>
      </w:tr>
      <w:tr>
        <w:tc>
          <w:tcPr>
            <w:tcW w:type="dxa" w:w="2232"/>
            <w:vAlign w:val="top"/>
          </w:tcPr>
          <w:p>
            <w:pPr>
              <w:spacing w:after="0"/>
            </w:pPr>
            <w:r/>
            <w:r>
              <w:rPr>
                <w:rFonts w:ascii="Arial" w:hAnsi="Arial" w:eastAsia="Arial"/>
                <w:b w:val="0"/>
                <w:sz w:val="15"/>
              </w:rPr>
              <w:t>Couple leisure</w:t>
            </w:r>
          </w:p>
        </w:tc>
        <w:tc>
          <w:tcPr>
            <w:tcW w:type="dxa" w:w="1584"/>
            <w:vAlign w:val="top"/>
          </w:tcPr>
          <w:p>
            <w:pPr>
              <w:spacing w:after="0"/>
            </w:pPr>
            <w:r/>
            <w:r>
              <w:rPr>
                <w:rFonts w:ascii="Arial" w:hAnsi="Arial" w:eastAsia="Arial"/>
                <w:b w:val="0"/>
                <w:sz w:val="15"/>
              </w:rPr>
              <w:t>Medium</w:t>
            </w:r>
          </w:p>
        </w:tc>
        <w:tc>
          <w:tcPr>
            <w:tcW w:type="dxa" w:w="3672"/>
            <w:vAlign w:val="top"/>
          </w:tcPr>
          <w:p>
            <w:pPr>
              <w:spacing w:after="0"/>
            </w:pPr>
            <w:r/>
            <w:r>
              <w:rPr>
                <w:rFonts w:ascii="Arial" w:hAnsi="Arial" w:eastAsia="Arial"/>
                <w:b w:val="0"/>
                <w:sz w:val="15"/>
              </w:rPr>
              <w:t>Design, location, privacy, view, restaurants, experience.</w:t>
            </w:r>
          </w:p>
        </w:tc>
        <w:tc>
          <w:tcPr>
            <w:tcW w:type="dxa" w:w="3168"/>
            <w:vAlign w:val="top"/>
          </w:tcPr>
          <w:p>
            <w:pPr>
              <w:spacing w:after="0"/>
            </w:pPr>
            <w:r/>
            <w:r>
              <w:rPr>
                <w:rFonts w:ascii="Arial" w:hAnsi="Arial" w:eastAsia="Arial"/>
                <w:b w:val="0"/>
                <w:sz w:val="15"/>
              </w:rPr>
              <w:t>Price above median only with design/location; weekend premiums are justified.</w:t>
            </w:r>
          </w:p>
        </w:tc>
      </w:tr>
      <w:tr>
        <w:tc>
          <w:tcPr>
            <w:tcW w:type="dxa" w:w="2232"/>
            <w:vAlign w:val="top"/>
          </w:tcPr>
          <w:p>
            <w:pPr>
              <w:spacing w:after="0"/>
            </w:pPr>
            <w:r/>
            <w:r>
              <w:rPr>
                <w:rFonts w:ascii="Arial" w:hAnsi="Arial" w:eastAsia="Arial"/>
                <w:b w:val="0"/>
                <w:sz w:val="15"/>
              </w:rPr>
              <w:t>Family with children</w:t>
            </w:r>
          </w:p>
        </w:tc>
        <w:tc>
          <w:tcPr>
            <w:tcW w:type="dxa" w:w="1584"/>
            <w:vAlign w:val="top"/>
          </w:tcPr>
          <w:p>
            <w:pPr>
              <w:spacing w:after="0"/>
            </w:pPr>
            <w:r/>
            <w:r>
              <w:rPr>
                <w:rFonts w:ascii="Arial" w:hAnsi="Arial" w:eastAsia="Arial"/>
                <w:b w:val="0"/>
                <w:sz w:val="15"/>
              </w:rPr>
              <w:t>Medium</w:t>
            </w:r>
          </w:p>
        </w:tc>
        <w:tc>
          <w:tcPr>
            <w:tcW w:type="dxa" w:w="3672"/>
            <w:vAlign w:val="top"/>
          </w:tcPr>
          <w:p>
            <w:pPr>
              <w:spacing w:after="0"/>
            </w:pPr>
            <w:r/>
            <w:r>
              <w:rPr>
                <w:rFonts w:ascii="Arial" w:hAnsi="Arial" w:eastAsia="Arial"/>
                <w:b w:val="0"/>
                <w:sz w:val="15"/>
              </w:rPr>
              <w:t>Bedrooms, kitchen, laundry, parking, safety, flexible cancellation.</w:t>
            </w:r>
          </w:p>
        </w:tc>
        <w:tc>
          <w:tcPr>
            <w:tcW w:type="dxa" w:w="3168"/>
            <w:vAlign w:val="top"/>
          </w:tcPr>
          <w:p>
            <w:pPr>
              <w:spacing w:after="0"/>
            </w:pPr>
            <w:r/>
            <w:r>
              <w:rPr>
                <w:rFonts w:ascii="Arial" w:hAnsi="Arial" w:eastAsia="Arial"/>
                <w:b w:val="0"/>
                <w:sz w:val="15"/>
              </w:rPr>
              <w:t>Charge for capacity and convenience; weekly discounts; avoid excessive cleaning-fee burden on short stays.</w:t>
            </w:r>
          </w:p>
        </w:tc>
      </w:tr>
      <w:tr>
        <w:tc>
          <w:tcPr>
            <w:tcW w:type="dxa" w:w="2232"/>
            <w:vAlign w:val="top"/>
          </w:tcPr>
          <w:p>
            <w:pPr>
              <w:spacing w:after="0"/>
            </w:pPr>
            <w:r/>
            <w:r>
              <w:rPr>
                <w:rFonts w:ascii="Arial" w:hAnsi="Arial" w:eastAsia="Arial"/>
                <w:b w:val="0"/>
                <w:sz w:val="15"/>
              </w:rPr>
              <w:t>Group trip</w:t>
            </w:r>
          </w:p>
        </w:tc>
        <w:tc>
          <w:tcPr>
            <w:tcW w:type="dxa" w:w="1584"/>
            <w:vAlign w:val="top"/>
          </w:tcPr>
          <w:p>
            <w:pPr>
              <w:spacing w:after="0"/>
            </w:pPr>
            <w:r/>
            <w:r>
              <w:rPr>
                <w:rFonts w:ascii="Arial" w:hAnsi="Arial" w:eastAsia="Arial"/>
                <w:b w:val="0"/>
                <w:sz w:val="15"/>
              </w:rPr>
              <w:t>Lower per-person sensitivity, high total-price awareness</w:t>
            </w:r>
          </w:p>
        </w:tc>
        <w:tc>
          <w:tcPr>
            <w:tcW w:type="dxa" w:w="3672"/>
            <w:vAlign w:val="top"/>
          </w:tcPr>
          <w:p>
            <w:pPr>
              <w:spacing w:after="0"/>
            </w:pPr>
            <w:r/>
            <w:r>
              <w:rPr>
                <w:rFonts w:ascii="Arial" w:hAnsi="Arial" w:eastAsia="Arial"/>
                <w:b w:val="0"/>
                <w:sz w:val="15"/>
              </w:rPr>
              <w:t>Beds, bathrooms, gathering space, parking, hot tub/pool, house rules clarity.</w:t>
            </w:r>
          </w:p>
        </w:tc>
        <w:tc>
          <w:tcPr>
            <w:tcW w:type="dxa" w:w="3168"/>
            <w:vAlign w:val="top"/>
          </w:tcPr>
          <w:p>
            <w:pPr>
              <w:spacing w:after="0"/>
            </w:pPr>
            <w:r/>
            <w:r>
              <w:rPr>
                <w:rFonts w:ascii="Arial" w:hAnsi="Arial" w:eastAsia="Arial"/>
                <w:b w:val="0"/>
                <w:sz w:val="15"/>
              </w:rPr>
              <w:t>Use per-person value framing, event/holiday premiums, strict damage and party controls.</w:t>
            </w:r>
          </w:p>
        </w:tc>
      </w:tr>
      <w:tr>
        <w:tc>
          <w:tcPr>
            <w:tcW w:type="dxa" w:w="2232"/>
            <w:vAlign w:val="top"/>
          </w:tcPr>
          <w:p>
            <w:pPr>
              <w:spacing w:after="0"/>
            </w:pPr>
            <w:r/>
            <w:r>
              <w:rPr>
                <w:rFonts w:ascii="Arial" w:hAnsi="Arial" w:eastAsia="Arial"/>
                <w:b w:val="0"/>
                <w:sz w:val="15"/>
              </w:rPr>
              <w:t>Remote worker/monthly</w:t>
            </w:r>
          </w:p>
        </w:tc>
        <w:tc>
          <w:tcPr>
            <w:tcW w:type="dxa" w:w="1584"/>
            <w:vAlign w:val="top"/>
          </w:tcPr>
          <w:p>
            <w:pPr>
              <w:spacing w:after="0"/>
            </w:pPr>
            <w:r/>
            <w:r>
              <w:rPr>
                <w:rFonts w:ascii="Arial" w:hAnsi="Arial" w:eastAsia="Arial"/>
                <w:b w:val="0"/>
                <w:sz w:val="15"/>
              </w:rPr>
              <w:t>Medium-low for nightly, high for monthly total</w:t>
            </w:r>
          </w:p>
        </w:tc>
        <w:tc>
          <w:tcPr>
            <w:tcW w:type="dxa" w:w="3672"/>
            <w:vAlign w:val="top"/>
          </w:tcPr>
          <w:p>
            <w:pPr>
              <w:spacing w:after="0"/>
            </w:pPr>
            <w:r/>
            <w:r>
              <w:rPr>
                <w:rFonts w:ascii="Arial" w:hAnsi="Arial" w:eastAsia="Arial"/>
                <w:b w:val="0"/>
                <w:sz w:val="15"/>
              </w:rPr>
              <w:t>Workspace, Wi-Fi, kitchen, laundry, quiet, utilities included.</w:t>
            </w:r>
          </w:p>
        </w:tc>
        <w:tc>
          <w:tcPr>
            <w:tcW w:type="dxa" w:w="3168"/>
            <w:vAlign w:val="top"/>
          </w:tcPr>
          <w:p>
            <w:pPr>
              <w:spacing w:after="0"/>
            </w:pPr>
            <w:r/>
            <w:r>
              <w:rPr>
                <w:rFonts w:ascii="Arial" w:hAnsi="Arial" w:eastAsia="Arial"/>
                <w:b w:val="0"/>
                <w:sz w:val="15"/>
              </w:rPr>
              <w:t>Use 28+ night discounts but preserve margin; screen local laws and tax rules.</w:t>
            </w:r>
          </w:p>
        </w:tc>
      </w:tr>
      <w:tr>
        <w:tc>
          <w:tcPr>
            <w:tcW w:type="dxa" w:w="2232"/>
            <w:vAlign w:val="top"/>
          </w:tcPr>
          <w:p>
            <w:pPr>
              <w:spacing w:after="0"/>
            </w:pPr>
            <w:r/>
            <w:r>
              <w:rPr>
                <w:rFonts w:ascii="Arial" w:hAnsi="Arial" w:eastAsia="Arial"/>
                <w:b w:val="0"/>
                <w:sz w:val="15"/>
              </w:rPr>
              <w:t>Business/conference</w:t>
            </w:r>
          </w:p>
        </w:tc>
        <w:tc>
          <w:tcPr>
            <w:tcW w:type="dxa" w:w="1584"/>
            <w:vAlign w:val="top"/>
          </w:tcPr>
          <w:p>
            <w:pPr>
              <w:spacing w:after="0"/>
            </w:pPr>
            <w:r/>
            <w:r>
              <w:rPr>
                <w:rFonts w:ascii="Arial" w:hAnsi="Arial" w:eastAsia="Arial"/>
                <w:b w:val="0"/>
                <w:sz w:val="15"/>
              </w:rPr>
              <w:t>Medium</w:t>
            </w:r>
          </w:p>
        </w:tc>
        <w:tc>
          <w:tcPr>
            <w:tcW w:type="dxa" w:w="3672"/>
            <w:vAlign w:val="top"/>
          </w:tcPr>
          <w:p>
            <w:pPr>
              <w:spacing w:after="0"/>
            </w:pPr>
            <w:r/>
            <w:r>
              <w:rPr>
                <w:rFonts w:ascii="Arial" w:hAnsi="Arial" w:eastAsia="Arial"/>
                <w:b w:val="0"/>
                <w:sz w:val="15"/>
              </w:rPr>
              <w:t>Proximity, reliability, self-check-in, receipts, fast Wi-Fi.</w:t>
            </w:r>
          </w:p>
        </w:tc>
        <w:tc>
          <w:tcPr>
            <w:tcW w:type="dxa" w:w="3168"/>
            <w:vAlign w:val="top"/>
          </w:tcPr>
          <w:p>
            <w:pPr>
              <w:spacing w:after="0"/>
            </w:pPr>
            <w:r/>
            <w:r>
              <w:rPr>
                <w:rFonts w:ascii="Arial" w:hAnsi="Arial" w:eastAsia="Arial"/>
                <w:b w:val="0"/>
                <w:sz w:val="15"/>
              </w:rPr>
              <w:t>Hold midweek rates during conferences; flexible LOS; compare to hotels.</w:t>
            </w:r>
          </w:p>
        </w:tc>
      </w:tr>
      <w:tr>
        <w:tc>
          <w:tcPr>
            <w:tcW w:type="dxa" w:w="2232"/>
            <w:vAlign w:val="top"/>
          </w:tcPr>
          <w:p>
            <w:pPr>
              <w:spacing w:after="0"/>
            </w:pPr>
            <w:r/>
            <w:r>
              <w:rPr>
                <w:rFonts w:ascii="Arial" w:hAnsi="Arial" w:eastAsia="Arial"/>
                <w:b w:val="0"/>
                <w:sz w:val="15"/>
              </w:rPr>
              <w:t>Luxury traveler</w:t>
            </w:r>
          </w:p>
        </w:tc>
        <w:tc>
          <w:tcPr>
            <w:tcW w:type="dxa" w:w="1584"/>
            <w:vAlign w:val="top"/>
          </w:tcPr>
          <w:p>
            <w:pPr>
              <w:spacing w:after="0"/>
            </w:pPr>
            <w:r/>
            <w:r>
              <w:rPr>
                <w:rFonts w:ascii="Arial" w:hAnsi="Arial" w:eastAsia="Arial"/>
                <w:b w:val="0"/>
                <w:sz w:val="15"/>
              </w:rPr>
              <w:t>Low, but high expectations</w:t>
            </w:r>
          </w:p>
        </w:tc>
        <w:tc>
          <w:tcPr>
            <w:tcW w:type="dxa" w:w="3672"/>
            <w:vAlign w:val="top"/>
          </w:tcPr>
          <w:p>
            <w:pPr>
              <w:spacing w:after="0"/>
            </w:pPr>
            <w:r/>
            <w:r>
              <w:rPr>
                <w:rFonts w:ascii="Arial" w:hAnsi="Arial" w:eastAsia="Arial"/>
                <w:b w:val="0"/>
                <w:sz w:val="15"/>
              </w:rPr>
              <w:t>Privacy, design, service, amenities, accuracy, exclusivity.</w:t>
            </w:r>
          </w:p>
        </w:tc>
        <w:tc>
          <w:tcPr>
            <w:tcW w:type="dxa" w:w="3168"/>
            <w:vAlign w:val="top"/>
          </w:tcPr>
          <w:p>
            <w:pPr>
              <w:spacing w:after="0"/>
            </w:pPr>
            <w:r/>
            <w:r>
              <w:rPr>
                <w:rFonts w:ascii="Arial" w:hAnsi="Arial" w:eastAsia="Arial"/>
                <w:b w:val="0"/>
                <w:sz w:val="15"/>
              </w:rPr>
              <w:t>Premium price only with impeccable execution; avoid last-minute deep discounts that damage brand.</w:t>
            </w:r>
          </w:p>
        </w:tc>
      </w:tr>
    </w:tbl>
    <w:p>
      <w:pPr>
        <w:pStyle w:val="Small"/>
      </w:pPr>
    </w:p>
    <w:p>
      <w:pPr>
        <w:pStyle w:val="Heading2"/>
      </w:pPr>
      <w:r>
        <w:t>5.2 Demand states</w:t>
      </w:r>
    </w:p>
    <w:p>
      <w:r>
        <w:t>Classify every date into a demand state before applying price. Demand states should reflect season, day-of-week, booking curve, event calendar, comp-set availability, and regulations. A simple five-level model is sufficient for most hosts.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shd w:fill="1F4E79"/>
            <w:vAlign w:val="center"/>
          </w:tcPr>
          <w:p>
            <w:pPr>
              <w:spacing w:after="0"/>
            </w:pPr>
            <w:r/>
            <w:r>
              <w:rPr>
                <w:rFonts w:ascii="Arial" w:hAnsi="Arial" w:eastAsia="Arial"/>
                <w:b/>
                <w:color w:val="FFFFFF"/>
                <w:sz w:val="15"/>
              </w:rPr>
              <w:t>Demand state</w:t>
            </w:r>
          </w:p>
        </w:tc>
        <w:tc>
          <w:tcPr>
            <w:tcW w:type="dxa" w:w="3888"/>
            <w:shd w:fill="1F4E79"/>
            <w:vAlign w:val="center"/>
          </w:tcPr>
          <w:p>
            <w:pPr>
              <w:spacing w:after="0"/>
            </w:pPr>
            <w:r/>
            <w:r>
              <w:rPr>
                <w:rFonts w:ascii="Arial" w:hAnsi="Arial" w:eastAsia="Arial"/>
                <w:b/>
                <w:color w:val="FFFFFF"/>
                <w:sz w:val="15"/>
              </w:rPr>
              <w:t>Description</w:t>
            </w:r>
          </w:p>
        </w:tc>
        <w:tc>
          <w:tcPr>
            <w:tcW w:type="dxa" w:w="2952"/>
            <w:shd w:fill="1F4E79"/>
            <w:vAlign w:val="center"/>
          </w:tcPr>
          <w:p>
            <w:pPr>
              <w:spacing w:after="0"/>
            </w:pPr>
            <w:r/>
            <w:r>
              <w:rPr>
                <w:rFonts w:ascii="Arial" w:hAnsi="Arial" w:eastAsia="Arial"/>
                <w:b/>
                <w:color w:val="FFFFFF"/>
                <w:sz w:val="15"/>
              </w:rPr>
              <w:t>Rate action</w:t>
            </w:r>
          </w:p>
        </w:tc>
        <w:tc>
          <w:tcPr>
            <w:tcW w:type="dxa" w:w="1872"/>
            <w:shd w:fill="1F4E79"/>
            <w:vAlign w:val="center"/>
          </w:tcPr>
          <w:p>
            <w:pPr>
              <w:spacing w:after="0"/>
            </w:pPr>
            <w:r/>
            <w:r>
              <w:rPr>
                <w:rFonts w:ascii="Arial" w:hAnsi="Arial" w:eastAsia="Arial"/>
                <w:b/>
                <w:color w:val="FFFFFF"/>
                <w:sz w:val="15"/>
              </w:rPr>
              <w:t>LOS action</w:t>
            </w:r>
          </w:p>
        </w:tc>
      </w:tr>
      <w:tr>
        <w:tc>
          <w:tcPr>
            <w:tcW w:type="dxa" w:w="2088"/>
            <w:vAlign w:val="top"/>
          </w:tcPr>
          <w:p>
            <w:pPr>
              <w:spacing w:after="0"/>
            </w:pPr>
            <w:r/>
            <w:r>
              <w:rPr>
                <w:rFonts w:ascii="Arial" w:hAnsi="Arial" w:eastAsia="Arial"/>
                <w:b w:val="0"/>
                <w:sz w:val="15"/>
              </w:rPr>
              <w:t>D1 - Distressed</w:t>
            </w:r>
          </w:p>
        </w:tc>
        <w:tc>
          <w:tcPr>
            <w:tcW w:type="dxa" w:w="3888"/>
            <w:vAlign w:val="top"/>
          </w:tcPr>
          <w:p>
            <w:pPr>
              <w:spacing w:after="0"/>
            </w:pPr>
            <w:r/>
            <w:r>
              <w:rPr>
                <w:rFonts w:ascii="Arial" w:hAnsi="Arial" w:eastAsia="Arial"/>
                <w:b w:val="0"/>
                <w:sz w:val="15"/>
              </w:rPr>
              <w:t>Low demand, soft comps, near arrival, no event, gaps likely.</w:t>
            </w:r>
          </w:p>
        </w:tc>
        <w:tc>
          <w:tcPr>
            <w:tcW w:type="dxa" w:w="2952"/>
            <w:vAlign w:val="top"/>
          </w:tcPr>
          <w:p>
            <w:pPr>
              <w:spacing w:after="0"/>
            </w:pPr>
            <w:r/>
            <w:r>
              <w:rPr>
                <w:rFonts w:ascii="Arial" w:hAnsi="Arial" w:eastAsia="Arial"/>
                <w:b w:val="0"/>
                <w:sz w:val="15"/>
              </w:rPr>
              <w:t>10-30% below base or value-positioned; protect variable-cost floor.</w:t>
            </w:r>
          </w:p>
        </w:tc>
        <w:tc>
          <w:tcPr>
            <w:tcW w:type="dxa" w:w="1872"/>
            <w:vAlign w:val="top"/>
          </w:tcPr>
          <w:p>
            <w:pPr>
              <w:spacing w:after="0"/>
            </w:pPr>
            <w:r/>
            <w:r>
              <w:rPr>
                <w:rFonts w:ascii="Arial" w:hAnsi="Arial" w:eastAsia="Arial"/>
                <w:b w:val="0"/>
                <w:sz w:val="15"/>
              </w:rPr>
              <w:t>Relax min stay; open 1-night if operationally acceptable.</w:t>
            </w:r>
          </w:p>
        </w:tc>
      </w:tr>
      <w:tr>
        <w:tc>
          <w:tcPr>
            <w:tcW w:type="dxa" w:w="2088"/>
            <w:vAlign w:val="top"/>
          </w:tcPr>
          <w:p>
            <w:pPr>
              <w:spacing w:after="0"/>
            </w:pPr>
            <w:r/>
            <w:r>
              <w:rPr>
                <w:rFonts w:ascii="Arial" w:hAnsi="Arial" w:eastAsia="Arial"/>
                <w:b w:val="0"/>
                <w:sz w:val="15"/>
              </w:rPr>
              <w:t>D2 - Low/shoulder</w:t>
            </w:r>
          </w:p>
        </w:tc>
        <w:tc>
          <w:tcPr>
            <w:tcW w:type="dxa" w:w="3888"/>
            <w:vAlign w:val="top"/>
          </w:tcPr>
          <w:p>
            <w:pPr>
              <w:spacing w:after="0"/>
            </w:pPr>
            <w:r/>
            <w:r>
              <w:rPr>
                <w:rFonts w:ascii="Arial" w:hAnsi="Arial" w:eastAsia="Arial"/>
                <w:b w:val="0"/>
                <w:sz w:val="15"/>
              </w:rPr>
              <w:t>Normal off-season or weak weekday.</w:t>
            </w:r>
          </w:p>
        </w:tc>
        <w:tc>
          <w:tcPr>
            <w:tcW w:type="dxa" w:w="2952"/>
            <w:vAlign w:val="top"/>
          </w:tcPr>
          <w:p>
            <w:pPr>
              <w:spacing w:after="0"/>
            </w:pPr>
            <w:r/>
            <w:r>
              <w:rPr>
                <w:rFonts w:ascii="Arial" w:hAnsi="Arial" w:eastAsia="Arial"/>
                <w:b w:val="0"/>
                <w:sz w:val="15"/>
              </w:rPr>
              <w:t>0-15% below base; use targeted promotions.</w:t>
            </w:r>
          </w:p>
        </w:tc>
        <w:tc>
          <w:tcPr>
            <w:tcW w:type="dxa" w:w="1872"/>
            <w:vAlign w:val="top"/>
          </w:tcPr>
          <w:p>
            <w:pPr>
              <w:spacing w:after="0"/>
            </w:pPr>
            <w:r/>
            <w:r>
              <w:rPr>
                <w:rFonts w:ascii="Arial" w:hAnsi="Arial" w:eastAsia="Arial"/>
                <w:b w:val="0"/>
                <w:sz w:val="15"/>
              </w:rPr>
              <w:t>2-night default; gap rules.</w:t>
            </w:r>
          </w:p>
        </w:tc>
      </w:tr>
      <w:tr>
        <w:tc>
          <w:tcPr>
            <w:tcW w:type="dxa" w:w="2088"/>
            <w:vAlign w:val="top"/>
          </w:tcPr>
          <w:p>
            <w:pPr>
              <w:spacing w:after="0"/>
            </w:pPr>
            <w:r/>
            <w:r>
              <w:rPr>
                <w:rFonts w:ascii="Arial" w:hAnsi="Arial" w:eastAsia="Arial"/>
                <w:b w:val="0"/>
                <w:sz w:val="15"/>
              </w:rPr>
              <w:t>D3 - Normal</w:t>
            </w:r>
          </w:p>
        </w:tc>
        <w:tc>
          <w:tcPr>
            <w:tcW w:type="dxa" w:w="3888"/>
            <w:vAlign w:val="top"/>
          </w:tcPr>
          <w:p>
            <w:pPr>
              <w:spacing w:after="0"/>
            </w:pPr>
            <w:r/>
            <w:r>
              <w:rPr>
                <w:rFonts w:ascii="Arial" w:hAnsi="Arial" w:eastAsia="Arial"/>
                <w:b w:val="0"/>
                <w:sz w:val="15"/>
              </w:rPr>
              <w:t>Expected average demand and supply.</w:t>
            </w:r>
          </w:p>
        </w:tc>
        <w:tc>
          <w:tcPr>
            <w:tcW w:type="dxa" w:w="2952"/>
            <w:vAlign w:val="top"/>
          </w:tcPr>
          <w:p>
            <w:pPr>
              <w:spacing w:after="0"/>
            </w:pPr>
            <w:r/>
            <w:r>
              <w:rPr>
                <w:rFonts w:ascii="Arial" w:hAnsi="Arial" w:eastAsia="Arial"/>
                <w:b w:val="0"/>
                <w:sz w:val="15"/>
              </w:rPr>
              <w:t>Base price plus day-of-week adjustment.</w:t>
            </w:r>
          </w:p>
        </w:tc>
        <w:tc>
          <w:tcPr>
            <w:tcW w:type="dxa" w:w="1872"/>
            <w:vAlign w:val="top"/>
          </w:tcPr>
          <w:p>
            <w:pPr>
              <w:spacing w:after="0"/>
            </w:pPr>
            <w:r/>
            <w:r>
              <w:rPr>
                <w:rFonts w:ascii="Arial" w:hAnsi="Arial" w:eastAsia="Arial"/>
                <w:b w:val="0"/>
                <w:sz w:val="15"/>
              </w:rPr>
              <w:t>2-3 nights depending market.</w:t>
            </w:r>
          </w:p>
        </w:tc>
      </w:tr>
      <w:tr>
        <w:tc>
          <w:tcPr>
            <w:tcW w:type="dxa" w:w="2088"/>
            <w:vAlign w:val="top"/>
          </w:tcPr>
          <w:p>
            <w:pPr>
              <w:spacing w:after="0"/>
            </w:pPr>
            <w:r/>
            <w:r>
              <w:rPr>
                <w:rFonts w:ascii="Arial" w:hAnsi="Arial" w:eastAsia="Arial"/>
                <w:b w:val="0"/>
                <w:sz w:val="15"/>
              </w:rPr>
              <w:t>D4 - High</w:t>
            </w:r>
          </w:p>
        </w:tc>
        <w:tc>
          <w:tcPr>
            <w:tcW w:type="dxa" w:w="3888"/>
            <w:vAlign w:val="top"/>
          </w:tcPr>
          <w:p>
            <w:pPr>
              <w:spacing w:after="0"/>
            </w:pPr>
            <w:r/>
            <w:r>
              <w:rPr>
                <w:rFonts w:ascii="Arial" w:hAnsi="Arial" w:eastAsia="Arial"/>
                <w:b w:val="0"/>
                <w:sz w:val="15"/>
              </w:rPr>
              <w:t>Peak season/weekend, strong pickup, holiday, limited substitutes.</w:t>
            </w:r>
          </w:p>
        </w:tc>
        <w:tc>
          <w:tcPr>
            <w:tcW w:type="dxa" w:w="2952"/>
            <w:vAlign w:val="top"/>
          </w:tcPr>
          <w:p>
            <w:pPr>
              <w:spacing w:after="0"/>
            </w:pPr>
            <w:r/>
            <w:r>
              <w:rPr>
                <w:rFonts w:ascii="Arial" w:hAnsi="Arial" w:eastAsia="Arial"/>
                <w:b w:val="0"/>
                <w:sz w:val="15"/>
              </w:rPr>
              <w:t>10-45% above base depending market.</w:t>
            </w:r>
          </w:p>
        </w:tc>
        <w:tc>
          <w:tcPr>
            <w:tcW w:type="dxa" w:w="1872"/>
            <w:vAlign w:val="top"/>
          </w:tcPr>
          <w:p>
            <w:pPr>
              <w:spacing w:after="0"/>
            </w:pPr>
            <w:r/>
            <w:r>
              <w:rPr>
                <w:rFonts w:ascii="Arial" w:hAnsi="Arial" w:eastAsia="Arial"/>
                <w:b w:val="0"/>
                <w:sz w:val="15"/>
              </w:rPr>
              <w:t>2-5 nights; tighten check-in/out as needed.</w:t>
            </w:r>
          </w:p>
        </w:tc>
      </w:tr>
      <w:tr>
        <w:tc>
          <w:tcPr>
            <w:tcW w:type="dxa" w:w="2088"/>
            <w:vAlign w:val="top"/>
          </w:tcPr>
          <w:p>
            <w:pPr>
              <w:spacing w:after="0"/>
            </w:pPr>
            <w:r/>
            <w:r>
              <w:rPr>
                <w:rFonts w:ascii="Arial" w:hAnsi="Arial" w:eastAsia="Arial"/>
                <w:b w:val="0"/>
                <w:sz w:val="15"/>
              </w:rPr>
              <w:t>D5 - Compression/event</w:t>
            </w:r>
          </w:p>
        </w:tc>
        <w:tc>
          <w:tcPr>
            <w:tcW w:type="dxa" w:w="3888"/>
            <w:vAlign w:val="top"/>
          </w:tcPr>
          <w:p>
            <w:pPr>
              <w:spacing w:after="0"/>
            </w:pPr>
            <w:r/>
            <w:r>
              <w:rPr>
                <w:rFonts w:ascii="Arial" w:hAnsi="Arial" w:eastAsia="Arial"/>
                <w:b w:val="0"/>
                <w:sz w:val="15"/>
              </w:rPr>
              <w:t>Confirmed major event or scarcity; comp set materially booked.</w:t>
            </w:r>
          </w:p>
        </w:tc>
        <w:tc>
          <w:tcPr>
            <w:tcW w:type="dxa" w:w="2952"/>
            <w:vAlign w:val="top"/>
          </w:tcPr>
          <w:p>
            <w:pPr>
              <w:spacing w:after="0"/>
            </w:pPr>
            <w:r/>
            <w:r>
              <w:rPr>
                <w:rFonts w:ascii="Arial" w:hAnsi="Arial" w:eastAsia="Arial"/>
                <w:b w:val="0"/>
                <w:sz w:val="15"/>
              </w:rPr>
              <w:t>40-200%+ above base, calibrated to available substitutes.</w:t>
            </w:r>
          </w:p>
        </w:tc>
        <w:tc>
          <w:tcPr>
            <w:tcW w:type="dxa" w:w="1872"/>
            <w:vAlign w:val="top"/>
          </w:tcPr>
          <w:p>
            <w:pPr>
              <w:spacing w:after="0"/>
            </w:pPr>
            <w:r/>
            <w:r>
              <w:rPr>
                <w:rFonts w:ascii="Arial" w:hAnsi="Arial" w:eastAsia="Arial"/>
                <w:b w:val="0"/>
                <w:sz w:val="15"/>
              </w:rPr>
              <w:t>3-7 nights; no last-minute discount until compression is reassessed.</w:t>
            </w:r>
          </w:p>
        </w:tc>
      </w:tr>
    </w:tbl>
    <w:p>
      <w:pPr>
        <w:pStyle w:val="Small"/>
      </w:pPr>
    </w:p>
    <w:p>
      <w:pPr>
        <w:pStyle w:val="Heading2"/>
      </w:pPr>
      <w:r>
        <w:t>5.3 US travel macro context</w:t>
      </w:r>
    </w:p>
    <w:p>
      <w:r>
        <w:t>The U.S. Travel Association expects domestic travel to account for the bulk of 2026 spending and notes that travelers are responding to inflation by shifting toward shorter-duration and lower-cost trips, including regional and drive markets [I5]. For Airbnb hosts, this means two concurrent realities. Well-positioned group and drive-to listings can remain strong because they offer per-person value. Generic listings without differentiation may face price resistance, especially when cleaning and platform fees make short stays look expensive.</w:t>
      </w:r>
    </w:p>
    <w:p>
      <w:r>
        <w:t>In practice, the revenue manager should separate inflation-driven nominal price increases from true pricing power. If ADR rises only because costs have risen while occupancy and conversion weaken, the listing may not have gained pricing power. A stronger test is whether it can maintain or improve RevPAR while keeping review quality stable. If not, improve product quality or adjust total price.</w:t>
      </w:r>
    </w:p>
    <w:p>
      <w:r>
        <w:br w:type="page"/>
      </w:r>
    </w:p>
    <w:p>
      <w:pPr>
        <w:pStyle w:val="Heading1"/>
      </w:pPr>
      <w:r>
        <w:t>6. Room and Property Type Pricing Architecture</w:t>
      </w:r>
    </w:p>
    <w:p>
      <w:r>
        <w:t>Property type is one of the strongest determinants of Airbnb pricing. Capacity, bed configuration, privacy, amenities, and use case drive willingness to pay. A professional manual should not price a private room, a one-bedroom apartment, a four-bedroom vacation home, and a luxury beachfront estate with the same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1F4E79"/>
            <w:vAlign w:val="center"/>
          </w:tcPr>
          <w:p>
            <w:pPr>
              <w:spacing w:after="0"/>
            </w:pPr>
            <w:r/>
            <w:r>
              <w:rPr>
                <w:rFonts w:ascii="Arial" w:hAnsi="Arial" w:eastAsia="Arial"/>
                <w:b/>
                <w:color w:val="FFFFFF"/>
                <w:sz w:val="14"/>
              </w:rPr>
              <w:t>Room/property type</w:t>
            </w:r>
          </w:p>
        </w:tc>
        <w:tc>
          <w:tcPr>
            <w:tcW w:type="dxa" w:w="2664"/>
            <w:shd w:fill="1F4E79"/>
            <w:vAlign w:val="center"/>
          </w:tcPr>
          <w:p>
            <w:pPr>
              <w:spacing w:after="0"/>
            </w:pPr>
            <w:r/>
            <w:r>
              <w:rPr>
                <w:rFonts w:ascii="Arial" w:hAnsi="Arial" w:eastAsia="Arial"/>
                <w:b/>
                <w:color w:val="FFFFFF"/>
                <w:sz w:val="14"/>
              </w:rPr>
              <w:t>Primary demand</w:t>
            </w:r>
          </w:p>
        </w:tc>
        <w:tc>
          <w:tcPr>
            <w:tcW w:type="dxa" w:w="3600"/>
            <w:shd w:fill="1F4E79"/>
            <w:vAlign w:val="center"/>
          </w:tcPr>
          <w:p>
            <w:pPr>
              <w:spacing w:after="0"/>
            </w:pPr>
            <w:r/>
            <w:r>
              <w:rPr>
                <w:rFonts w:ascii="Arial" w:hAnsi="Arial" w:eastAsia="Arial"/>
                <w:b/>
                <w:color w:val="FFFFFF"/>
                <w:sz w:val="14"/>
              </w:rPr>
              <w:t>Pricing architecture</w:t>
            </w:r>
          </w:p>
        </w:tc>
        <w:tc>
          <w:tcPr>
            <w:tcW w:type="dxa" w:w="2376"/>
            <w:shd w:fill="1F4E79"/>
            <w:vAlign w:val="center"/>
          </w:tcPr>
          <w:p>
            <w:pPr>
              <w:spacing w:after="0"/>
            </w:pPr>
            <w:r/>
            <w:r>
              <w:rPr>
                <w:rFonts w:ascii="Arial" w:hAnsi="Arial" w:eastAsia="Arial"/>
                <w:b/>
                <w:color w:val="FFFFFF"/>
                <w:sz w:val="14"/>
              </w:rPr>
              <w:t>Controls</w:t>
            </w:r>
          </w:p>
        </w:tc>
      </w:tr>
      <w:tr>
        <w:tc>
          <w:tcPr>
            <w:tcW w:type="dxa" w:w="2160"/>
            <w:vAlign w:val="top"/>
          </w:tcPr>
          <w:p>
            <w:pPr>
              <w:spacing w:after="0"/>
            </w:pPr>
            <w:r/>
            <w:r>
              <w:rPr>
                <w:rFonts w:ascii="Arial" w:hAnsi="Arial" w:eastAsia="Arial"/>
                <w:b w:val="0"/>
                <w:sz w:val="14"/>
              </w:rPr>
              <w:t>Private room / shared home</w:t>
            </w:r>
          </w:p>
        </w:tc>
        <w:tc>
          <w:tcPr>
            <w:tcW w:type="dxa" w:w="2664"/>
            <w:vAlign w:val="top"/>
          </w:tcPr>
          <w:p>
            <w:pPr>
              <w:spacing w:after="0"/>
            </w:pPr>
            <w:r/>
            <w:r>
              <w:rPr>
                <w:rFonts w:ascii="Arial" w:hAnsi="Arial" w:eastAsia="Arial"/>
                <w:b w:val="0"/>
                <w:sz w:val="14"/>
              </w:rPr>
              <w:t>Solo travelers, students, budget tourists, visiting family.</w:t>
            </w:r>
          </w:p>
        </w:tc>
        <w:tc>
          <w:tcPr>
            <w:tcW w:type="dxa" w:w="3600"/>
            <w:vAlign w:val="top"/>
          </w:tcPr>
          <w:p>
            <w:pPr>
              <w:spacing w:after="0"/>
            </w:pPr>
            <w:r/>
            <w:r>
              <w:rPr>
                <w:rFonts w:ascii="Arial" w:hAnsi="Arial" w:eastAsia="Arial"/>
                <w:b w:val="0"/>
                <w:sz w:val="14"/>
              </w:rPr>
              <w:t>Start at 35th-50th percentile of local private-room comps; compete on total price and trust.</w:t>
            </w:r>
          </w:p>
        </w:tc>
        <w:tc>
          <w:tcPr>
            <w:tcW w:type="dxa" w:w="2376"/>
            <w:vAlign w:val="top"/>
          </w:tcPr>
          <w:p>
            <w:pPr>
              <w:spacing w:after="0"/>
            </w:pPr>
            <w:r/>
            <w:r>
              <w:rPr>
                <w:rFonts w:ascii="Arial" w:hAnsi="Arial" w:eastAsia="Arial"/>
                <w:b w:val="0"/>
                <w:sz w:val="14"/>
              </w:rPr>
              <w:t>Minimal cleaning fee; flexible cancellation; 1-2 night stays; strong house rules.</w:t>
            </w:r>
          </w:p>
        </w:tc>
      </w:tr>
      <w:tr>
        <w:tc>
          <w:tcPr>
            <w:tcW w:type="dxa" w:w="2160"/>
            <w:vAlign w:val="top"/>
          </w:tcPr>
          <w:p>
            <w:pPr>
              <w:spacing w:after="0"/>
            </w:pPr>
            <w:r/>
            <w:r>
              <w:rPr>
                <w:rFonts w:ascii="Arial" w:hAnsi="Arial" w:eastAsia="Arial"/>
                <w:b w:val="0"/>
                <w:sz w:val="14"/>
              </w:rPr>
              <w:t>Studio / 1BR apartment</w:t>
            </w:r>
          </w:p>
        </w:tc>
        <w:tc>
          <w:tcPr>
            <w:tcW w:type="dxa" w:w="2664"/>
            <w:vAlign w:val="top"/>
          </w:tcPr>
          <w:p>
            <w:pPr>
              <w:spacing w:after="0"/>
            </w:pPr>
            <w:r/>
            <w:r>
              <w:rPr>
                <w:rFonts w:ascii="Arial" w:hAnsi="Arial" w:eastAsia="Arial"/>
                <w:b w:val="0"/>
                <w:sz w:val="14"/>
              </w:rPr>
              <w:t>Couples, solo business, remote workers, city breaks.</w:t>
            </w:r>
          </w:p>
        </w:tc>
        <w:tc>
          <w:tcPr>
            <w:tcW w:type="dxa" w:w="3600"/>
            <w:vAlign w:val="top"/>
          </w:tcPr>
          <w:p>
            <w:pPr>
              <w:spacing w:after="0"/>
            </w:pPr>
            <w:r/>
            <w:r>
              <w:rPr>
                <w:rFonts w:ascii="Arial" w:hAnsi="Arial" w:eastAsia="Arial"/>
                <w:b w:val="0"/>
                <w:sz w:val="14"/>
              </w:rPr>
              <w:t>Use hotel and apartment comps; weekday/weekend spread of 5-25% depending market.</w:t>
            </w:r>
          </w:p>
        </w:tc>
        <w:tc>
          <w:tcPr>
            <w:tcW w:type="dxa" w:w="2376"/>
            <w:vAlign w:val="top"/>
          </w:tcPr>
          <w:p>
            <w:pPr>
              <w:spacing w:after="0"/>
            </w:pPr>
            <w:r/>
            <w:r>
              <w:rPr>
                <w:rFonts w:ascii="Arial" w:hAnsi="Arial" w:eastAsia="Arial"/>
                <w:b w:val="0"/>
                <w:sz w:val="14"/>
              </w:rPr>
              <w:t>Workspace/Wi-Fi premium; monthly pricing; watch cleaning fee for 1-2 nights.</w:t>
            </w:r>
          </w:p>
        </w:tc>
      </w:tr>
      <w:tr>
        <w:tc>
          <w:tcPr>
            <w:tcW w:type="dxa" w:w="2160"/>
            <w:vAlign w:val="top"/>
          </w:tcPr>
          <w:p>
            <w:pPr>
              <w:spacing w:after="0"/>
            </w:pPr>
            <w:r/>
            <w:r>
              <w:rPr>
                <w:rFonts w:ascii="Arial" w:hAnsi="Arial" w:eastAsia="Arial"/>
                <w:b w:val="0"/>
                <w:sz w:val="14"/>
              </w:rPr>
              <w:t>2BR condo / apartment</w:t>
            </w:r>
          </w:p>
        </w:tc>
        <w:tc>
          <w:tcPr>
            <w:tcW w:type="dxa" w:w="2664"/>
            <w:vAlign w:val="top"/>
          </w:tcPr>
          <w:p>
            <w:pPr>
              <w:spacing w:after="0"/>
            </w:pPr>
            <w:r/>
            <w:r>
              <w:rPr>
                <w:rFonts w:ascii="Arial" w:hAnsi="Arial" w:eastAsia="Arial"/>
                <w:b w:val="0"/>
                <w:sz w:val="14"/>
              </w:rPr>
              <w:t>Small families, two couples, medical/relocation, theme-park trips.</w:t>
            </w:r>
          </w:p>
        </w:tc>
        <w:tc>
          <w:tcPr>
            <w:tcW w:type="dxa" w:w="3600"/>
            <w:vAlign w:val="top"/>
          </w:tcPr>
          <w:p>
            <w:pPr>
              <w:spacing w:after="0"/>
            </w:pPr>
            <w:r/>
            <w:r>
              <w:rPr>
                <w:rFonts w:ascii="Arial" w:hAnsi="Arial" w:eastAsia="Arial"/>
                <w:b w:val="0"/>
                <w:sz w:val="14"/>
              </w:rPr>
              <w:t>Position by capacity and parking; premium over 1BR should reflect actual sleeping privacy.</w:t>
            </w:r>
          </w:p>
        </w:tc>
        <w:tc>
          <w:tcPr>
            <w:tcW w:type="dxa" w:w="2376"/>
            <w:vAlign w:val="top"/>
          </w:tcPr>
          <w:p>
            <w:pPr>
              <w:spacing w:after="0"/>
            </w:pPr>
            <w:r/>
            <w:r>
              <w:rPr>
                <w:rFonts w:ascii="Arial" w:hAnsi="Arial" w:eastAsia="Arial"/>
                <w:b w:val="0"/>
                <w:sz w:val="14"/>
              </w:rPr>
              <w:t>Weekly discount 5-12%; family amenities; flexible shoulder LOS.</w:t>
            </w:r>
          </w:p>
        </w:tc>
      </w:tr>
      <w:tr>
        <w:tc>
          <w:tcPr>
            <w:tcW w:type="dxa" w:w="2160"/>
            <w:vAlign w:val="top"/>
          </w:tcPr>
          <w:p>
            <w:pPr>
              <w:spacing w:after="0"/>
            </w:pPr>
            <w:r/>
            <w:r>
              <w:rPr>
                <w:rFonts w:ascii="Arial" w:hAnsi="Arial" w:eastAsia="Arial"/>
                <w:b w:val="0"/>
                <w:sz w:val="14"/>
              </w:rPr>
              <w:t>3BR house</w:t>
            </w:r>
          </w:p>
        </w:tc>
        <w:tc>
          <w:tcPr>
            <w:tcW w:type="dxa" w:w="2664"/>
            <w:vAlign w:val="top"/>
          </w:tcPr>
          <w:p>
            <w:pPr>
              <w:spacing w:after="0"/>
            </w:pPr>
            <w:r/>
            <w:r>
              <w:rPr>
                <w:rFonts w:ascii="Arial" w:hAnsi="Arial" w:eastAsia="Arial"/>
                <w:b w:val="0"/>
                <w:sz w:val="14"/>
              </w:rPr>
              <w:t>Families, friend groups, youth sports, wedding guests.</w:t>
            </w:r>
          </w:p>
        </w:tc>
        <w:tc>
          <w:tcPr>
            <w:tcW w:type="dxa" w:w="3600"/>
            <w:vAlign w:val="top"/>
          </w:tcPr>
          <w:p>
            <w:pPr>
              <w:spacing w:after="0"/>
            </w:pPr>
            <w:r/>
            <w:r>
              <w:rPr>
                <w:rFonts w:ascii="Arial" w:hAnsi="Arial" w:eastAsia="Arial"/>
                <w:b w:val="0"/>
                <w:sz w:val="14"/>
              </w:rPr>
              <w:t>Charge for group value; weekend premium 15-45%; event premium when comps sell.</w:t>
            </w:r>
          </w:p>
        </w:tc>
        <w:tc>
          <w:tcPr>
            <w:tcW w:type="dxa" w:w="2376"/>
            <w:vAlign w:val="top"/>
          </w:tcPr>
          <w:p>
            <w:pPr>
              <w:spacing w:after="0"/>
            </w:pPr>
            <w:r/>
            <w:r>
              <w:rPr>
                <w:rFonts w:ascii="Arial" w:hAnsi="Arial" w:eastAsia="Arial"/>
                <w:b w:val="0"/>
                <w:sz w:val="14"/>
              </w:rPr>
              <w:t>2-3 night min; gap-fill rules; pet fee if relevant.</w:t>
            </w:r>
          </w:p>
        </w:tc>
      </w:tr>
      <w:tr>
        <w:tc>
          <w:tcPr>
            <w:tcW w:type="dxa" w:w="2160"/>
            <w:vAlign w:val="top"/>
          </w:tcPr>
          <w:p>
            <w:pPr>
              <w:spacing w:after="0"/>
            </w:pPr>
            <w:r/>
            <w:r>
              <w:rPr>
                <w:rFonts w:ascii="Arial" w:hAnsi="Arial" w:eastAsia="Arial"/>
                <w:b w:val="0"/>
                <w:sz w:val="14"/>
              </w:rPr>
              <w:t>4+BR large home</w:t>
            </w:r>
          </w:p>
        </w:tc>
        <w:tc>
          <w:tcPr>
            <w:tcW w:type="dxa" w:w="2664"/>
            <w:vAlign w:val="top"/>
          </w:tcPr>
          <w:p>
            <w:pPr>
              <w:spacing w:after="0"/>
            </w:pPr>
            <w:r/>
            <w:r>
              <w:rPr>
                <w:rFonts w:ascii="Arial" w:hAnsi="Arial" w:eastAsia="Arial"/>
                <w:b w:val="0"/>
                <w:sz w:val="14"/>
              </w:rPr>
              <w:t>Large groups, reunions, bachelor/ette alternatives, holidays.</w:t>
            </w:r>
          </w:p>
        </w:tc>
        <w:tc>
          <w:tcPr>
            <w:tcW w:type="dxa" w:w="3600"/>
            <w:vAlign w:val="top"/>
          </w:tcPr>
          <w:p>
            <w:pPr>
              <w:spacing w:after="0"/>
            </w:pPr>
            <w:r/>
            <w:r>
              <w:rPr>
                <w:rFonts w:ascii="Arial" w:hAnsi="Arial" w:eastAsia="Arial"/>
                <w:b w:val="0"/>
                <w:sz w:val="14"/>
              </w:rPr>
              <w:t>Use per-person value and scarcity; do not price from bedroom average alone.</w:t>
            </w:r>
          </w:p>
        </w:tc>
        <w:tc>
          <w:tcPr>
            <w:tcW w:type="dxa" w:w="2376"/>
            <w:vAlign w:val="top"/>
          </w:tcPr>
          <w:p>
            <w:pPr>
              <w:spacing w:after="0"/>
            </w:pPr>
            <w:r/>
            <w:r>
              <w:rPr>
                <w:rFonts w:ascii="Arial" w:hAnsi="Arial" w:eastAsia="Arial"/>
                <w:b w:val="0"/>
                <w:sz w:val="14"/>
              </w:rPr>
              <w:t>Higher deposits if allowed, stricter rules, higher cleaning, 3-5 night min on peaks.</w:t>
            </w:r>
          </w:p>
        </w:tc>
      </w:tr>
      <w:tr>
        <w:tc>
          <w:tcPr>
            <w:tcW w:type="dxa" w:w="2160"/>
            <w:vAlign w:val="top"/>
          </w:tcPr>
          <w:p>
            <w:pPr>
              <w:spacing w:after="0"/>
            </w:pPr>
            <w:r/>
            <w:r>
              <w:rPr>
                <w:rFonts w:ascii="Arial" w:hAnsi="Arial" w:eastAsia="Arial"/>
                <w:b w:val="0"/>
                <w:sz w:val="14"/>
              </w:rPr>
              <w:t>Luxury villa / premium estate</w:t>
            </w:r>
          </w:p>
        </w:tc>
        <w:tc>
          <w:tcPr>
            <w:tcW w:type="dxa" w:w="2664"/>
            <w:vAlign w:val="top"/>
          </w:tcPr>
          <w:p>
            <w:pPr>
              <w:spacing w:after="0"/>
            </w:pPr>
            <w:r/>
            <w:r>
              <w:rPr>
                <w:rFonts w:ascii="Arial" w:hAnsi="Arial" w:eastAsia="Arial"/>
                <w:b w:val="0"/>
                <w:sz w:val="14"/>
              </w:rPr>
              <w:t>Affluent leisure, privacy, special occasions.</w:t>
            </w:r>
          </w:p>
        </w:tc>
        <w:tc>
          <w:tcPr>
            <w:tcW w:type="dxa" w:w="3600"/>
            <w:vAlign w:val="top"/>
          </w:tcPr>
          <w:p>
            <w:pPr>
              <w:spacing w:after="0"/>
            </w:pPr>
            <w:r/>
            <w:r>
              <w:rPr>
                <w:rFonts w:ascii="Arial" w:hAnsi="Arial" w:eastAsia="Arial"/>
                <w:b w:val="0"/>
                <w:sz w:val="14"/>
              </w:rPr>
              <w:t>Target premium or scarcity percentile only with design/service proof.</w:t>
            </w:r>
          </w:p>
        </w:tc>
        <w:tc>
          <w:tcPr>
            <w:tcW w:type="dxa" w:w="2376"/>
            <w:vAlign w:val="top"/>
          </w:tcPr>
          <w:p>
            <w:pPr>
              <w:spacing w:after="0"/>
            </w:pPr>
            <w:r/>
            <w:r>
              <w:rPr>
                <w:rFonts w:ascii="Arial" w:hAnsi="Arial" w:eastAsia="Arial"/>
                <w:b w:val="0"/>
                <w:sz w:val="14"/>
              </w:rPr>
              <w:t>Longer lead-time; no panic discounts; concierge-level accuracy.</w:t>
            </w:r>
          </w:p>
        </w:tc>
      </w:tr>
      <w:tr>
        <w:tc>
          <w:tcPr>
            <w:tcW w:type="dxa" w:w="2160"/>
            <w:vAlign w:val="top"/>
          </w:tcPr>
          <w:p>
            <w:pPr>
              <w:spacing w:after="0"/>
            </w:pPr>
            <w:r/>
            <w:r>
              <w:rPr>
                <w:rFonts w:ascii="Arial" w:hAnsi="Arial" w:eastAsia="Arial"/>
                <w:b w:val="0"/>
                <w:sz w:val="14"/>
              </w:rPr>
              <w:t>Unique stay</w:t>
            </w:r>
          </w:p>
        </w:tc>
        <w:tc>
          <w:tcPr>
            <w:tcW w:type="dxa" w:w="2664"/>
            <w:vAlign w:val="top"/>
          </w:tcPr>
          <w:p>
            <w:pPr>
              <w:spacing w:after="0"/>
            </w:pPr>
            <w:r/>
            <w:r>
              <w:rPr>
                <w:rFonts w:ascii="Arial" w:hAnsi="Arial" w:eastAsia="Arial"/>
                <w:b w:val="0"/>
                <w:sz w:val="14"/>
              </w:rPr>
              <w:t>Experience-seeking couples/families, content-driven travel.</w:t>
            </w:r>
          </w:p>
        </w:tc>
        <w:tc>
          <w:tcPr>
            <w:tcW w:type="dxa" w:w="3600"/>
            <w:vAlign w:val="top"/>
          </w:tcPr>
          <w:p>
            <w:pPr>
              <w:spacing w:after="0"/>
            </w:pPr>
            <w:r/>
            <w:r>
              <w:rPr>
                <w:rFonts w:ascii="Arial" w:hAnsi="Arial" w:eastAsia="Arial"/>
                <w:b w:val="0"/>
                <w:sz w:val="14"/>
              </w:rPr>
              <w:t>Price on uniqueness and reviews, not only square footage.</w:t>
            </w:r>
          </w:p>
        </w:tc>
        <w:tc>
          <w:tcPr>
            <w:tcW w:type="dxa" w:w="2376"/>
            <w:vAlign w:val="top"/>
          </w:tcPr>
          <w:p>
            <w:pPr>
              <w:spacing w:after="0"/>
            </w:pPr>
            <w:r/>
            <w:r>
              <w:rPr>
                <w:rFonts w:ascii="Arial" w:hAnsi="Arial" w:eastAsia="Arial"/>
                <w:b w:val="0"/>
                <w:sz w:val="14"/>
              </w:rPr>
              <w:t>Shorter stays can work; storytelling and photos are pricing assets.</w:t>
            </w:r>
          </w:p>
        </w:tc>
      </w:tr>
      <w:tr>
        <w:tc>
          <w:tcPr>
            <w:tcW w:type="dxa" w:w="2160"/>
            <w:vAlign w:val="top"/>
          </w:tcPr>
          <w:p>
            <w:pPr>
              <w:spacing w:after="0"/>
            </w:pPr>
            <w:r/>
            <w:r>
              <w:rPr>
                <w:rFonts w:ascii="Arial" w:hAnsi="Arial" w:eastAsia="Arial"/>
                <w:b w:val="0"/>
                <w:sz w:val="14"/>
              </w:rPr>
              <w:t>Monthly furnished rental</w:t>
            </w:r>
          </w:p>
        </w:tc>
        <w:tc>
          <w:tcPr>
            <w:tcW w:type="dxa" w:w="2664"/>
            <w:vAlign w:val="top"/>
          </w:tcPr>
          <w:p>
            <w:pPr>
              <w:spacing w:after="0"/>
            </w:pPr>
            <w:r/>
            <w:r>
              <w:rPr>
                <w:rFonts w:ascii="Arial" w:hAnsi="Arial" w:eastAsia="Arial"/>
                <w:b w:val="0"/>
                <w:sz w:val="14"/>
              </w:rPr>
              <w:t>Remote workers, relocation, insurance housing, internships.</w:t>
            </w:r>
          </w:p>
        </w:tc>
        <w:tc>
          <w:tcPr>
            <w:tcW w:type="dxa" w:w="3600"/>
            <w:vAlign w:val="top"/>
          </w:tcPr>
          <w:p>
            <w:pPr>
              <w:spacing w:after="0"/>
            </w:pPr>
            <w:r/>
            <w:r>
              <w:rPr>
                <w:rFonts w:ascii="Arial" w:hAnsi="Arial" w:eastAsia="Arial"/>
                <w:b w:val="0"/>
                <w:sz w:val="14"/>
              </w:rPr>
              <w:t>Price by monthly utility-adjusted total and local furnished alternatives.</w:t>
            </w:r>
          </w:p>
        </w:tc>
        <w:tc>
          <w:tcPr>
            <w:tcW w:type="dxa" w:w="2376"/>
            <w:vAlign w:val="top"/>
          </w:tcPr>
          <w:p>
            <w:pPr>
              <w:spacing w:after="0"/>
            </w:pPr>
            <w:r/>
            <w:r>
              <w:rPr>
                <w:rFonts w:ascii="Arial" w:hAnsi="Arial" w:eastAsia="Arial"/>
                <w:b w:val="0"/>
                <w:sz w:val="14"/>
              </w:rPr>
              <w:t>28+ night discounts 15-40%; legal/tax review required.</w:t>
            </w:r>
          </w:p>
        </w:tc>
      </w:tr>
    </w:tbl>
    <w:p>
      <w:pPr>
        <w:pStyle w:val="Small"/>
      </w:pPr>
    </w:p>
    <w:p>
      <w:pPr>
        <w:pStyle w:val="Heading2"/>
      </w:pPr>
      <w:r>
        <w:t>6.1 Private room and shared-home pricing</w:t>
      </w:r>
    </w:p>
    <w:p>
      <w:r>
        <w:t>Private rooms are the most price-sensitive category. They compete with hostels, budget hotels, micro-hotels, and other private rooms. Guests care about trust, safety, privacy, bathroom access, transit, Wi-Fi, and house rules. A private room usually cannot support heavy cleaning or extra fees. For a two-night guest, even a moderate cleaning fee can make the all-in price unattractive.</w:t>
      </w:r>
    </w:p>
    <w:p>
      <w:r>
        <w:t>Recommended strategy: price at the lower-to-middle private-room comp-set range until review count and safety/trust signals are strong. Use weekday value pricing and small weekend premiums in urban markets. If demand is weak, avoid broad discounting that brings poor-fit guests; instead, refine minimum stay, provide clear photos of bathroom/kitchen access, and improve listing accuracy. For shared spaces, review and complaint risk is high; do not push premium pricing unless the host experience is consistently excellent.</w:t>
      </w:r>
    </w:p>
    <w:p>
      <w:pPr>
        <w:pStyle w:val="Heading2"/>
      </w:pPr>
      <w:r>
        <w:t>6.2 Studio and one-bedroom pricing</w:t>
      </w:r>
    </w:p>
    <w:p>
      <w:r>
        <w:t>Studios and one-bedroom units are the Airbnb category most directly substitutable with hotels. The comp set should include comparable hotel rooms, extended-stay hotels, serviced apartments, and similar Airbnb units. Pricing power depends on kitchen/laundry, workspace, parking, neighborhood, design, and whether the guest needs privacy or home-like amenities.</w:t>
      </w:r>
    </w:p>
    <w:p>
      <w:r>
        <w:t>Recommended strategy: use a competitive base rate during weekdays and a stronger weekend premium in leisure-oriented neighborhoods. For business/conference cities, protect midweek rates during known conferences, but do not assume every convention compresses Airbnb demand. For monthly demand, use a separate monthly rate model because utilities, wear, cleaning turns, and local regulation change the economics. A 1BR in an expensive city may perform better as a 30+ night furnished stay if short-term regulations are restrictive.</w:t>
      </w:r>
    </w:p>
    <w:p>
      <w:pPr>
        <w:pStyle w:val="Heading2"/>
      </w:pPr>
      <w:r>
        <w:t>6.3 Two-bedroom family and small-group pricing</w:t>
      </w:r>
    </w:p>
    <w:p>
      <w:r>
        <w:t>Two-bedroom listings often carry strong value relative to hotels because they serve small families and two-couple trips. The pricing model should compare total trip cost against two hotel rooms, not against a single hotel room. However, the listing must deliver what the guest expects: enough beds, a real kitchen, laundry, parking when relevant, child-friendly features, and transparent fees.</w:t>
      </w:r>
    </w:p>
    <w:p>
      <w:r>
        <w:t>Recommended strategy: base price at the comp-set median if average, 55th-70th percentile if reviews/design/location are strong. Offer modest weekly discounts because longer family stays reduce turnover and cleaning friction. During school breaks and holidays, protect peak rates and consider 3-5 night minimums. During shoulder weekdays, reduce minimum stays and use targeted discounts rather than broad seasonal price cuts.</w:t>
      </w:r>
    </w:p>
    <w:p>
      <w:pPr>
        <w:pStyle w:val="Heading2"/>
      </w:pPr>
      <w:r>
        <w:t>6.4 Three-bedroom and larger home pricing</w:t>
      </w:r>
    </w:p>
    <w:p>
      <w:r>
        <w:t>Large homes should not be priced by comparing them to smaller homes on an ADR basis. Their value is per group and per person. A 4-bedroom home at $600 per night can be cheaper per person than multiple hotel rooms. For these homes, the revenue manager should model price per guest, bathroom count, parking, gathering space, and amenities that reduce group friction.</w:t>
      </w:r>
    </w:p>
    <w:p>
      <w:r>
        <w:t>Recommended strategy: set higher weekend and holiday premiums, maintain stricter house rules, and avoid undervaluing scarce large-home inventory during family holidays, wedding seasons, graduations, and youth sports tournaments. Minimum-stay controls are central. A one-night booking on a Saturday can destroy the value of a weekend. Use 2-3 night minimums for normal weekends, 3-5 nights for high-demand periods, and 5-7 nights for certain beach or lake peak weeks. Relax only to fill orphan gaps.</w:t>
      </w:r>
    </w:p>
    <w:p>
      <w:pPr>
        <w:pStyle w:val="Heading2"/>
      </w:pPr>
      <w:r>
        <w:t>6.5 Luxury and unique-stay pricing</w:t>
      </w:r>
    </w:p>
    <w:p>
      <w:r>
        <w:t>Luxury and unique stays have different demand curves. Guests may book earlier, expect stronger service, and compare against private villas, boutique hotels, and experiences rather than ordinary Airbnbs. However, luxury demand is not infinite. News coverage of high-end Hamptons rentals before major events shows that inflated expectations and supply growth can leave expensive homes vacant even when an event is nearby [N4].</w:t>
      </w:r>
    </w:p>
    <w:p>
      <w:r>
        <w:t>Recommended strategy: preserve brand and rate integrity, but validate against actual booked comps, not listing wish prices. For luxury, an unbooked competitor at $2,000 is not evidence that your $1,800 price is safe. Use booked-rate evidence, inquiry quality, and available supply. If discounting becomes necessary, package value rather than visibly cutting nightly price: add mid-stay clean, late checkout when feasible, or concierge coordination. Avoid cheap last-minute offers that bring mismatch risk.</w:t>
      </w:r>
    </w:p>
    <w:p>
      <w:pPr>
        <w:pStyle w:val="Heading2"/>
      </w:pPr>
      <w:r>
        <w:t>6.6 Monthly and medium-term pricing</w:t>
      </w:r>
    </w:p>
    <w:p>
      <w:r>
        <w:t>Monthly stays are a separate product. The guest compares the Airbnb total to furnished rentals, corporate housing, extended-stay hotels, and local leases. Many jurisdictions also define 28 or 30 nights differently for tax and short-term rental law, so compliance must be checked before pricing. Monthly pricing should include utility usage assumptions, cleaning cadence, wear, risk of tenant-rights issues, and cash-flow stability.</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pPr>
              <w:spacing w:after="0"/>
            </w:pPr>
            <w:r/>
            <w:r>
              <w:rPr>
                <w:rFonts w:ascii="Arial" w:hAnsi="Arial" w:eastAsia="Arial"/>
                <w:b/>
                <w:color w:val="FFFFFF"/>
                <w:sz w:val="16"/>
              </w:rPr>
              <w:t>Monthly stay variable</w:t>
            </w:r>
          </w:p>
        </w:tc>
        <w:tc>
          <w:tcPr>
            <w:tcW w:type="dxa" w:w="7344"/>
            <w:shd w:fill="1F4E79"/>
            <w:vAlign w:val="center"/>
          </w:tcPr>
          <w:p>
            <w:pPr>
              <w:spacing w:after="0"/>
            </w:pPr>
            <w:r/>
            <w:r>
              <w:rPr>
                <w:rFonts w:ascii="Arial" w:hAnsi="Arial" w:eastAsia="Arial"/>
                <w:b/>
                <w:color w:val="FFFFFF"/>
                <w:sz w:val="16"/>
              </w:rPr>
              <w:t>Pricing guidance</w:t>
            </w:r>
          </w:p>
        </w:tc>
      </w:tr>
      <w:tr>
        <w:tc>
          <w:tcPr>
            <w:tcW w:type="dxa" w:w="3168"/>
            <w:vAlign w:val="top"/>
          </w:tcPr>
          <w:p>
            <w:pPr>
              <w:spacing w:after="0"/>
            </w:pPr>
            <w:r/>
            <w:r>
              <w:rPr>
                <w:rFonts w:ascii="Arial" w:hAnsi="Arial" w:eastAsia="Arial"/>
                <w:b w:val="0"/>
                <w:sz w:val="16"/>
              </w:rPr>
              <w:t>Base monthly rate</w:t>
            </w:r>
          </w:p>
        </w:tc>
        <w:tc>
          <w:tcPr>
            <w:tcW w:type="dxa" w:w="7344"/>
            <w:vAlign w:val="top"/>
          </w:tcPr>
          <w:p>
            <w:pPr>
              <w:spacing w:after="0"/>
            </w:pPr>
            <w:r/>
            <w:r>
              <w:rPr>
                <w:rFonts w:ascii="Arial" w:hAnsi="Arial" w:eastAsia="Arial"/>
                <w:b w:val="0"/>
                <w:sz w:val="16"/>
              </w:rPr>
              <w:t>Start from 60-80% of equivalent nightly revenue in low season; 70-90% in soft regulated urban markets; avoid monthly stays that displace high-value peak weeks.</w:t>
            </w:r>
          </w:p>
        </w:tc>
      </w:tr>
      <w:tr>
        <w:tc>
          <w:tcPr>
            <w:tcW w:type="dxa" w:w="3168"/>
            <w:vAlign w:val="top"/>
          </w:tcPr>
          <w:p>
            <w:pPr>
              <w:spacing w:after="0"/>
            </w:pPr>
            <w:r/>
            <w:r>
              <w:rPr>
                <w:rFonts w:ascii="Arial" w:hAnsi="Arial" w:eastAsia="Arial"/>
                <w:b w:val="0"/>
                <w:sz w:val="16"/>
              </w:rPr>
              <w:t>Utilities</w:t>
            </w:r>
          </w:p>
        </w:tc>
        <w:tc>
          <w:tcPr>
            <w:tcW w:type="dxa" w:w="7344"/>
            <w:vAlign w:val="top"/>
          </w:tcPr>
          <w:p>
            <w:pPr>
              <w:spacing w:after="0"/>
            </w:pPr>
            <w:r/>
            <w:r>
              <w:rPr>
                <w:rFonts w:ascii="Arial" w:hAnsi="Arial" w:eastAsia="Arial"/>
                <w:b w:val="0"/>
                <w:sz w:val="16"/>
              </w:rPr>
              <w:t>Include reasonable allowance; define excessive use policy only if compliant and clearly disclosed.</w:t>
            </w:r>
          </w:p>
        </w:tc>
      </w:tr>
      <w:tr>
        <w:tc>
          <w:tcPr>
            <w:tcW w:type="dxa" w:w="3168"/>
            <w:vAlign w:val="top"/>
          </w:tcPr>
          <w:p>
            <w:pPr>
              <w:spacing w:after="0"/>
            </w:pPr>
            <w:r/>
            <w:r>
              <w:rPr>
                <w:rFonts w:ascii="Arial" w:hAnsi="Arial" w:eastAsia="Arial"/>
                <w:b w:val="0"/>
                <w:sz w:val="16"/>
              </w:rPr>
              <w:t>Cleaning</w:t>
            </w:r>
          </w:p>
        </w:tc>
        <w:tc>
          <w:tcPr>
            <w:tcW w:type="dxa" w:w="7344"/>
            <w:vAlign w:val="top"/>
          </w:tcPr>
          <w:p>
            <w:pPr>
              <w:spacing w:after="0"/>
            </w:pPr>
            <w:r/>
            <w:r>
              <w:rPr>
                <w:rFonts w:ascii="Arial" w:hAnsi="Arial" w:eastAsia="Arial"/>
                <w:b w:val="0"/>
                <w:sz w:val="16"/>
              </w:rPr>
              <w:t>Charge departure cleaning and consider monthly mid-stay cleaning for stays over 45 days.</w:t>
            </w:r>
          </w:p>
        </w:tc>
      </w:tr>
      <w:tr>
        <w:tc>
          <w:tcPr>
            <w:tcW w:type="dxa" w:w="3168"/>
            <w:vAlign w:val="top"/>
          </w:tcPr>
          <w:p>
            <w:pPr>
              <w:spacing w:after="0"/>
            </w:pPr>
            <w:r/>
            <w:r>
              <w:rPr>
                <w:rFonts w:ascii="Arial" w:hAnsi="Arial" w:eastAsia="Arial"/>
                <w:b w:val="0"/>
                <w:sz w:val="16"/>
              </w:rPr>
              <w:t>Review risk</w:t>
            </w:r>
          </w:p>
        </w:tc>
        <w:tc>
          <w:tcPr>
            <w:tcW w:type="dxa" w:w="7344"/>
            <w:vAlign w:val="top"/>
          </w:tcPr>
          <w:p>
            <w:pPr>
              <w:spacing w:after="0"/>
            </w:pPr>
            <w:r/>
            <w:r>
              <w:rPr>
                <w:rFonts w:ascii="Arial" w:hAnsi="Arial" w:eastAsia="Arial"/>
                <w:b w:val="0"/>
                <w:sz w:val="16"/>
              </w:rPr>
              <w:t>Longer stays produce fewer reviews per year; do not sacrifice review velocity if the listing is new and needs social proof.</w:t>
            </w:r>
          </w:p>
        </w:tc>
      </w:tr>
      <w:tr>
        <w:tc>
          <w:tcPr>
            <w:tcW w:type="dxa" w:w="3168"/>
            <w:vAlign w:val="top"/>
          </w:tcPr>
          <w:p>
            <w:pPr>
              <w:spacing w:after="0"/>
            </w:pPr>
            <w:r/>
            <w:r>
              <w:rPr>
                <w:rFonts w:ascii="Arial" w:hAnsi="Arial" w:eastAsia="Arial"/>
                <w:b w:val="0"/>
                <w:sz w:val="16"/>
              </w:rPr>
              <w:t>Regulation</w:t>
            </w:r>
          </w:p>
        </w:tc>
        <w:tc>
          <w:tcPr>
            <w:tcW w:type="dxa" w:w="7344"/>
            <w:vAlign w:val="top"/>
          </w:tcPr>
          <w:p>
            <w:pPr>
              <w:spacing w:after="0"/>
            </w:pPr>
            <w:r/>
            <w:r>
              <w:rPr>
                <w:rFonts w:ascii="Arial" w:hAnsi="Arial" w:eastAsia="Arial"/>
                <w:b w:val="0"/>
                <w:sz w:val="16"/>
              </w:rPr>
              <w:t>Verify local rules, taxes, lease/tenant thresholds, HOA restrictions, and insurance before accepting.</w:t>
            </w:r>
          </w:p>
        </w:tc>
      </w:tr>
    </w:tbl>
    <w:p>
      <w:pPr>
        <w:pStyle w:val="Small"/>
      </w:pPr>
    </w:p>
    <w:p>
      <w:r>
        <w:br w:type="page"/>
      </w:r>
    </w:p>
    <w:p>
      <w:pPr>
        <w:pStyle w:val="Heading1"/>
      </w:pPr>
      <w:r>
        <w:t>7. Rate Formula, Rate Ladder, and Price Floors</w:t>
      </w:r>
    </w:p>
    <w:p>
      <w:pPr>
        <w:pStyle w:val="Heading2"/>
      </w:pPr>
      <w:r>
        <w:t>7.1 Rate formula</w:t>
      </w:r>
    </w:p>
    <w:p>
      <w:r>
        <w:t>The following formula is a practical operating model. It is not a replacement for professional dynamic pricing software, but it helps hosts understand how rates should move.</w:t>
      </w:r>
    </w:p>
    <w:p>
      <w:pPr>
        <w:pStyle w:val="Callout"/>
      </w:pPr>
      <w:r>
        <w:rPr>
          <w:b/>
        </w:rPr>
        <w:t>Date Rate = Base Rate x Season Multiplier x Day-of-Week Multiplier x Demand/Event Multiplier x Lead-Time/Pace Adjustment x Quality Adjustment</w:t>
      </w:r>
    </w:p>
    <w:p>
      <w:r>
        <w:t>Base Rate is derived from the true competitive set and property score. Season Multiplier captures high, shoulder, and low seasons. Day-of-Week Multiplier captures weekend and market-specific demand. Demand/Event Multiplier captures holidays, festivals, sports, conventions, and local compression. Lead-Time/Pace Adjustment compares current occupancy against expected pickup. Quality Adjustment accounts for review score, negative review events, new listing status, and product improvements.</w:t>
      </w:r>
    </w:p>
    <w:tbl>
      <w:tblPr>
        <w:tblStyle w:val="TableGrid"/>
        <w:tblW w:type="auto" w:w="0"/>
        <w:jc w:val="center"/>
        <w:tblLook w:firstColumn="1" w:firstRow="1" w:lastColumn="0" w:lastRow="0" w:noHBand="0" w:noVBand="1" w:val="04A0"/>
      </w:tblPr>
      <w:tblGrid>
        <w:gridCol w:w="3408"/>
        <w:gridCol w:w="3408"/>
        <w:gridCol w:w="3408"/>
      </w:tblGrid>
      <w:tr>
        <w:tc>
          <w:tcPr>
            <w:tcW w:type="dxa" w:w="2520"/>
            <w:shd w:fill="1F4E79"/>
            <w:vAlign w:val="center"/>
          </w:tcPr>
          <w:p>
            <w:pPr>
              <w:spacing w:after="0"/>
            </w:pPr>
            <w:r/>
            <w:r>
              <w:rPr>
                <w:rFonts w:ascii="Arial" w:hAnsi="Arial" w:eastAsia="Arial"/>
                <w:b/>
                <w:color w:val="FFFFFF"/>
                <w:sz w:val="16"/>
              </w:rPr>
              <w:t>Multiplier</w:t>
            </w:r>
          </w:p>
        </w:tc>
        <w:tc>
          <w:tcPr>
            <w:tcW w:type="dxa" w:w="2016"/>
            <w:shd w:fill="1F4E79"/>
            <w:vAlign w:val="center"/>
          </w:tcPr>
          <w:p>
            <w:pPr>
              <w:spacing w:after="0"/>
            </w:pPr>
            <w:r/>
            <w:r>
              <w:rPr>
                <w:rFonts w:ascii="Arial" w:hAnsi="Arial" w:eastAsia="Arial"/>
                <w:b/>
                <w:color w:val="FFFFFF"/>
                <w:sz w:val="16"/>
              </w:rPr>
              <w:t>Typical range</w:t>
            </w:r>
          </w:p>
        </w:tc>
        <w:tc>
          <w:tcPr>
            <w:tcW w:type="dxa" w:w="5688"/>
            <w:shd w:fill="1F4E79"/>
            <w:vAlign w:val="center"/>
          </w:tcPr>
          <w:p>
            <w:pPr>
              <w:spacing w:after="0"/>
            </w:pPr>
            <w:r/>
            <w:r>
              <w:rPr>
                <w:rFonts w:ascii="Arial" w:hAnsi="Arial" w:eastAsia="Arial"/>
                <w:b/>
                <w:color w:val="FFFFFF"/>
                <w:sz w:val="16"/>
              </w:rPr>
              <w:t>When to use</w:t>
            </w:r>
          </w:p>
        </w:tc>
      </w:tr>
      <w:tr>
        <w:tc>
          <w:tcPr>
            <w:tcW w:type="dxa" w:w="2520"/>
            <w:vAlign w:val="top"/>
          </w:tcPr>
          <w:p>
            <w:pPr>
              <w:spacing w:after="0"/>
            </w:pPr>
            <w:r/>
            <w:r>
              <w:rPr>
                <w:rFonts w:ascii="Arial" w:hAnsi="Arial" w:eastAsia="Arial"/>
                <w:b w:val="0"/>
                <w:sz w:val="16"/>
              </w:rPr>
              <w:t>Season</w:t>
            </w:r>
          </w:p>
        </w:tc>
        <w:tc>
          <w:tcPr>
            <w:tcW w:type="dxa" w:w="2016"/>
            <w:vAlign w:val="top"/>
          </w:tcPr>
          <w:p>
            <w:pPr>
              <w:spacing w:after="0"/>
            </w:pPr>
            <w:r/>
            <w:r>
              <w:rPr>
                <w:rFonts w:ascii="Arial" w:hAnsi="Arial" w:eastAsia="Arial"/>
                <w:b w:val="0"/>
                <w:sz w:val="16"/>
              </w:rPr>
              <w:t>0.75-1.60</w:t>
            </w:r>
          </w:p>
        </w:tc>
        <w:tc>
          <w:tcPr>
            <w:tcW w:type="dxa" w:w="5688"/>
            <w:vAlign w:val="top"/>
          </w:tcPr>
          <w:p>
            <w:pPr>
              <w:spacing w:after="0"/>
            </w:pPr>
            <w:r/>
            <w:r>
              <w:rPr>
                <w:rFonts w:ascii="Arial" w:hAnsi="Arial" w:eastAsia="Arial"/>
                <w:b w:val="0"/>
                <w:sz w:val="16"/>
              </w:rPr>
              <w:t>Low season to peak season; can be higher in highly seasonal beach/ski markets.</w:t>
            </w:r>
          </w:p>
        </w:tc>
      </w:tr>
      <w:tr>
        <w:tc>
          <w:tcPr>
            <w:tcW w:type="dxa" w:w="2520"/>
            <w:vAlign w:val="top"/>
          </w:tcPr>
          <w:p>
            <w:pPr>
              <w:spacing w:after="0"/>
            </w:pPr>
            <w:r/>
            <w:r>
              <w:rPr>
                <w:rFonts w:ascii="Arial" w:hAnsi="Arial" w:eastAsia="Arial"/>
                <w:b w:val="0"/>
                <w:sz w:val="16"/>
              </w:rPr>
              <w:t>Day-of-week</w:t>
            </w:r>
          </w:p>
        </w:tc>
        <w:tc>
          <w:tcPr>
            <w:tcW w:type="dxa" w:w="2016"/>
            <w:vAlign w:val="top"/>
          </w:tcPr>
          <w:p>
            <w:pPr>
              <w:spacing w:after="0"/>
            </w:pPr>
            <w:r/>
            <w:r>
              <w:rPr>
                <w:rFonts w:ascii="Arial" w:hAnsi="Arial" w:eastAsia="Arial"/>
                <w:b w:val="0"/>
                <w:sz w:val="16"/>
              </w:rPr>
              <w:t>0.85-1.45</w:t>
            </w:r>
          </w:p>
        </w:tc>
        <w:tc>
          <w:tcPr>
            <w:tcW w:type="dxa" w:w="5688"/>
            <w:vAlign w:val="top"/>
          </w:tcPr>
          <w:p>
            <w:pPr>
              <w:spacing w:after="0"/>
            </w:pPr>
            <w:r/>
            <w:r>
              <w:rPr>
                <w:rFonts w:ascii="Arial" w:hAnsi="Arial" w:eastAsia="Arial"/>
                <w:b w:val="0"/>
                <w:sz w:val="16"/>
              </w:rPr>
              <w:t>Lower midweek in leisure markets; higher Friday/Saturday; midweek premium in business/conference markets.</w:t>
            </w:r>
          </w:p>
        </w:tc>
      </w:tr>
      <w:tr>
        <w:tc>
          <w:tcPr>
            <w:tcW w:type="dxa" w:w="2520"/>
            <w:vAlign w:val="top"/>
          </w:tcPr>
          <w:p>
            <w:pPr>
              <w:spacing w:after="0"/>
            </w:pPr>
            <w:r/>
            <w:r>
              <w:rPr>
                <w:rFonts w:ascii="Arial" w:hAnsi="Arial" w:eastAsia="Arial"/>
                <w:b w:val="0"/>
                <w:sz w:val="16"/>
              </w:rPr>
              <w:t>Event</w:t>
            </w:r>
          </w:p>
        </w:tc>
        <w:tc>
          <w:tcPr>
            <w:tcW w:type="dxa" w:w="2016"/>
            <w:vAlign w:val="top"/>
          </w:tcPr>
          <w:p>
            <w:pPr>
              <w:spacing w:after="0"/>
            </w:pPr>
            <w:r/>
            <w:r>
              <w:rPr>
                <w:rFonts w:ascii="Arial" w:hAnsi="Arial" w:eastAsia="Arial"/>
                <w:b w:val="0"/>
                <w:sz w:val="16"/>
              </w:rPr>
              <w:t>1.10-3.00+</w:t>
            </w:r>
          </w:p>
        </w:tc>
        <w:tc>
          <w:tcPr>
            <w:tcW w:type="dxa" w:w="5688"/>
            <w:vAlign w:val="top"/>
          </w:tcPr>
          <w:p>
            <w:pPr>
              <w:spacing w:after="0"/>
            </w:pPr>
            <w:r/>
            <w:r>
              <w:rPr>
                <w:rFonts w:ascii="Arial" w:hAnsi="Arial" w:eastAsia="Arial"/>
                <w:b w:val="0"/>
                <w:sz w:val="16"/>
              </w:rPr>
              <w:t>Use only when comp-set availability and demand validate compression. Extreme premiums require scarcity.</w:t>
            </w:r>
          </w:p>
        </w:tc>
      </w:tr>
      <w:tr>
        <w:tc>
          <w:tcPr>
            <w:tcW w:type="dxa" w:w="2520"/>
            <w:vAlign w:val="top"/>
          </w:tcPr>
          <w:p>
            <w:pPr>
              <w:spacing w:after="0"/>
            </w:pPr>
            <w:r/>
            <w:r>
              <w:rPr>
                <w:rFonts w:ascii="Arial" w:hAnsi="Arial" w:eastAsia="Arial"/>
                <w:b w:val="0"/>
                <w:sz w:val="16"/>
              </w:rPr>
              <w:t>Lead-time/pace</w:t>
            </w:r>
          </w:p>
        </w:tc>
        <w:tc>
          <w:tcPr>
            <w:tcW w:type="dxa" w:w="2016"/>
            <w:vAlign w:val="top"/>
          </w:tcPr>
          <w:p>
            <w:pPr>
              <w:spacing w:after="0"/>
            </w:pPr>
            <w:r/>
            <w:r>
              <w:rPr>
                <w:rFonts w:ascii="Arial" w:hAnsi="Arial" w:eastAsia="Arial"/>
                <w:b w:val="0"/>
                <w:sz w:val="16"/>
              </w:rPr>
              <w:t>0.80-1.25</w:t>
            </w:r>
          </w:p>
        </w:tc>
        <w:tc>
          <w:tcPr>
            <w:tcW w:type="dxa" w:w="5688"/>
            <w:vAlign w:val="top"/>
          </w:tcPr>
          <w:p>
            <w:pPr>
              <w:spacing w:after="0"/>
            </w:pPr>
            <w:r/>
            <w:r>
              <w:rPr>
                <w:rFonts w:ascii="Arial" w:hAnsi="Arial" w:eastAsia="Arial"/>
                <w:b w:val="0"/>
                <w:sz w:val="16"/>
              </w:rPr>
              <w:t>Discount late soft gaps; raise if booked too early or comps are selling out.</w:t>
            </w:r>
          </w:p>
        </w:tc>
      </w:tr>
      <w:tr>
        <w:tc>
          <w:tcPr>
            <w:tcW w:type="dxa" w:w="2520"/>
            <w:vAlign w:val="top"/>
          </w:tcPr>
          <w:p>
            <w:pPr>
              <w:spacing w:after="0"/>
            </w:pPr>
            <w:r/>
            <w:r>
              <w:rPr>
                <w:rFonts w:ascii="Arial" w:hAnsi="Arial" w:eastAsia="Arial"/>
                <w:b w:val="0"/>
                <w:sz w:val="16"/>
              </w:rPr>
              <w:t>Quality</w:t>
            </w:r>
          </w:p>
        </w:tc>
        <w:tc>
          <w:tcPr>
            <w:tcW w:type="dxa" w:w="2016"/>
            <w:vAlign w:val="top"/>
          </w:tcPr>
          <w:p>
            <w:pPr>
              <w:spacing w:after="0"/>
            </w:pPr>
            <w:r/>
            <w:r>
              <w:rPr>
                <w:rFonts w:ascii="Arial" w:hAnsi="Arial" w:eastAsia="Arial"/>
                <w:b w:val="0"/>
                <w:sz w:val="16"/>
              </w:rPr>
              <w:t>0.85-1.25</w:t>
            </w:r>
          </w:p>
        </w:tc>
        <w:tc>
          <w:tcPr>
            <w:tcW w:type="dxa" w:w="5688"/>
            <w:vAlign w:val="top"/>
          </w:tcPr>
          <w:p>
            <w:pPr>
              <w:spacing w:after="0"/>
            </w:pPr>
            <w:r/>
            <w:r>
              <w:rPr>
                <w:rFonts w:ascii="Arial" w:hAnsi="Arial" w:eastAsia="Arial"/>
                <w:b w:val="0"/>
                <w:sz w:val="16"/>
              </w:rPr>
              <w:t>Negative review correction or premium for outstanding reviews/amenities.</w:t>
            </w:r>
          </w:p>
        </w:tc>
      </w:tr>
    </w:tbl>
    <w:p>
      <w:pPr>
        <w:pStyle w:val="Small"/>
      </w:pPr>
    </w:p>
    <w:p>
      <w:pPr>
        <w:pStyle w:val="Heading2"/>
      </w:pPr>
      <w:r>
        <w:t>7.2 Rate ladder by demand state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shd w:fill="1F4E79"/>
            <w:vAlign w:val="center"/>
          </w:tcPr>
          <w:p>
            <w:pPr>
              <w:spacing w:after="0"/>
            </w:pPr>
            <w:r/>
            <w:r>
              <w:rPr>
                <w:rFonts w:ascii="Arial" w:hAnsi="Arial" w:eastAsia="Arial"/>
                <w:b/>
                <w:color w:val="FFFFFF"/>
                <w:sz w:val="16"/>
              </w:rPr>
              <w:t>Demand state</w:t>
            </w:r>
          </w:p>
        </w:tc>
        <w:tc>
          <w:tcPr>
            <w:tcW w:type="dxa" w:w="2232"/>
            <w:shd w:fill="1F4E79"/>
            <w:vAlign w:val="center"/>
          </w:tcPr>
          <w:p>
            <w:pPr>
              <w:spacing w:after="0"/>
            </w:pPr>
            <w:r/>
            <w:r>
              <w:rPr>
                <w:rFonts w:ascii="Arial" w:hAnsi="Arial" w:eastAsia="Arial"/>
                <w:b/>
                <w:color w:val="FFFFFF"/>
                <w:sz w:val="16"/>
              </w:rPr>
              <w:t>Recommended percentile</w:t>
            </w:r>
          </w:p>
        </w:tc>
        <w:tc>
          <w:tcPr>
            <w:tcW w:type="dxa" w:w="2232"/>
            <w:shd w:fill="1F4E79"/>
            <w:vAlign w:val="center"/>
          </w:tcPr>
          <w:p>
            <w:pPr>
              <w:spacing w:after="0"/>
            </w:pPr>
            <w:r/>
            <w:r>
              <w:rPr>
                <w:rFonts w:ascii="Arial" w:hAnsi="Arial" w:eastAsia="Arial"/>
                <w:b/>
                <w:color w:val="FFFFFF"/>
                <w:sz w:val="16"/>
              </w:rPr>
              <w:t>Rate range vs base</w:t>
            </w:r>
          </w:p>
        </w:tc>
        <w:tc>
          <w:tcPr>
            <w:tcW w:type="dxa" w:w="4248"/>
            <w:shd w:fill="1F4E79"/>
            <w:vAlign w:val="center"/>
          </w:tcPr>
          <w:p>
            <w:pPr>
              <w:spacing w:after="0"/>
            </w:pPr>
            <w:r/>
            <w:r>
              <w:rPr>
                <w:rFonts w:ascii="Arial" w:hAnsi="Arial" w:eastAsia="Arial"/>
                <w:b/>
                <w:color w:val="FFFFFF"/>
                <w:sz w:val="16"/>
              </w:rPr>
              <w:t>Main controls</w:t>
            </w:r>
          </w:p>
        </w:tc>
      </w:tr>
      <w:tr>
        <w:tc>
          <w:tcPr>
            <w:tcW w:type="dxa" w:w="2232"/>
            <w:vAlign w:val="top"/>
          </w:tcPr>
          <w:p>
            <w:pPr>
              <w:spacing w:after="0"/>
            </w:pPr>
            <w:r/>
            <w:r>
              <w:rPr>
                <w:rFonts w:ascii="Arial" w:hAnsi="Arial" w:eastAsia="Arial"/>
                <w:b w:val="0"/>
                <w:sz w:val="16"/>
              </w:rPr>
              <w:t>D1 Distressed</w:t>
            </w:r>
          </w:p>
        </w:tc>
        <w:tc>
          <w:tcPr>
            <w:tcW w:type="dxa" w:w="2232"/>
            <w:vAlign w:val="top"/>
          </w:tcPr>
          <w:p>
            <w:pPr>
              <w:spacing w:after="0"/>
            </w:pPr>
            <w:r/>
            <w:r>
              <w:rPr>
                <w:rFonts w:ascii="Arial" w:hAnsi="Arial" w:eastAsia="Arial"/>
                <w:b w:val="0"/>
                <w:sz w:val="16"/>
              </w:rPr>
              <w:t>30th-45th</w:t>
            </w:r>
          </w:p>
        </w:tc>
        <w:tc>
          <w:tcPr>
            <w:tcW w:type="dxa" w:w="2232"/>
            <w:vAlign w:val="top"/>
          </w:tcPr>
          <w:p>
            <w:pPr>
              <w:spacing w:after="0"/>
            </w:pPr>
            <w:r/>
            <w:r>
              <w:rPr>
                <w:rFonts w:ascii="Arial" w:hAnsi="Arial" w:eastAsia="Arial"/>
                <w:b w:val="0"/>
                <w:sz w:val="16"/>
              </w:rPr>
              <w:t>-30% to -10%</w:t>
            </w:r>
          </w:p>
        </w:tc>
        <w:tc>
          <w:tcPr>
            <w:tcW w:type="dxa" w:w="4248"/>
            <w:vAlign w:val="top"/>
          </w:tcPr>
          <w:p>
            <w:pPr>
              <w:spacing w:after="0"/>
            </w:pPr>
            <w:r/>
            <w:r>
              <w:rPr>
                <w:rFonts w:ascii="Arial" w:hAnsi="Arial" w:eastAsia="Arial"/>
                <w:b w:val="0"/>
                <w:sz w:val="16"/>
              </w:rPr>
              <w:t>Relax LOS; last-minute/gap offers; maintain variable-cost floor.</w:t>
            </w:r>
          </w:p>
        </w:tc>
      </w:tr>
      <w:tr>
        <w:tc>
          <w:tcPr>
            <w:tcW w:type="dxa" w:w="2232"/>
            <w:vAlign w:val="top"/>
          </w:tcPr>
          <w:p>
            <w:pPr>
              <w:spacing w:after="0"/>
            </w:pPr>
            <w:r/>
            <w:r>
              <w:rPr>
                <w:rFonts w:ascii="Arial" w:hAnsi="Arial" w:eastAsia="Arial"/>
                <w:b w:val="0"/>
                <w:sz w:val="16"/>
              </w:rPr>
              <w:t>D2 Low/shoulder</w:t>
            </w:r>
          </w:p>
        </w:tc>
        <w:tc>
          <w:tcPr>
            <w:tcW w:type="dxa" w:w="2232"/>
            <w:vAlign w:val="top"/>
          </w:tcPr>
          <w:p>
            <w:pPr>
              <w:spacing w:after="0"/>
            </w:pPr>
            <w:r/>
            <w:r>
              <w:rPr>
                <w:rFonts w:ascii="Arial" w:hAnsi="Arial" w:eastAsia="Arial"/>
                <w:b w:val="0"/>
                <w:sz w:val="16"/>
              </w:rPr>
              <w:t>40th-55th</w:t>
            </w:r>
          </w:p>
        </w:tc>
        <w:tc>
          <w:tcPr>
            <w:tcW w:type="dxa" w:w="2232"/>
            <w:vAlign w:val="top"/>
          </w:tcPr>
          <w:p>
            <w:pPr>
              <w:spacing w:after="0"/>
            </w:pPr>
            <w:r/>
            <w:r>
              <w:rPr>
                <w:rFonts w:ascii="Arial" w:hAnsi="Arial" w:eastAsia="Arial"/>
                <w:b w:val="0"/>
                <w:sz w:val="16"/>
              </w:rPr>
              <w:t>-15% to +5%</w:t>
            </w:r>
          </w:p>
        </w:tc>
        <w:tc>
          <w:tcPr>
            <w:tcW w:type="dxa" w:w="4248"/>
            <w:vAlign w:val="top"/>
          </w:tcPr>
          <w:p>
            <w:pPr>
              <w:spacing w:after="0"/>
            </w:pPr>
            <w:r/>
            <w:r>
              <w:rPr>
                <w:rFonts w:ascii="Arial" w:hAnsi="Arial" w:eastAsia="Arial"/>
                <w:b w:val="0"/>
                <w:sz w:val="16"/>
              </w:rPr>
              <w:t>Modest discounts; lower minimums; midweek value.</w:t>
            </w:r>
          </w:p>
        </w:tc>
      </w:tr>
      <w:tr>
        <w:tc>
          <w:tcPr>
            <w:tcW w:type="dxa" w:w="2232"/>
            <w:vAlign w:val="top"/>
          </w:tcPr>
          <w:p>
            <w:pPr>
              <w:spacing w:after="0"/>
            </w:pPr>
            <w:r/>
            <w:r>
              <w:rPr>
                <w:rFonts w:ascii="Arial" w:hAnsi="Arial" w:eastAsia="Arial"/>
                <w:b w:val="0"/>
                <w:sz w:val="16"/>
              </w:rPr>
              <w:t>D3 Normal</w:t>
            </w:r>
          </w:p>
        </w:tc>
        <w:tc>
          <w:tcPr>
            <w:tcW w:type="dxa" w:w="2232"/>
            <w:vAlign w:val="top"/>
          </w:tcPr>
          <w:p>
            <w:pPr>
              <w:spacing w:after="0"/>
            </w:pPr>
            <w:r/>
            <w:r>
              <w:rPr>
                <w:rFonts w:ascii="Arial" w:hAnsi="Arial" w:eastAsia="Arial"/>
                <w:b w:val="0"/>
                <w:sz w:val="16"/>
              </w:rPr>
              <w:t>45th-65th</w:t>
            </w:r>
          </w:p>
        </w:tc>
        <w:tc>
          <w:tcPr>
            <w:tcW w:type="dxa" w:w="2232"/>
            <w:vAlign w:val="top"/>
          </w:tcPr>
          <w:p>
            <w:pPr>
              <w:spacing w:after="0"/>
            </w:pPr>
            <w:r/>
            <w:r>
              <w:rPr>
                <w:rFonts w:ascii="Arial" w:hAnsi="Arial" w:eastAsia="Arial"/>
                <w:b w:val="0"/>
                <w:sz w:val="16"/>
              </w:rPr>
              <w:t>0% to +15%</w:t>
            </w:r>
          </w:p>
        </w:tc>
        <w:tc>
          <w:tcPr>
            <w:tcW w:type="dxa" w:w="4248"/>
            <w:vAlign w:val="top"/>
          </w:tcPr>
          <w:p>
            <w:pPr>
              <w:spacing w:after="0"/>
            </w:pPr>
            <w:r/>
            <w:r>
              <w:rPr>
                <w:rFonts w:ascii="Arial" w:hAnsi="Arial" w:eastAsia="Arial"/>
                <w:b w:val="0"/>
                <w:sz w:val="16"/>
              </w:rPr>
              <w:t>Standard rate; normal weekend premium.</w:t>
            </w:r>
          </w:p>
        </w:tc>
      </w:tr>
      <w:tr>
        <w:tc>
          <w:tcPr>
            <w:tcW w:type="dxa" w:w="2232"/>
            <w:vAlign w:val="top"/>
          </w:tcPr>
          <w:p>
            <w:pPr>
              <w:spacing w:after="0"/>
            </w:pPr>
            <w:r/>
            <w:r>
              <w:rPr>
                <w:rFonts w:ascii="Arial" w:hAnsi="Arial" w:eastAsia="Arial"/>
                <w:b w:val="0"/>
                <w:sz w:val="16"/>
              </w:rPr>
              <w:t>D4 High</w:t>
            </w:r>
          </w:p>
        </w:tc>
        <w:tc>
          <w:tcPr>
            <w:tcW w:type="dxa" w:w="2232"/>
            <w:vAlign w:val="top"/>
          </w:tcPr>
          <w:p>
            <w:pPr>
              <w:spacing w:after="0"/>
            </w:pPr>
            <w:r/>
            <w:r>
              <w:rPr>
                <w:rFonts w:ascii="Arial" w:hAnsi="Arial" w:eastAsia="Arial"/>
                <w:b w:val="0"/>
                <w:sz w:val="16"/>
              </w:rPr>
              <w:t>60th-80th</w:t>
            </w:r>
          </w:p>
        </w:tc>
        <w:tc>
          <w:tcPr>
            <w:tcW w:type="dxa" w:w="2232"/>
            <w:vAlign w:val="top"/>
          </w:tcPr>
          <w:p>
            <w:pPr>
              <w:spacing w:after="0"/>
            </w:pPr>
            <w:r/>
            <w:r>
              <w:rPr>
                <w:rFonts w:ascii="Arial" w:hAnsi="Arial" w:eastAsia="Arial"/>
                <w:b w:val="0"/>
                <w:sz w:val="16"/>
              </w:rPr>
              <w:t>+15% to +60%</w:t>
            </w:r>
          </w:p>
        </w:tc>
        <w:tc>
          <w:tcPr>
            <w:tcW w:type="dxa" w:w="4248"/>
            <w:vAlign w:val="top"/>
          </w:tcPr>
          <w:p>
            <w:pPr>
              <w:spacing w:after="0"/>
            </w:pPr>
            <w:r/>
            <w:r>
              <w:rPr>
                <w:rFonts w:ascii="Arial" w:hAnsi="Arial" w:eastAsia="Arial"/>
                <w:b w:val="0"/>
                <w:sz w:val="16"/>
              </w:rPr>
              <w:t>Protect rate; higher min stay; reduce promotions.</w:t>
            </w:r>
          </w:p>
        </w:tc>
      </w:tr>
      <w:tr>
        <w:tc>
          <w:tcPr>
            <w:tcW w:type="dxa" w:w="2232"/>
            <w:vAlign w:val="top"/>
          </w:tcPr>
          <w:p>
            <w:pPr>
              <w:spacing w:after="0"/>
            </w:pPr>
            <w:r/>
            <w:r>
              <w:rPr>
                <w:rFonts w:ascii="Arial" w:hAnsi="Arial" w:eastAsia="Arial"/>
                <w:b w:val="0"/>
                <w:sz w:val="16"/>
              </w:rPr>
              <w:t>D5 Compression/event</w:t>
            </w:r>
          </w:p>
        </w:tc>
        <w:tc>
          <w:tcPr>
            <w:tcW w:type="dxa" w:w="2232"/>
            <w:vAlign w:val="top"/>
          </w:tcPr>
          <w:p>
            <w:pPr>
              <w:spacing w:after="0"/>
            </w:pPr>
            <w:r/>
            <w:r>
              <w:rPr>
                <w:rFonts w:ascii="Arial" w:hAnsi="Arial" w:eastAsia="Arial"/>
                <w:b w:val="0"/>
                <w:sz w:val="16"/>
              </w:rPr>
              <w:t>75th-95th+</w:t>
            </w:r>
          </w:p>
        </w:tc>
        <w:tc>
          <w:tcPr>
            <w:tcW w:type="dxa" w:w="2232"/>
            <w:vAlign w:val="top"/>
          </w:tcPr>
          <w:p>
            <w:pPr>
              <w:spacing w:after="0"/>
            </w:pPr>
            <w:r/>
            <w:r>
              <w:rPr>
                <w:rFonts w:ascii="Arial" w:hAnsi="Arial" w:eastAsia="Arial"/>
                <w:b w:val="0"/>
                <w:sz w:val="16"/>
              </w:rPr>
              <w:t>+60% to +200%+</w:t>
            </w:r>
          </w:p>
        </w:tc>
        <w:tc>
          <w:tcPr>
            <w:tcW w:type="dxa" w:w="4248"/>
            <w:vAlign w:val="top"/>
          </w:tcPr>
          <w:p>
            <w:pPr>
              <w:spacing w:after="0"/>
            </w:pPr>
            <w:r/>
            <w:r>
              <w:rPr>
                <w:rFonts w:ascii="Arial" w:hAnsi="Arial" w:eastAsia="Arial"/>
                <w:b w:val="0"/>
                <w:sz w:val="16"/>
              </w:rPr>
              <w:t>Event floors; strict LOS; manual review; cancellation risk premium.</w:t>
            </w:r>
          </w:p>
        </w:tc>
      </w:tr>
    </w:tbl>
    <w:p>
      <w:pPr>
        <w:pStyle w:val="Small"/>
      </w:pPr>
    </w:p>
    <w:p>
      <w:pPr>
        <w:pStyle w:val="Heading2"/>
      </w:pPr>
      <w:r>
        <w:t>7.3 Price floors</w:t>
      </w:r>
    </w:p>
    <w:p>
      <w:r>
        <w:t>Every listing needs at least three floors: variable-cost floor, owner/portfolio floor, and brand floor. The variable-cost floor is the lowest rate that covers incremental costs. The owner/portfolio floor is the rate below which the owner would rather block the property or pursue another channel. The brand floor protects reviews and positioning by avoiding guest mismatch and bargain-basement bookings that increase operational problems.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vAlign w:val="center"/>
          </w:tcPr>
          <w:p>
            <w:pPr>
              <w:spacing w:after="0"/>
            </w:pPr>
            <w:r/>
            <w:r>
              <w:rPr>
                <w:rFonts w:ascii="Arial" w:hAnsi="Arial" w:eastAsia="Arial"/>
                <w:b/>
                <w:color w:val="FFFFFF"/>
                <w:sz w:val="16"/>
              </w:rPr>
              <w:t>Floor</w:t>
            </w:r>
          </w:p>
        </w:tc>
        <w:tc>
          <w:tcPr>
            <w:tcW w:type="dxa" w:w="5184"/>
            <w:shd w:fill="1F4E79"/>
            <w:vAlign w:val="center"/>
          </w:tcPr>
          <w:p>
            <w:pPr>
              <w:spacing w:after="0"/>
            </w:pPr>
            <w:r/>
            <w:r>
              <w:rPr>
                <w:rFonts w:ascii="Arial" w:hAnsi="Arial" w:eastAsia="Arial"/>
                <w:b/>
                <w:color w:val="FFFFFF"/>
                <w:sz w:val="16"/>
              </w:rPr>
              <w:t>Formula / definition</w:t>
            </w:r>
          </w:p>
        </w:tc>
        <w:tc>
          <w:tcPr>
            <w:tcW w:type="dxa" w:w="2736"/>
            <w:shd w:fill="1F4E79"/>
            <w:vAlign w:val="center"/>
          </w:tcPr>
          <w:p>
            <w:pPr>
              <w:spacing w:after="0"/>
            </w:pPr>
            <w:r/>
            <w:r>
              <w:rPr>
                <w:rFonts w:ascii="Arial" w:hAnsi="Arial" w:eastAsia="Arial"/>
                <w:b/>
                <w:color w:val="FFFFFF"/>
                <w:sz w:val="16"/>
              </w:rPr>
              <w:t>Use case</w:t>
            </w:r>
          </w:p>
        </w:tc>
      </w:tr>
      <w:tr>
        <w:tc>
          <w:tcPr>
            <w:tcW w:type="dxa" w:w="2592"/>
            <w:vAlign w:val="top"/>
          </w:tcPr>
          <w:p>
            <w:pPr>
              <w:spacing w:after="0"/>
            </w:pPr>
            <w:r/>
            <w:r>
              <w:rPr>
                <w:rFonts w:ascii="Arial" w:hAnsi="Arial" w:eastAsia="Arial"/>
                <w:b w:val="0"/>
                <w:sz w:val="16"/>
              </w:rPr>
              <w:t>Variable-cost floor</w:t>
            </w:r>
          </w:p>
        </w:tc>
        <w:tc>
          <w:tcPr>
            <w:tcW w:type="dxa" w:w="5184"/>
            <w:vAlign w:val="top"/>
          </w:tcPr>
          <w:p>
            <w:pPr>
              <w:spacing w:after="0"/>
            </w:pPr>
            <w:r/>
            <w:r>
              <w:rPr>
                <w:rFonts w:ascii="Arial" w:hAnsi="Arial" w:eastAsia="Arial"/>
                <w:b w:val="0"/>
                <w:sz w:val="16"/>
              </w:rPr>
              <w:t>Cleaning cost not charged separately + supplies + utilities + platform fee + manager processing cost + risk allowance.</w:t>
            </w:r>
          </w:p>
        </w:tc>
        <w:tc>
          <w:tcPr>
            <w:tcW w:type="dxa" w:w="2736"/>
            <w:vAlign w:val="top"/>
          </w:tcPr>
          <w:p>
            <w:pPr>
              <w:spacing w:after="0"/>
            </w:pPr>
            <w:r/>
            <w:r>
              <w:rPr>
                <w:rFonts w:ascii="Arial" w:hAnsi="Arial" w:eastAsia="Arial"/>
                <w:b w:val="0"/>
                <w:sz w:val="16"/>
              </w:rPr>
              <w:t>Never price below this unless intentionally buying reviews or testing a market.</w:t>
            </w:r>
          </w:p>
        </w:tc>
      </w:tr>
      <w:tr>
        <w:tc>
          <w:tcPr>
            <w:tcW w:type="dxa" w:w="2592"/>
            <w:vAlign w:val="top"/>
          </w:tcPr>
          <w:p>
            <w:pPr>
              <w:spacing w:after="0"/>
            </w:pPr>
            <w:r/>
            <w:r>
              <w:rPr>
                <w:rFonts w:ascii="Arial" w:hAnsi="Arial" w:eastAsia="Arial"/>
                <w:b w:val="0"/>
                <w:sz w:val="16"/>
              </w:rPr>
              <w:t>Owner/portfolio floor</w:t>
            </w:r>
          </w:p>
        </w:tc>
        <w:tc>
          <w:tcPr>
            <w:tcW w:type="dxa" w:w="5184"/>
            <w:vAlign w:val="top"/>
          </w:tcPr>
          <w:p>
            <w:pPr>
              <w:spacing w:after="0"/>
            </w:pPr>
            <w:r/>
            <w:r>
              <w:rPr>
                <w:rFonts w:ascii="Arial" w:hAnsi="Arial" w:eastAsia="Arial"/>
                <w:b w:val="0"/>
                <w:sz w:val="16"/>
              </w:rPr>
              <w:t>Minimum rate needed to meet owner or portfolio return target after variable costs.</w:t>
            </w:r>
          </w:p>
        </w:tc>
        <w:tc>
          <w:tcPr>
            <w:tcW w:type="dxa" w:w="2736"/>
            <w:vAlign w:val="top"/>
          </w:tcPr>
          <w:p>
            <w:pPr>
              <w:spacing w:after="0"/>
            </w:pPr>
            <w:r/>
            <w:r>
              <w:rPr>
                <w:rFonts w:ascii="Arial" w:hAnsi="Arial" w:eastAsia="Arial"/>
                <w:b w:val="0"/>
                <w:sz w:val="16"/>
              </w:rPr>
              <w:t>Used in owner reporting and pricing approvals.</w:t>
            </w:r>
          </w:p>
        </w:tc>
      </w:tr>
      <w:tr>
        <w:tc>
          <w:tcPr>
            <w:tcW w:type="dxa" w:w="2592"/>
            <w:vAlign w:val="top"/>
          </w:tcPr>
          <w:p>
            <w:pPr>
              <w:spacing w:after="0"/>
            </w:pPr>
            <w:r/>
            <w:r>
              <w:rPr>
                <w:rFonts w:ascii="Arial" w:hAnsi="Arial" w:eastAsia="Arial"/>
                <w:b w:val="0"/>
                <w:sz w:val="16"/>
              </w:rPr>
              <w:t>Brand floor</w:t>
            </w:r>
          </w:p>
        </w:tc>
        <w:tc>
          <w:tcPr>
            <w:tcW w:type="dxa" w:w="5184"/>
            <w:vAlign w:val="top"/>
          </w:tcPr>
          <w:p>
            <w:pPr>
              <w:spacing w:after="0"/>
            </w:pPr>
            <w:r/>
            <w:r>
              <w:rPr>
                <w:rFonts w:ascii="Arial" w:hAnsi="Arial" w:eastAsia="Arial"/>
                <w:b w:val="0"/>
                <w:sz w:val="16"/>
              </w:rPr>
              <w:t>Lowest rate consistent with quality position and guest fit.</w:t>
            </w:r>
          </w:p>
        </w:tc>
        <w:tc>
          <w:tcPr>
            <w:tcW w:type="dxa" w:w="2736"/>
            <w:vAlign w:val="top"/>
          </w:tcPr>
          <w:p>
            <w:pPr>
              <w:spacing w:after="0"/>
            </w:pPr>
            <w:r/>
            <w:r>
              <w:rPr>
                <w:rFonts w:ascii="Arial" w:hAnsi="Arial" w:eastAsia="Arial"/>
                <w:b w:val="0"/>
                <w:sz w:val="16"/>
              </w:rPr>
              <w:t>Avoids attracting mismatched guests and protects perceived value.</w:t>
            </w:r>
          </w:p>
        </w:tc>
      </w:tr>
    </w:tbl>
    <w:p>
      <w:pPr>
        <w:pStyle w:val="Small"/>
      </w:pPr>
    </w:p>
    <w:p>
      <w:pPr>
        <w:pStyle w:val="Heading2"/>
      </w:pPr>
      <w:r>
        <w:t>7.4 Price caps</w:t>
      </w:r>
    </w:p>
    <w:p>
      <w:r>
        <w:t>Caps are necessary because some automated systems can overreact to events or sparse data. Caps should not block true peak revenue, but they should prevent irrational prices that hurt conversion or generate complaints. Set a soft cap for algorithmic prices and a manual review threshold above that cap. For example, if a normal 3BR weekend is $450, the system may allow up to $900 for strong events, but any rate above $1,000 requires manual evidence of compression.</w:t>
      </w:r>
    </w:p>
    <w:p>
      <w:r>
        <w:t>A cap should be expressed relative to available comparable supply, not only historical price. If comparable inventory is nearly sold out and hotels are materially compressed, a high cap may be justified. If there are still many similar listings available at lower total prices, an extreme cap becomes a vanity price rather than a revenue price.</w:t>
      </w:r>
    </w:p>
    <w:p>
      <w:r>
        <w:br w:type="page"/>
      </w:r>
    </w:p>
    <w:p>
      <w:pPr>
        <w:pStyle w:val="Heading1"/>
      </w:pPr>
      <w:r>
        <w:t>8. Seasonality, Booking Windows, and Lead-Time Controls</w:t>
      </w:r>
    </w:p>
    <w:p>
      <w:pPr>
        <w:pStyle w:val="Heading2"/>
      </w:pPr>
      <w:r>
        <w:t>8.1 Seasonality design</w:t>
      </w:r>
    </w:p>
    <w:p>
      <w:r>
        <w:t>Build seasonality from actual local demand, not from national intuition. In US short-term rentals, the same calendar month can be peak in one market and low in another. Scottsdale and Palm Springs peak in winter/spring. New England beach markets peak in summer and shoulder during fall foliage. Ski markets have winter and summer peaks with mud-season troughs. Florida has winter snowbird, spring break, summer family, and hurricane-season nuances. Urban markets depend on conventions, school calendars, and regulations.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9"/>
            <w:vAlign w:val="center"/>
          </w:tcPr>
          <w:p>
            <w:pPr>
              <w:spacing w:after="0"/>
            </w:pPr>
            <w:r/>
            <w:r>
              <w:rPr>
                <w:rFonts w:ascii="Arial" w:hAnsi="Arial" w:eastAsia="Arial"/>
                <w:b/>
                <w:color w:val="FFFFFF"/>
                <w:sz w:val="16"/>
              </w:rPr>
              <w:t>Season type</w:t>
            </w:r>
          </w:p>
        </w:tc>
        <w:tc>
          <w:tcPr>
            <w:tcW w:type="dxa" w:w="3312"/>
            <w:shd w:fill="1F4E79"/>
            <w:vAlign w:val="center"/>
          </w:tcPr>
          <w:p>
            <w:pPr>
              <w:spacing w:after="0"/>
            </w:pPr>
            <w:r/>
            <w:r>
              <w:rPr>
                <w:rFonts w:ascii="Arial" w:hAnsi="Arial" w:eastAsia="Arial"/>
                <w:b/>
                <w:color w:val="FFFFFF"/>
                <w:sz w:val="16"/>
              </w:rPr>
              <w:t>Pricing posture</w:t>
            </w:r>
          </w:p>
        </w:tc>
        <w:tc>
          <w:tcPr>
            <w:tcW w:type="dxa" w:w="4464"/>
            <w:shd w:fill="1F4E79"/>
            <w:vAlign w:val="center"/>
          </w:tcPr>
          <w:p>
            <w:pPr>
              <w:spacing w:after="0"/>
            </w:pPr>
            <w:r/>
            <w:r>
              <w:rPr>
                <w:rFonts w:ascii="Arial" w:hAnsi="Arial" w:eastAsia="Arial"/>
                <w:b/>
                <w:color w:val="FFFFFF"/>
                <w:sz w:val="16"/>
              </w:rPr>
              <w:t>Operational notes</w:t>
            </w:r>
          </w:p>
        </w:tc>
      </w:tr>
      <w:tr>
        <w:tc>
          <w:tcPr>
            <w:tcW w:type="dxa" w:w="2448"/>
            <w:vAlign w:val="top"/>
          </w:tcPr>
          <w:p>
            <w:pPr>
              <w:spacing w:after="0"/>
            </w:pPr>
            <w:r/>
            <w:r>
              <w:rPr>
                <w:rFonts w:ascii="Arial" w:hAnsi="Arial" w:eastAsia="Arial"/>
                <w:b w:val="0"/>
                <w:sz w:val="16"/>
              </w:rPr>
              <w:t>Peak season</w:t>
            </w:r>
          </w:p>
        </w:tc>
        <w:tc>
          <w:tcPr>
            <w:tcW w:type="dxa" w:w="3312"/>
            <w:vAlign w:val="top"/>
          </w:tcPr>
          <w:p>
            <w:pPr>
              <w:spacing w:after="0"/>
            </w:pPr>
            <w:r/>
            <w:r>
              <w:rPr>
                <w:rFonts w:ascii="Arial" w:hAnsi="Arial" w:eastAsia="Arial"/>
                <w:b w:val="0"/>
                <w:sz w:val="16"/>
              </w:rPr>
              <w:t>Premium rates; protect floors; limited discounts.</w:t>
            </w:r>
          </w:p>
        </w:tc>
        <w:tc>
          <w:tcPr>
            <w:tcW w:type="dxa" w:w="4464"/>
            <w:vAlign w:val="top"/>
          </w:tcPr>
          <w:p>
            <w:pPr>
              <w:spacing w:after="0"/>
            </w:pPr>
            <w:r/>
            <w:r>
              <w:rPr>
                <w:rFonts w:ascii="Arial" w:hAnsi="Arial" w:eastAsia="Arial"/>
                <w:b w:val="0"/>
                <w:sz w:val="16"/>
              </w:rPr>
              <w:t>Use stronger min stays; monitor comp availability; avoid selling too early too cheaply.</w:t>
            </w:r>
          </w:p>
        </w:tc>
      </w:tr>
      <w:tr>
        <w:tc>
          <w:tcPr>
            <w:tcW w:type="dxa" w:w="2448"/>
            <w:vAlign w:val="top"/>
          </w:tcPr>
          <w:p>
            <w:pPr>
              <w:spacing w:after="0"/>
            </w:pPr>
            <w:r/>
            <w:r>
              <w:rPr>
                <w:rFonts w:ascii="Arial" w:hAnsi="Arial" w:eastAsia="Arial"/>
                <w:b w:val="0"/>
                <w:sz w:val="16"/>
              </w:rPr>
              <w:t>Shoulder season</w:t>
            </w:r>
          </w:p>
        </w:tc>
        <w:tc>
          <w:tcPr>
            <w:tcW w:type="dxa" w:w="3312"/>
            <w:vAlign w:val="top"/>
          </w:tcPr>
          <w:p>
            <w:pPr>
              <w:spacing w:after="0"/>
            </w:pPr>
            <w:r/>
            <w:r>
              <w:rPr>
                <w:rFonts w:ascii="Arial" w:hAnsi="Arial" w:eastAsia="Arial"/>
                <w:b w:val="0"/>
                <w:sz w:val="16"/>
              </w:rPr>
              <w:t>Flexible rates; promote longer stays and weekends.</w:t>
            </w:r>
          </w:p>
        </w:tc>
        <w:tc>
          <w:tcPr>
            <w:tcW w:type="dxa" w:w="4464"/>
            <w:vAlign w:val="top"/>
          </w:tcPr>
          <w:p>
            <w:pPr>
              <w:spacing w:after="0"/>
            </w:pPr>
            <w:r/>
            <w:r>
              <w:rPr>
                <w:rFonts w:ascii="Arial" w:hAnsi="Arial" w:eastAsia="Arial"/>
                <w:b w:val="0"/>
                <w:sz w:val="16"/>
              </w:rPr>
              <w:t>Use gap-fill rules; reduce min stays selectively; target regional travelers.</w:t>
            </w:r>
          </w:p>
        </w:tc>
      </w:tr>
      <w:tr>
        <w:tc>
          <w:tcPr>
            <w:tcW w:type="dxa" w:w="2448"/>
            <w:vAlign w:val="top"/>
          </w:tcPr>
          <w:p>
            <w:pPr>
              <w:spacing w:after="0"/>
            </w:pPr>
            <w:r/>
            <w:r>
              <w:rPr>
                <w:rFonts w:ascii="Arial" w:hAnsi="Arial" w:eastAsia="Arial"/>
                <w:b w:val="0"/>
                <w:sz w:val="16"/>
              </w:rPr>
              <w:t>Low season</w:t>
            </w:r>
          </w:p>
        </w:tc>
        <w:tc>
          <w:tcPr>
            <w:tcW w:type="dxa" w:w="3312"/>
            <w:vAlign w:val="top"/>
          </w:tcPr>
          <w:p>
            <w:pPr>
              <w:spacing w:after="0"/>
            </w:pPr>
            <w:r/>
            <w:r>
              <w:rPr>
                <w:rFonts w:ascii="Arial" w:hAnsi="Arial" w:eastAsia="Arial"/>
                <w:b w:val="0"/>
                <w:sz w:val="16"/>
              </w:rPr>
              <w:t>Value-oriented; protect variable floor.</w:t>
            </w:r>
          </w:p>
        </w:tc>
        <w:tc>
          <w:tcPr>
            <w:tcW w:type="dxa" w:w="4464"/>
            <w:vAlign w:val="top"/>
          </w:tcPr>
          <w:p>
            <w:pPr>
              <w:spacing w:after="0"/>
            </w:pPr>
            <w:r/>
            <w:r>
              <w:rPr>
                <w:rFonts w:ascii="Arial" w:hAnsi="Arial" w:eastAsia="Arial"/>
                <w:b w:val="0"/>
                <w:sz w:val="16"/>
              </w:rPr>
              <w:t>Use longer-stay discounts, midweek specials, and product upgrades; avoid training guests to wait for deep discounts.</w:t>
            </w:r>
          </w:p>
        </w:tc>
      </w:tr>
      <w:tr>
        <w:tc>
          <w:tcPr>
            <w:tcW w:type="dxa" w:w="2448"/>
            <w:vAlign w:val="top"/>
          </w:tcPr>
          <w:p>
            <w:pPr>
              <w:spacing w:after="0"/>
            </w:pPr>
            <w:r/>
            <w:r>
              <w:rPr>
                <w:rFonts w:ascii="Arial" w:hAnsi="Arial" w:eastAsia="Arial"/>
                <w:b w:val="0"/>
                <w:sz w:val="16"/>
              </w:rPr>
              <w:t>Weather-risk season</w:t>
            </w:r>
          </w:p>
        </w:tc>
        <w:tc>
          <w:tcPr>
            <w:tcW w:type="dxa" w:w="3312"/>
            <w:vAlign w:val="top"/>
          </w:tcPr>
          <w:p>
            <w:pPr>
              <w:spacing w:after="0"/>
            </w:pPr>
            <w:r/>
            <w:r>
              <w:rPr>
                <w:rFonts w:ascii="Arial" w:hAnsi="Arial" w:eastAsia="Arial"/>
                <w:b w:val="0"/>
                <w:sz w:val="16"/>
              </w:rPr>
              <w:t>Moderate premiums; cancellation and insurance awareness.</w:t>
            </w:r>
          </w:p>
        </w:tc>
        <w:tc>
          <w:tcPr>
            <w:tcW w:type="dxa" w:w="4464"/>
            <w:vAlign w:val="top"/>
          </w:tcPr>
          <w:p>
            <w:pPr>
              <w:spacing w:after="0"/>
            </w:pPr>
            <w:r/>
            <w:r>
              <w:rPr>
                <w:rFonts w:ascii="Arial" w:hAnsi="Arial" w:eastAsia="Arial"/>
                <w:b w:val="0"/>
                <w:sz w:val="16"/>
              </w:rPr>
              <w:t>Clarify policies, monitor storms/fires/snow, avoid opportunistic pricing during emergencies.</w:t>
            </w:r>
          </w:p>
        </w:tc>
      </w:tr>
      <w:tr>
        <w:tc>
          <w:tcPr>
            <w:tcW w:type="dxa" w:w="2448"/>
            <w:vAlign w:val="top"/>
          </w:tcPr>
          <w:p>
            <w:pPr>
              <w:spacing w:after="0"/>
            </w:pPr>
            <w:r/>
            <w:r>
              <w:rPr>
                <w:rFonts w:ascii="Arial" w:hAnsi="Arial" w:eastAsia="Arial"/>
                <w:b w:val="0"/>
                <w:sz w:val="16"/>
              </w:rPr>
              <w:t>Event micro-season</w:t>
            </w:r>
          </w:p>
        </w:tc>
        <w:tc>
          <w:tcPr>
            <w:tcW w:type="dxa" w:w="3312"/>
            <w:vAlign w:val="top"/>
          </w:tcPr>
          <w:p>
            <w:pPr>
              <w:spacing w:after="0"/>
            </w:pPr>
            <w:r/>
            <w:r>
              <w:rPr>
                <w:rFonts w:ascii="Arial" w:hAnsi="Arial" w:eastAsia="Arial"/>
                <w:b w:val="0"/>
                <w:sz w:val="16"/>
              </w:rPr>
              <w:t>Event-specific premium if compression is real.</w:t>
            </w:r>
          </w:p>
        </w:tc>
        <w:tc>
          <w:tcPr>
            <w:tcW w:type="dxa" w:w="4464"/>
            <w:vAlign w:val="top"/>
          </w:tcPr>
          <w:p>
            <w:pPr>
              <w:spacing w:after="0"/>
            </w:pPr>
            <w:r/>
            <w:r>
              <w:rPr>
                <w:rFonts w:ascii="Arial" w:hAnsi="Arial" w:eastAsia="Arial"/>
                <w:b w:val="0"/>
                <w:sz w:val="16"/>
              </w:rPr>
              <w:t>Manual review, cancellation protection, check-in controls, and post-event reset.</w:t>
            </w:r>
          </w:p>
        </w:tc>
      </w:tr>
    </w:tbl>
    <w:p>
      <w:pPr>
        <w:pStyle w:val="Small"/>
      </w:pPr>
    </w:p>
    <w:p>
      <w:pPr>
        <w:pStyle w:val="Heading2"/>
      </w:pPr>
      <w:r>
        <w:t>8.2 Booking-window logic</w:t>
      </w:r>
    </w:p>
    <w:p>
      <w:r>
        <w:t>A booking window is the time between booking date and check-in. Booking windows differ by market, property type, and trip purpose. Luxury homes, large beach houses, ski holiday weeks, and school-break trips often book earlier. Urban weekend trips and lower-priced units can book later. Industry reporting in 2026 notes compressed booking windows in the US STR market, meaning hosts may see weak on-the-books occupancy before late demand arrives [I4][I6].</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F4E79"/>
            <w:vAlign w:val="center"/>
          </w:tcPr>
          <w:p>
            <w:pPr>
              <w:spacing w:after="0"/>
            </w:pPr>
            <w:r/>
            <w:r>
              <w:rPr>
                <w:rFonts w:ascii="Arial" w:hAnsi="Arial" w:eastAsia="Arial"/>
                <w:b/>
                <w:color w:val="FFFFFF"/>
                <w:sz w:val="15"/>
              </w:rPr>
              <w:t>Lead-time bucket</w:t>
            </w:r>
          </w:p>
        </w:tc>
        <w:tc>
          <w:tcPr>
            <w:tcW w:type="dxa" w:w="5400"/>
            <w:shd w:fill="1F4E79"/>
            <w:vAlign w:val="center"/>
          </w:tcPr>
          <w:p>
            <w:pPr>
              <w:spacing w:after="0"/>
            </w:pPr>
            <w:r/>
            <w:r>
              <w:rPr>
                <w:rFonts w:ascii="Arial" w:hAnsi="Arial" w:eastAsia="Arial"/>
                <w:b/>
                <w:color w:val="FFFFFF"/>
                <w:sz w:val="15"/>
              </w:rPr>
              <w:t>Default action</w:t>
            </w:r>
          </w:p>
        </w:tc>
        <w:tc>
          <w:tcPr>
            <w:tcW w:type="dxa" w:w="2952"/>
            <w:shd w:fill="1F4E79"/>
            <w:vAlign w:val="center"/>
          </w:tcPr>
          <w:p>
            <w:pPr>
              <w:spacing w:after="0"/>
            </w:pPr>
            <w:r/>
            <w:r>
              <w:rPr>
                <w:rFonts w:ascii="Arial" w:hAnsi="Arial" w:eastAsia="Arial"/>
                <w:b/>
                <w:color w:val="FFFFFF"/>
                <w:sz w:val="15"/>
              </w:rPr>
              <w:t>Exception</w:t>
            </w:r>
          </w:p>
        </w:tc>
      </w:tr>
      <w:tr>
        <w:tc>
          <w:tcPr>
            <w:tcW w:type="dxa" w:w="1872"/>
            <w:vAlign w:val="top"/>
          </w:tcPr>
          <w:p>
            <w:pPr>
              <w:spacing w:after="0"/>
            </w:pPr>
            <w:r/>
            <w:r>
              <w:rPr>
                <w:rFonts w:ascii="Arial" w:hAnsi="Arial" w:eastAsia="Arial"/>
                <w:b w:val="0"/>
                <w:sz w:val="15"/>
              </w:rPr>
              <w:t>180+ days</w:t>
            </w:r>
          </w:p>
        </w:tc>
        <w:tc>
          <w:tcPr>
            <w:tcW w:type="dxa" w:w="5400"/>
            <w:vAlign w:val="top"/>
          </w:tcPr>
          <w:p>
            <w:pPr>
              <w:spacing w:after="0"/>
            </w:pPr>
            <w:r/>
            <w:r>
              <w:rPr>
                <w:rFonts w:ascii="Arial" w:hAnsi="Arial" w:eastAsia="Arial"/>
                <w:b w:val="0"/>
                <w:sz w:val="15"/>
              </w:rPr>
              <w:t>Open calendar with premium floors for peak dates; do not over-discount.</w:t>
            </w:r>
          </w:p>
        </w:tc>
        <w:tc>
          <w:tcPr>
            <w:tcW w:type="dxa" w:w="2952"/>
            <w:vAlign w:val="top"/>
          </w:tcPr>
          <w:p>
            <w:pPr>
              <w:spacing w:after="0"/>
            </w:pPr>
            <w:r/>
            <w:r>
              <w:rPr>
                <w:rFonts w:ascii="Arial" w:hAnsi="Arial" w:eastAsia="Arial"/>
                <w:b w:val="0"/>
                <w:sz w:val="15"/>
              </w:rPr>
              <w:t>If large homes in a beach/ski market book a year out, price above normal high-season floor.</w:t>
            </w:r>
          </w:p>
        </w:tc>
      </w:tr>
      <w:tr>
        <w:tc>
          <w:tcPr>
            <w:tcW w:type="dxa" w:w="1872"/>
            <w:vAlign w:val="top"/>
          </w:tcPr>
          <w:p>
            <w:pPr>
              <w:spacing w:after="0"/>
            </w:pPr>
            <w:r/>
            <w:r>
              <w:rPr>
                <w:rFonts w:ascii="Arial" w:hAnsi="Arial" w:eastAsia="Arial"/>
                <w:b w:val="0"/>
                <w:sz w:val="15"/>
              </w:rPr>
              <w:t>120-180 days</w:t>
            </w:r>
          </w:p>
        </w:tc>
        <w:tc>
          <w:tcPr>
            <w:tcW w:type="dxa" w:w="5400"/>
            <w:vAlign w:val="top"/>
          </w:tcPr>
          <w:p>
            <w:pPr>
              <w:spacing w:after="0"/>
            </w:pPr>
            <w:r/>
            <w:r>
              <w:rPr>
                <w:rFonts w:ascii="Arial" w:hAnsi="Arial" w:eastAsia="Arial"/>
                <w:b w:val="0"/>
                <w:sz w:val="15"/>
              </w:rPr>
              <w:t>Monitor early pickup; raise if bookings arrive too quickly.</w:t>
            </w:r>
          </w:p>
        </w:tc>
        <w:tc>
          <w:tcPr>
            <w:tcW w:type="dxa" w:w="2952"/>
            <w:vAlign w:val="top"/>
          </w:tcPr>
          <w:p>
            <w:pPr>
              <w:spacing w:after="0"/>
            </w:pPr>
            <w:r/>
            <w:r>
              <w:rPr>
                <w:rFonts w:ascii="Arial" w:hAnsi="Arial" w:eastAsia="Arial"/>
                <w:b w:val="0"/>
                <w:sz w:val="15"/>
              </w:rPr>
              <w:t>For low season, use early-bird only if cash flow or early certainty is valuable.</w:t>
            </w:r>
          </w:p>
        </w:tc>
      </w:tr>
      <w:tr>
        <w:tc>
          <w:tcPr>
            <w:tcW w:type="dxa" w:w="1872"/>
            <w:vAlign w:val="top"/>
          </w:tcPr>
          <w:p>
            <w:pPr>
              <w:spacing w:after="0"/>
            </w:pPr>
            <w:r/>
            <w:r>
              <w:rPr>
                <w:rFonts w:ascii="Arial" w:hAnsi="Arial" w:eastAsia="Arial"/>
                <w:b w:val="0"/>
                <w:sz w:val="15"/>
              </w:rPr>
              <w:t>60-120 days</w:t>
            </w:r>
          </w:p>
        </w:tc>
        <w:tc>
          <w:tcPr>
            <w:tcW w:type="dxa" w:w="5400"/>
            <w:vAlign w:val="top"/>
          </w:tcPr>
          <w:p>
            <w:pPr>
              <w:spacing w:after="0"/>
            </w:pPr>
            <w:r/>
            <w:r>
              <w:rPr>
                <w:rFonts w:ascii="Arial" w:hAnsi="Arial" w:eastAsia="Arial"/>
                <w:b w:val="0"/>
                <w:sz w:val="15"/>
              </w:rPr>
              <w:t>Validate pace against historical curve and comp availability.</w:t>
            </w:r>
          </w:p>
        </w:tc>
        <w:tc>
          <w:tcPr>
            <w:tcW w:type="dxa" w:w="2952"/>
            <w:vAlign w:val="top"/>
          </w:tcPr>
          <w:p>
            <w:pPr>
              <w:spacing w:after="0"/>
            </w:pPr>
            <w:r/>
            <w:r>
              <w:rPr>
                <w:rFonts w:ascii="Arial" w:hAnsi="Arial" w:eastAsia="Arial"/>
                <w:b w:val="0"/>
                <w:sz w:val="15"/>
              </w:rPr>
              <w:t>Do not discount high-season dates solely because occupancy looks soft.</w:t>
            </w:r>
          </w:p>
        </w:tc>
      </w:tr>
      <w:tr>
        <w:tc>
          <w:tcPr>
            <w:tcW w:type="dxa" w:w="1872"/>
            <w:vAlign w:val="top"/>
          </w:tcPr>
          <w:p>
            <w:pPr>
              <w:spacing w:after="0"/>
            </w:pPr>
            <w:r/>
            <w:r>
              <w:rPr>
                <w:rFonts w:ascii="Arial" w:hAnsi="Arial" w:eastAsia="Arial"/>
                <w:b w:val="0"/>
                <w:sz w:val="15"/>
              </w:rPr>
              <w:t>30-60 days</w:t>
            </w:r>
          </w:p>
        </w:tc>
        <w:tc>
          <w:tcPr>
            <w:tcW w:type="dxa" w:w="5400"/>
            <w:vAlign w:val="top"/>
          </w:tcPr>
          <w:p>
            <w:pPr>
              <w:spacing w:after="0"/>
            </w:pPr>
            <w:r/>
            <w:r>
              <w:rPr>
                <w:rFonts w:ascii="Arial" w:hAnsi="Arial" w:eastAsia="Arial"/>
                <w:b w:val="0"/>
                <w:sz w:val="15"/>
              </w:rPr>
              <w:t>Adjust 5-15% based on pace; review minimum stays.</w:t>
            </w:r>
          </w:p>
        </w:tc>
        <w:tc>
          <w:tcPr>
            <w:tcW w:type="dxa" w:w="2952"/>
            <w:vAlign w:val="top"/>
          </w:tcPr>
          <w:p>
            <w:pPr>
              <w:spacing w:after="0"/>
            </w:pPr>
            <w:r/>
            <w:r>
              <w:rPr>
                <w:rFonts w:ascii="Arial" w:hAnsi="Arial" w:eastAsia="Arial"/>
                <w:b w:val="0"/>
                <w:sz w:val="15"/>
              </w:rPr>
              <w:t>If event compression is clear, hold or raise.</w:t>
            </w:r>
          </w:p>
        </w:tc>
      </w:tr>
      <w:tr>
        <w:tc>
          <w:tcPr>
            <w:tcW w:type="dxa" w:w="1872"/>
            <w:vAlign w:val="top"/>
          </w:tcPr>
          <w:p>
            <w:pPr>
              <w:spacing w:after="0"/>
            </w:pPr>
            <w:r/>
            <w:r>
              <w:rPr>
                <w:rFonts w:ascii="Arial" w:hAnsi="Arial" w:eastAsia="Arial"/>
                <w:b w:val="0"/>
                <w:sz w:val="15"/>
              </w:rPr>
              <w:t>14-30 days</w:t>
            </w:r>
          </w:p>
        </w:tc>
        <w:tc>
          <w:tcPr>
            <w:tcW w:type="dxa" w:w="5400"/>
            <w:vAlign w:val="top"/>
          </w:tcPr>
          <w:p>
            <w:pPr>
              <w:spacing w:after="0"/>
            </w:pPr>
            <w:r/>
            <w:r>
              <w:rPr>
                <w:rFonts w:ascii="Arial" w:hAnsi="Arial" w:eastAsia="Arial"/>
                <w:b w:val="0"/>
                <w:sz w:val="15"/>
              </w:rPr>
              <w:t>Open gap rules; reduce restrictions on shoulder dates.</w:t>
            </w:r>
          </w:p>
        </w:tc>
        <w:tc>
          <w:tcPr>
            <w:tcW w:type="dxa" w:w="2952"/>
            <w:vAlign w:val="top"/>
          </w:tcPr>
          <w:p>
            <w:pPr>
              <w:spacing w:after="0"/>
            </w:pPr>
            <w:r/>
            <w:r>
              <w:rPr>
                <w:rFonts w:ascii="Arial" w:hAnsi="Arial" w:eastAsia="Arial"/>
                <w:b w:val="0"/>
                <w:sz w:val="15"/>
              </w:rPr>
              <w:t>For peak holidays, keep floors and wait for qualified demand.</w:t>
            </w:r>
          </w:p>
        </w:tc>
      </w:tr>
      <w:tr>
        <w:tc>
          <w:tcPr>
            <w:tcW w:type="dxa" w:w="1872"/>
            <w:vAlign w:val="top"/>
          </w:tcPr>
          <w:p>
            <w:pPr>
              <w:spacing w:after="0"/>
            </w:pPr>
            <w:r/>
            <w:r>
              <w:rPr>
                <w:rFonts w:ascii="Arial" w:hAnsi="Arial" w:eastAsia="Arial"/>
                <w:b w:val="0"/>
                <w:sz w:val="15"/>
              </w:rPr>
              <w:t>7-14 days</w:t>
            </w:r>
          </w:p>
        </w:tc>
        <w:tc>
          <w:tcPr>
            <w:tcW w:type="dxa" w:w="5400"/>
            <w:vAlign w:val="top"/>
          </w:tcPr>
          <w:p>
            <w:pPr>
              <w:spacing w:after="0"/>
            </w:pPr>
            <w:r/>
            <w:r>
              <w:rPr>
                <w:rFonts w:ascii="Arial" w:hAnsi="Arial" w:eastAsia="Arial"/>
                <w:b w:val="0"/>
                <w:sz w:val="15"/>
              </w:rPr>
              <w:t>Target gaps; reduce only if comps remain available and inquiries weak.</w:t>
            </w:r>
          </w:p>
        </w:tc>
        <w:tc>
          <w:tcPr>
            <w:tcW w:type="dxa" w:w="2952"/>
            <w:vAlign w:val="top"/>
          </w:tcPr>
          <w:p>
            <w:pPr>
              <w:spacing w:after="0"/>
            </w:pPr>
            <w:r/>
            <w:r>
              <w:rPr>
                <w:rFonts w:ascii="Arial" w:hAnsi="Arial" w:eastAsia="Arial"/>
                <w:b w:val="0"/>
                <w:sz w:val="15"/>
              </w:rPr>
              <w:t>If competitors sold out, maintain premium and avoid panic pricing.</w:t>
            </w:r>
          </w:p>
        </w:tc>
      </w:tr>
      <w:tr>
        <w:tc>
          <w:tcPr>
            <w:tcW w:type="dxa" w:w="1872"/>
            <w:vAlign w:val="top"/>
          </w:tcPr>
          <w:p>
            <w:pPr>
              <w:spacing w:after="0"/>
            </w:pPr>
            <w:r/>
            <w:r>
              <w:rPr>
                <w:rFonts w:ascii="Arial" w:hAnsi="Arial" w:eastAsia="Arial"/>
                <w:b w:val="0"/>
                <w:sz w:val="15"/>
              </w:rPr>
              <w:t>0-7 days</w:t>
            </w:r>
          </w:p>
        </w:tc>
        <w:tc>
          <w:tcPr>
            <w:tcW w:type="dxa" w:w="5400"/>
            <w:vAlign w:val="top"/>
          </w:tcPr>
          <w:p>
            <w:pPr>
              <w:spacing w:after="0"/>
            </w:pPr>
            <w:r/>
            <w:r>
              <w:rPr>
                <w:rFonts w:ascii="Arial" w:hAnsi="Arial" w:eastAsia="Arial"/>
                <w:b w:val="0"/>
                <w:sz w:val="15"/>
              </w:rPr>
              <w:t>Last-minute fill if vacancy risk is high; accept lower ADR above floor.</w:t>
            </w:r>
          </w:p>
        </w:tc>
        <w:tc>
          <w:tcPr>
            <w:tcW w:type="dxa" w:w="2952"/>
            <w:vAlign w:val="top"/>
          </w:tcPr>
          <w:p>
            <w:pPr>
              <w:spacing w:after="0"/>
            </w:pPr>
            <w:r/>
            <w:r>
              <w:rPr>
                <w:rFonts w:ascii="Arial" w:hAnsi="Arial" w:eastAsia="Arial"/>
                <w:b w:val="0"/>
                <w:sz w:val="15"/>
              </w:rPr>
              <w:t>During real compression, raise or hold; do not discount scarce event nights.</w:t>
            </w:r>
          </w:p>
        </w:tc>
      </w:tr>
    </w:tbl>
    <w:p>
      <w:pPr>
        <w:pStyle w:val="Small"/>
      </w:pPr>
    </w:p>
    <w:p>
      <w:pPr>
        <w:pStyle w:val="Heading2"/>
      </w:pPr>
      <w:r>
        <w:t>8.3 Pace-based interpretation</w:t>
      </w:r>
    </w:p>
    <w:p>
      <w:r>
        <w:t>Pace compares current bookings for future dates against a benchmark. The benchmark can be last year, a rolling three-year average, a dynamic pricing tool, or market reports. Pace must be interpreted with booking-window awareness. A property can be behind at 90 days but still healthy if its market shifted to later booking. Conversely, a property can look ahead at 90 days only because it sold too cheaply.</w:t>
      </w:r>
    </w:p>
    <w:p>
      <w:pPr>
        <w:pStyle w:val="Callout"/>
      </w:pPr>
      <w:r>
        <w:rPr>
          <w:b/>
        </w:rPr>
        <w:t>Pace interpretation: ahead + low ADR = probable underpricing; behind + high comp availability = price/LOS issue; behind + compressed booking window = wait, monitor, and open availability; ahead + strong ADR = protect rates.</w:t>
      </w:r>
    </w:p>
    <w:p>
      <w:pPr>
        <w:pStyle w:val="Heading2"/>
      </w:pPr>
      <w:r>
        <w:t>8.4 When to hold rates despite soft forward occupancy</w:t>
      </w:r>
    </w:p>
    <w:p>
      <w:r>
        <w:t>Hold rates when at least three of the following are true: the market historically books late, competitors are not meaningfully discounting, search/inquiry indicators are stable, the date is within a high-demand season, the property has strong reviews, and gap-night restrictions are not blocking conversion. Beyond’s 2026 Q2 report specifically warns that cutting rates while the booking curve has not finished can give away revenue that would have arrived later [I4].</w:t>
      </w:r>
    </w:p>
    <w:p>
      <w:r>
        <w:t>Discount when three of the following are true: comparable listings remain widely available, your all-in price is above the true comp set without a product reason, inquiries are weak, conversion is weak, the date is within 21 days, minimum stay is blocking demand, or a recent negative review has reduced trust. Discounting should usually be paired with restriction relaxation, not used alone.</w:t>
      </w:r>
    </w:p>
    <w:p>
      <w:r>
        <w:br w:type="page"/>
      </w:r>
    </w:p>
    <w:p>
      <w:pPr>
        <w:pStyle w:val="Heading1"/>
      </w:pPr>
      <w:r>
        <w:t>9. Occupancy, Pace, and Dynamic Adjustment Rules</w:t>
      </w:r>
    </w:p>
    <w:p>
      <w:pPr>
        <w:pStyle w:val="Heading2"/>
      </w:pPr>
      <w:r>
        <w:t>9.1 Occupancy target bands</w:t>
      </w:r>
    </w:p>
    <w:p>
      <w:r>
        <w:t>Occupancy targets should vary by lead time. A listing that is 80% booked 120 days out may be underpriced. A listing that is 20% booked 120 days out may be normal in a late-booking urban market. The table below provides general bands; every market should calibrate them using historical pickup.</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512"/>
            <w:shd w:fill="1F4E79"/>
            <w:vAlign w:val="center"/>
          </w:tcPr>
          <w:p>
            <w:pPr>
              <w:spacing w:after="0"/>
            </w:pPr>
            <w:r/>
            <w:r>
              <w:rPr>
                <w:rFonts w:ascii="Arial" w:hAnsi="Arial" w:eastAsia="Arial"/>
                <w:b/>
                <w:color w:val="FFFFFF"/>
                <w:sz w:val="14"/>
              </w:rPr>
              <w:t>Days to arrival</w:t>
            </w:r>
          </w:p>
        </w:tc>
        <w:tc>
          <w:tcPr>
            <w:tcW w:type="dxa" w:w="1440"/>
            <w:shd w:fill="1F4E79"/>
            <w:vAlign w:val="center"/>
          </w:tcPr>
          <w:p>
            <w:pPr>
              <w:spacing w:after="0"/>
            </w:pPr>
            <w:r/>
            <w:r>
              <w:rPr>
                <w:rFonts w:ascii="Arial" w:hAnsi="Arial" w:eastAsia="Arial"/>
                <w:b/>
                <w:color w:val="FFFFFF"/>
                <w:sz w:val="14"/>
              </w:rPr>
              <w:t>Too slow</w:t>
            </w:r>
          </w:p>
        </w:tc>
        <w:tc>
          <w:tcPr>
            <w:tcW w:type="dxa" w:w="1440"/>
            <w:shd w:fill="1F4E79"/>
            <w:vAlign w:val="center"/>
          </w:tcPr>
          <w:p>
            <w:pPr>
              <w:spacing w:after="0"/>
            </w:pPr>
            <w:r/>
            <w:r>
              <w:rPr>
                <w:rFonts w:ascii="Arial" w:hAnsi="Arial" w:eastAsia="Arial"/>
                <w:b/>
                <w:color w:val="FFFFFF"/>
                <w:sz w:val="14"/>
              </w:rPr>
              <w:t>Healthy</w:t>
            </w:r>
          </w:p>
        </w:tc>
        <w:tc>
          <w:tcPr>
            <w:tcW w:type="dxa" w:w="1440"/>
            <w:shd w:fill="1F4E79"/>
            <w:vAlign w:val="center"/>
          </w:tcPr>
          <w:p>
            <w:pPr>
              <w:spacing w:after="0"/>
            </w:pPr>
            <w:r/>
            <w:r>
              <w:rPr>
                <w:rFonts w:ascii="Arial" w:hAnsi="Arial" w:eastAsia="Arial"/>
                <w:b/>
                <w:color w:val="FFFFFF"/>
                <w:sz w:val="14"/>
              </w:rPr>
              <w:t>Too fast</w:t>
            </w:r>
          </w:p>
        </w:tc>
        <w:tc>
          <w:tcPr>
            <w:tcW w:type="dxa" w:w="2448"/>
            <w:shd w:fill="1F4E79"/>
            <w:vAlign w:val="center"/>
          </w:tcPr>
          <w:p>
            <w:pPr>
              <w:spacing w:after="0"/>
            </w:pPr>
            <w:r/>
            <w:r>
              <w:rPr>
                <w:rFonts w:ascii="Arial" w:hAnsi="Arial" w:eastAsia="Arial"/>
                <w:b/>
                <w:color w:val="FFFFFF"/>
                <w:sz w:val="14"/>
              </w:rPr>
              <w:t>Action if too slow</w:t>
            </w:r>
          </w:p>
        </w:tc>
        <w:tc>
          <w:tcPr>
            <w:tcW w:type="dxa" w:w="2448"/>
            <w:shd w:fill="1F4E79"/>
            <w:vAlign w:val="center"/>
          </w:tcPr>
          <w:p>
            <w:pPr>
              <w:spacing w:after="0"/>
            </w:pPr>
            <w:r/>
            <w:r>
              <w:rPr>
                <w:rFonts w:ascii="Arial" w:hAnsi="Arial" w:eastAsia="Arial"/>
                <w:b/>
                <w:color w:val="FFFFFF"/>
                <w:sz w:val="14"/>
              </w:rPr>
              <w:t>Action if too fast</w:t>
            </w:r>
          </w:p>
        </w:tc>
      </w:tr>
      <w:tr>
        <w:tc>
          <w:tcPr>
            <w:tcW w:type="dxa" w:w="1512"/>
            <w:vAlign w:val="top"/>
          </w:tcPr>
          <w:p>
            <w:pPr>
              <w:spacing w:after="0"/>
            </w:pPr>
            <w:r/>
            <w:r>
              <w:rPr>
                <w:rFonts w:ascii="Arial" w:hAnsi="Arial" w:eastAsia="Arial"/>
                <w:b w:val="0"/>
                <w:sz w:val="14"/>
              </w:rPr>
              <w:t>120+</w:t>
            </w:r>
          </w:p>
        </w:tc>
        <w:tc>
          <w:tcPr>
            <w:tcW w:type="dxa" w:w="1440"/>
            <w:vAlign w:val="top"/>
          </w:tcPr>
          <w:p>
            <w:pPr>
              <w:spacing w:after="0"/>
            </w:pPr>
            <w:r/>
            <w:r>
              <w:rPr>
                <w:rFonts w:ascii="Arial" w:hAnsi="Arial" w:eastAsia="Arial"/>
                <w:b w:val="0"/>
                <w:sz w:val="14"/>
              </w:rPr>
              <w:t>&lt;10%</w:t>
            </w:r>
          </w:p>
        </w:tc>
        <w:tc>
          <w:tcPr>
            <w:tcW w:type="dxa" w:w="1440"/>
            <w:vAlign w:val="top"/>
          </w:tcPr>
          <w:p>
            <w:pPr>
              <w:spacing w:after="0"/>
            </w:pPr>
            <w:r/>
            <w:r>
              <w:rPr>
                <w:rFonts w:ascii="Arial" w:hAnsi="Arial" w:eastAsia="Arial"/>
                <w:b w:val="0"/>
                <w:sz w:val="14"/>
              </w:rPr>
              <w:t>10-35%</w:t>
            </w:r>
          </w:p>
        </w:tc>
        <w:tc>
          <w:tcPr>
            <w:tcW w:type="dxa" w:w="1440"/>
            <w:vAlign w:val="top"/>
          </w:tcPr>
          <w:p>
            <w:pPr>
              <w:spacing w:after="0"/>
            </w:pPr>
            <w:r/>
            <w:r>
              <w:rPr>
                <w:rFonts w:ascii="Arial" w:hAnsi="Arial" w:eastAsia="Arial"/>
                <w:b w:val="0"/>
                <w:sz w:val="14"/>
              </w:rPr>
              <w:t>&gt;45%</w:t>
            </w:r>
          </w:p>
        </w:tc>
        <w:tc>
          <w:tcPr>
            <w:tcW w:type="dxa" w:w="2448"/>
            <w:vAlign w:val="top"/>
          </w:tcPr>
          <w:p>
            <w:pPr>
              <w:spacing w:after="0"/>
            </w:pPr>
            <w:r/>
            <w:r>
              <w:rPr>
                <w:rFonts w:ascii="Arial" w:hAnsi="Arial" w:eastAsia="Arial"/>
                <w:b w:val="0"/>
                <w:sz w:val="14"/>
              </w:rPr>
              <w:t>Review only; avoid panic unless low season.</w:t>
            </w:r>
          </w:p>
        </w:tc>
        <w:tc>
          <w:tcPr>
            <w:tcW w:type="dxa" w:w="2448"/>
            <w:vAlign w:val="top"/>
          </w:tcPr>
          <w:p>
            <w:pPr>
              <w:spacing w:after="0"/>
            </w:pPr>
            <w:r/>
            <w:r>
              <w:rPr>
                <w:rFonts w:ascii="Arial" w:hAnsi="Arial" w:eastAsia="Arial"/>
                <w:b w:val="0"/>
                <w:sz w:val="14"/>
              </w:rPr>
              <w:t>Raise 5-15%; protect peak dates.</w:t>
            </w:r>
          </w:p>
        </w:tc>
      </w:tr>
      <w:tr>
        <w:tc>
          <w:tcPr>
            <w:tcW w:type="dxa" w:w="1512"/>
            <w:vAlign w:val="top"/>
          </w:tcPr>
          <w:p>
            <w:pPr>
              <w:spacing w:after="0"/>
            </w:pPr>
            <w:r/>
            <w:r>
              <w:rPr>
                <w:rFonts w:ascii="Arial" w:hAnsi="Arial" w:eastAsia="Arial"/>
                <w:b w:val="0"/>
                <w:sz w:val="14"/>
              </w:rPr>
              <w:t>60-119</w:t>
            </w:r>
          </w:p>
        </w:tc>
        <w:tc>
          <w:tcPr>
            <w:tcW w:type="dxa" w:w="1440"/>
            <w:vAlign w:val="top"/>
          </w:tcPr>
          <w:p>
            <w:pPr>
              <w:spacing w:after="0"/>
            </w:pPr>
            <w:r/>
            <w:r>
              <w:rPr>
                <w:rFonts w:ascii="Arial" w:hAnsi="Arial" w:eastAsia="Arial"/>
                <w:b w:val="0"/>
                <w:sz w:val="14"/>
              </w:rPr>
              <w:t>&lt;20%</w:t>
            </w:r>
          </w:p>
        </w:tc>
        <w:tc>
          <w:tcPr>
            <w:tcW w:type="dxa" w:w="1440"/>
            <w:vAlign w:val="top"/>
          </w:tcPr>
          <w:p>
            <w:pPr>
              <w:spacing w:after="0"/>
            </w:pPr>
            <w:r/>
            <w:r>
              <w:rPr>
                <w:rFonts w:ascii="Arial" w:hAnsi="Arial" w:eastAsia="Arial"/>
                <w:b w:val="0"/>
                <w:sz w:val="14"/>
              </w:rPr>
              <w:t>25-55%</w:t>
            </w:r>
          </w:p>
        </w:tc>
        <w:tc>
          <w:tcPr>
            <w:tcW w:type="dxa" w:w="1440"/>
            <w:vAlign w:val="top"/>
          </w:tcPr>
          <w:p>
            <w:pPr>
              <w:spacing w:after="0"/>
            </w:pPr>
            <w:r/>
            <w:r>
              <w:rPr>
                <w:rFonts w:ascii="Arial" w:hAnsi="Arial" w:eastAsia="Arial"/>
                <w:b w:val="0"/>
                <w:sz w:val="14"/>
              </w:rPr>
              <w:t>&gt;65%</w:t>
            </w:r>
          </w:p>
        </w:tc>
        <w:tc>
          <w:tcPr>
            <w:tcW w:type="dxa" w:w="2448"/>
            <w:vAlign w:val="top"/>
          </w:tcPr>
          <w:p>
            <w:pPr>
              <w:spacing w:after="0"/>
            </w:pPr>
            <w:r/>
            <w:r>
              <w:rPr>
                <w:rFonts w:ascii="Arial" w:hAnsi="Arial" w:eastAsia="Arial"/>
                <w:b w:val="0"/>
                <w:sz w:val="14"/>
              </w:rPr>
              <w:t>Check comp total price and LOS.</w:t>
            </w:r>
          </w:p>
        </w:tc>
        <w:tc>
          <w:tcPr>
            <w:tcW w:type="dxa" w:w="2448"/>
            <w:vAlign w:val="top"/>
          </w:tcPr>
          <w:p>
            <w:pPr>
              <w:spacing w:after="0"/>
            </w:pPr>
            <w:r/>
            <w:r>
              <w:rPr>
                <w:rFonts w:ascii="Arial" w:hAnsi="Arial" w:eastAsia="Arial"/>
                <w:b w:val="0"/>
                <w:sz w:val="14"/>
              </w:rPr>
              <w:t>Raise 5-20%; tighten peak restrictions.</w:t>
            </w:r>
          </w:p>
        </w:tc>
      </w:tr>
      <w:tr>
        <w:tc>
          <w:tcPr>
            <w:tcW w:type="dxa" w:w="1512"/>
            <w:vAlign w:val="top"/>
          </w:tcPr>
          <w:p>
            <w:pPr>
              <w:spacing w:after="0"/>
            </w:pPr>
            <w:r/>
            <w:r>
              <w:rPr>
                <w:rFonts w:ascii="Arial" w:hAnsi="Arial" w:eastAsia="Arial"/>
                <w:b w:val="0"/>
                <w:sz w:val="14"/>
              </w:rPr>
              <w:t>30-59</w:t>
            </w:r>
          </w:p>
        </w:tc>
        <w:tc>
          <w:tcPr>
            <w:tcW w:type="dxa" w:w="1440"/>
            <w:vAlign w:val="top"/>
          </w:tcPr>
          <w:p>
            <w:pPr>
              <w:spacing w:after="0"/>
            </w:pPr>
            <w:r/>
            <w:r>
              <w:rPr>
                <w:rFonts w:ascii="Arial" w:hAnsi="Arial" w:eastAsia="Arial"/>
                <w:b w:val="0"/>
                <w:sz w:val="14"/>
              </w:rPr>
              <w:t>&lt;35%</w:t>
            </w:r>
          </w:p>
        </w:tc>
        <w:tc>
          <w:tcPr>
            <w:tcW w:type="dxa" w:w="1440"/>
            <w:vAlign w:val="top"/>
          </w:tcPr>
          <w:p>
            <w:pPr>
              <w:spacing w:after="0"/>
            </w:pPr>
            <w:r/>
            <w:r>
              <w:rPr>
                <w:rFonts w:ascii="Arial" w:hAnsi="Arial" w:eastAsia="Arial"/>
                <w:b w:val="0"/>
                <w:sz w:val="14"/>
              </w:rPr>
              <w:t>40-70%</w:t>
            </w:r>
          </w:p>
        </w:tc>
        <w:tc>
          <w:tcPr>
            <w:tcW w:type="dxa" w:w="1440"/>
            <w:vAlign w:val="top"/>
          </w:tcPr>
          <w:p>
            <w:pPr>
              <w:spacing w:after="0"/>
            </w:pPr>
            <w:r/>
            <w:r>
              <w:rPr>
                <w:rFonts w:ascii="Arial" w:hAnsi="Arial" w:eastAsia="Arial"/>
                <w:b w:val="0"/>
                <w:sz w:val="14"/>
              </w:rPr>
              <w:t>&gt;80%</w:t>
            </w:r>
          </w:p>
        </w:tc>
        <w:tc>
          <w:tcPr>
            <w:tcW w:type="dxa" w:w="2448"/>
            <w:vAlign w:val="top"/>
          </w:tcPr>
          <w:p>
            <w:pPr>
              <w:spacing w:after="0"/>
            </w:pPr>
            <w:r/>
            <w:r>
              <w:rPr>
                <w:rFonts w:ascii="Arial" w:hAnsi="Arial" w:eastAsia="Arial"/>
                <w:b w:val="0"/>
                <w:sz w:val="14"/>
              </w:rPr>
              <w:t>Reduce 5-10% or relax LOS if comps available.</w:t>
            </w:r>
          </w:p>
        </w:tc>
        <w:tc>
          <w:tcPr>
            <w:tcW w:type="dxa" w:w="2448"/>
            <w:vAlign w:val="top"/>
          </w:tcPr>
          <w:p>
            <w:pPr>
              <w:spacing w:after="0"/>
            </w:pPr>
            <w:r/>
            <w:r>
              <w:rPr>
                <w:rFonts w:ascii="Arial" w:hAnsi="Arial" w:eastAsia="Arial"/>
                <w:b w:val="0"/>
                <w:sz w:val="14"/>
              </w:rPr>
              <w:t>Hold or raise; avoid further promos.</w:t>
            </w:r>
          </w:p>
        </w:tc>
      </w:tr>
      <w:tr>
        <w:tc>
          <w:tcPr>
            <w:tcW w:type="dxa" w:w="1512"/>
            <w:vAlign w:val="top"/>
          </w:tcPr>
          <w:p>
            <w:pPr>
              <w:spacing w:after="0"/>
            </w:pPr>
            <w:r/>
            <w:r>
              <w:rPr>
                <w:rFonts w:ascii="Arial" w:hAnsi="Arial" w:eastAsia="Arial"/>
                <w:b w:val="0"/>
                <w:sz w:val="14"/>
              </w:rPr>
              <w:t>14-29</w:t>
            </w:r>
          </w:p>
        </w:tc>
        <w:tc>
          <w:tcPr>
            <w:tcW w:type="dxa" w:w="1440"/>
            <w:vAlign w:val="top"/>
          </w:tcPr>
          <w:p>
            <w:pPr>
              <w:spacing w:after="0"/>
            </w:pPr>
            <w:r/>
            <w:r>
              <w:rPr>
                <w:rFonts w:ascii="Arial" w:hAnsi="Arial" w:eastAsia="Arial"/>
                <w:b w:val="0"/>
                <w:sz w:val="14"/>
              </w:rPr>
              <w:t>&lt;50%</w:t>
            </w:r>
          </w:p>
        </w:tc>
        <w:tc>
          <w:tcPr>
            <w:tcW w:type="dxa" w:w="1440"/>
            <w:vAlign w:val="top"/>
          </w:tcPr>
          <w:p>
            <w:pPr>
              <w:spacing w:after="0"/>
            </w:pPr>
            <w:r/>
            <w:r>
              <w:rPr>
                <w:rFonts w:ascii="Arial" w:hAnsi="Arial" w:eastAsia="Arial"/>
                <w:b w:val="0"/>
                <w:sz w:val="14"/>
              </w:rPr>
              <w:t>55-80%</w:t>
            </w:r>
          </w:p>
        </w:tc>
        <w:tc>
          <w:tcPr>
            <w:tcW w:type="dxa" w:w="1440"/>
            <w:vAlign w:val="top"/>
          </w:tcPr>
          <w:p>
            <w:pPr>
              <w:spacing w:after="0"/>
            </w:pPr>
            <w:r/>
            <w:r>
              <w:rPr>
                <w:rFonts w:ascii="Arial" w:hAnsi="Arial" w:eastAsia="Arial"/>
                <w:b w:val="0"/>
                <w:sz w:val="14"/>
              </w:rPr>
              <w:t>&gt;90%</w:t>
            </w:r>
          </w:p>
        </w:tc>
        <w:tc>
          <w:tcPr>
            <w:tcW w:type="dxa" w:w="2448"/>
            <w:vAlign w:val="top"/>
          </w:tcPr>
          <w:p>
            <w:pPr>
              <w:spacing w:after="0"/>
            </w:pPr>
            <w:r/>
            <w:r>
              <w:rPr>
                <w:rFonts w:ascii="Arial" w:hAnsi="Arial" w:eastAsia="Arial"/>
                <w:b w:val="0"/>
                <w:sz w:val="14"/>
              </w:rPr>
              <w:t>Reduce 5-15%; open gaps.</w:t>
            </w:r>
          </w:p>
        </w:tc>
        <w:tc>
          <w:tcPr>
            <w:tcW w:type="dxa" w:w="2448"/>
            <w:vAlign w:val="top"/>
          </w:tcPr>
          <w:p>
            <w:pPr>
              <w:spacing w:after="0"/>
            </w:pPr>
            <w:r/>
            <w:r>
              <w:rPr>
                <w:rFonts w:ascii="Arial" w:hAnsi="Arial" w:eastAsia="Arial"/>
                <w:b w:val="0"/>
                <w:sz w:val="14"/>
              </w:rPr>
              <w:t>Hold; potentially raise remaining inventory.</w:t>
            </w:r>
          </w:p>
        </w:tc>
      </w:tr>
      <w:tr>
        <w:tc>
          <w:tcPr>
            <w:tcW w:type="dxa" w:w="1512"/>
            <w:vAlign w:val="top"/>
          </w:tcPr>
          <w:p>
            <w:pPr>
              <w:spacing w:after="0"/>
            </w:pPr>
            <w:r/>
            <w:r>
              <w:rPr>
                <w:rFonts w:ascii="Arial" w:hAnsi="Arial" w:eastAsia="Arial"/>
                <w:b w:val="0"/>
                <w:sz w:val="14"/>
              </w:rPr>
              <w:t>0-13</w:t>
            </w:r>
          </w:p>
        </w:tc>
        <w:tc>
          <w:tcPr>
            <w:tcW w:type="dxa" w:w="1440"/>
            <w:vAlign w:val="top"/>
          </w:tcPr>
          <w:p>
            <w:pPr>
              <w:spacing w:after="0"/>
            </w:pPr>
            <w:r/>
            <w:r>
              <w:rPr>
                <w:rFonts w:ascii="Arial" w:hAnsi="Arial" w:eastAsia="Arial"/>
                <w:b w:val="0"/>
                <w:sz w:val="14"/>
              </w:rPr>
              <w:t>&lt;65%</w:t>
            </w:r>
          </w:p>
        </w:tc>
        <w:tc>
          <w:tcPr>
            <w:tcW w:type="dxa" w:w="1440"/>
            <w:vAlign w:val="top"/>
          </w:tcPr>
          <w:p>
            <w:pPr>
              <w:spacing w:after="0"/>
            </w:pPr>
            <w:r/>
            <w:r>
              <w:rPr>
                <w:rFonts w:ascii="Arial" w:hAnsi="Arial" w:eastAsia="Arial"/>
                <w:b w:val="0"/>
                <w:sz w:val="14"/>
              </w:rPr>
              <w:t>70-90%</w:t>
            </w:r>
          </w:p>
        </w:tc>
        <w:tc>
          <w:tcPr>
            <w:tcW w:type="dxa" w:w="1440"/>
            <w:vAlign w:val="top"/>
          </w:tcPr>
          <w:p>
            <w:pPr>
              <w:spacing w:after="0"/>
            </w:pPr>
            <w:r/>
            <w:r>
              <w:rPr>
                <w:rFonts w:ascii="Arial" w:hAnsi="Arial" w:eastAsia="Arial"/>
                <w:b w:val="0"/>
                <w:sz w:val="14"/>
              </w:rPr>
              <w:t>&gt;95%</w:t>
            </w:r>
          </w:p>
        </w:tc>
        <w:tc>
          <w:tcPr>
            <w:tcW w:type="dxa" w:w="2448"/>
            <w:vAlign w:val="top"/>
          </w:tcPr>
          <w:p>
            <w:pPr>
              <w:spacing w:after="0"/>
            </w:pPr>
            <w:r/>
            <w:r>
              <w:rPr>
                <w:rFonts w:ascii="Arial" w:hAnsi="Arial" w:eastAsia="Arial"/>
                <w:b w:val="0"/>
                <w:sz w:val="14"/>
              </w:rPr>
              <w:t>Last-minute gap-fill above floor.</w:t>
            </w:r>
          </w:p>
        </w:tc>
        <w:tc>
          <w:tcPr>
            <w:tcW w:type="dxa" w:w="2448"/>
            <w:vAlign w:val="top"/>
          </w:tcPr>
          <w:p>
            <w:pPr>
              <w:spacing w:after="0"/>
            </w:pPr>
            <w:r/>
            <w:r>
              <w:rPr>
                <w:rFonts w:ascii="Arial" w:hAnsi="Arial" w:eastAsia="Arial"/>
                <w:b w:val="0"/>
                <w:sz w:val="14"/>
              </w:rPr>
              <w:t>Hold high-demand rates; no broad discounts.</w:t>
            </w:r>
          </w:p>
        </w:tc>
      </w:tr>
    </w:tbl>
    <w:p>
      <w:pPr>
        <w:pStyle w:val="Small"/>
      </w:pPr>
    </w:p>
    <w:p>
      <w:pPr>
        <w:pStyle w:val="Heading2"/>
      </w:pPr>
      <w:r>
        <w:t>9.2 Daily rate adjustment rules</w:t>
      </w:r>
    </w:p>
    <w:tbl>
      <w:tblPr>
        <w:tblStyle w:val="TableGrid"/>
        <w:tblW w:type="auto" w:w="0"/>
        <w:jc w:val="center"/>
        <w:tblLook w:firstColumn="1" w:firstRow="1" w:lastColumn="0" w:lastRow="0" w:noHBand="0" w:noVBand="1" w:val="04A0"/>
      </w:tblPr>
      <w:tblGrid>
        <w:gridCol w:w="5112"/>
        <w:gridCol w:w="5112"/>
      </w:tblGrid>
      <w:tr>
        <w:tc>
          <w:tcPr>
            <w:tcW w:type="dxa" w:w="3744"/>
            <w:shd w:fill="1F4E79"/>
            <w:vAlign w:val="center"/>
          </w:tcPr>
          <w:p>
            <w:pPr>
              <w:spacing w:after="0"/>
            </w:pPr>
            <w:r/>
            <w:r>
              <w:rPr>
                <w:rFonts w:ascii="Arial" w:hAnsi="Arial" w:eastAsia="Arial"/>
                <w:b/>
                <w:color w:val="FFFFFF"/>
                <w:sz w:val="16"/>
              </w:rPr>
              <w:t>Signal</w:t>
            </w:r>
          </w:p>
        </w:tc>
        <w:tc>
          <w:tcPr>
            <w:tcW w:type="dxa" w:w="6768"/>
            <w:shd w:fill="1F4E79"/>
            <w:vAlign w:val="center"/>
          </w:tcPr>
          <w:p>
            <w:pPr>
              <w:spacing w:after="0"/>
            </w:pPr>
            <w:r/>
            <w:r>
              <w:rPr>
                <w:rFonts w:ascii="Arial" w:hAnsi="Arial" w:eastAsia="Arial"/>
                <w:b/>
                <w:color w:val="FFFFFF"/>
                <w:sz w:val="16"/>
              </w:rPr>
              <w:t>Rule</w:t>
            </w:r>
          </w:p>
        </w:tc>
      </w:tr>
      <w:tr>
        <w:tc>
          <w:tcPr>
            <w:tcW w:type="dxa" w:w="3744"/>
            <w:vAlign w:val="top"/>
          </w:tcPr>
          <w:p>
            <w:pPr>
              <w:spacing w:after="0"/>
            </w:pPr>
            <w:r/>
            <w:r>
              <w:rPr>
                <w:rFonts w:ascii="Arial" w:hAnsi="Arial" w:eastAsia="Arial"/>
                <w:b w:val="0"/>
                <w:sz w:val="16"/>
              </w:rPr>
              <w:t>Booked too quickly after rate change</w:t>
            </w:r>
          </w:p>
        </w:tc>
        <w:tc>
          <w:tcPr>
            <w:tcW w:type="dxa" w:w="6768"/>
            <w:vAlign w:val="top"/>
          </w:tcPr>
          <w:p>
            <w:pPr>
              <w:spacing w:after="0"/>
            </w:pPr>
            <w:r/>
            <w:r>
              <w:rPr>
                <w:rFonts w:ascii="Arial" w:hAnsi="Arial" w:eastAsia="Arial"/>
                <w:b w:val="0"/>
                <w:sz w:val="16"/>
              </w:rPr>
              <w:t>Raise similar open dates 5-10%; inspect whether event/season premium is understated.</w:t>
            </w:r>
          </w:p>
        </w:tc>
      </w:tr>
      <w:tr>
        <w:tc>
          <w:tcPr>
            <w:tcW w:type="dxa" w:w="3744"/>
            <w:vAlign w:val="top"/>
          </w:tcPr>
          <w:p>
            <w:pPr>
              <w:spacing w:after="0"/>
            </w:pPr>
            <w:r/>
            <w:r>
              <w:rPr>
                <w:rFonts w:ascii="Arial" w:hAnsi="Arial" w:eastAsia="Arial"/>
                <w:b w:val="0"/>
                <w:sz w:val="16"/>
              </w:rPr>
              <w:t>Many inquiries but no bookings</w:t>
            </w:r>
          </w:p>
        </w:tc>
        <w:tc>
          <w:tcPr>
            <w:tcW w:type="dxa" w:w="6768"/>
            <w:vAlign w:val="top"/>
          </w:tcPr>
          <w:p>
            <w:pPr>
              <w:spacing w:after="0"/>
            </w:pPr>
            <w:r/>
            <w:r>
              <w:rPr>
                <w:rFonts w:ascii="Arial" w:hAnsi="Arial" w:eastAsia="Arial"/>
                <w:b w:val="0"/>
                <w:sz w:val="16"/>
              </w:rPr>
              <w:t>Check all-in price, cleaning fee, cancellation policy, and listing friction; reduce total price or improve listing copy.</w:t>
            </w:r>
          </w:p>
        </w:tc>
      </w:tr>
      <w:tr>
        <w:tc>
          <w:tcPr>
            <w:tcW w:type="dxa" w:w="3744"/>
            <w:vAlign w:val="top"/>
          </w:tcPr>
          <w:p>
            <w:pPr>
              <w:spacing w:after="0"/>
            </w:pPr>
            <w:r/>
            <w:r>
              <w:rPr>
                <w:rFonts w:ascii="Arial" w:hAnsi="Arial" w:eastAsia="Arial"/>
                <w:b w:val="0"/>
                <w:sz w:val="16"/>
              </w:rPr>
              <w:t>No inquiries and high comp availability</w:t>
            </w:r>
          </w:p>
        </w:tc>
        <w:tc>
          <w:tcPr>
            <w:tcW w:type="dxa" w:w="6768"/>
            <w:vAlign w:val="top"/>
          </w:tcPr>
          <w:p>
            <w:pPr>
              <w:spacing w:after="0"/>
            </w:pPr>
            <w:r/>
            <w:r>
              <w:rPr>
                <w:rFonts w:ascii="Arial" w:hAnsi="Arial" w:eastAsia="Arial"/>
                <w:b w:val="0"/>
                <w:sz w:val="16"/>
              </w:rPr>
              <w:t>Reduce 5-15%, relax min stay, and improve merchandising.</w:t>
            </w:r>
          </w:p>
        </w:tc>
      </w:tr>
      <w:tr>
        <w:tc>
          <w:tcPr>
            <w:tcW w:type="dxa" w:w="3744"/>
            <w:vAlign w:val="top"/>
          </w:tcPr>
          <w:p>
            <w:pPr>
              <w:spacing w:after="0"/>
            </w:pPr>
            <w:r/>
            <w:r>
              <w:rPr>
                <w:rFonts w:ascii="Arial" w:hAnsi="Arial" w:eastAsia="Arial"/>
                <w:b w:val="0"/>
                <w:sz w:val="16"/>
              </w:rPr>
              <w:t>Competitors selling out while listing remains open</w:t>
            </w:r>
          </w:p>
        </w:tc>
        <w:tc>
          <w:tcPr>
            <w:tcW w:type="dxa" w:w="6768"/>
            <w:vAlign w:val="top"/>
          </w:tcPr>
          <w:p>
            <w:pPr>
              <w:spacing w:after="0"/>
            </w:pPr>
            <w:r/>
            <w:r>
              <w:rPr>
                <w:rFonts w:ascii="Arial" w:hAnsi="Arial" w:eastAsia="Arial"/>
                <w:b w:val="0"/>
                <w:sz w:val="16"/>
              </w:rPr>
              <w:t>Inspect if price too high, restrictions too tight, or reviews weaker; if not, hold until late pickup.</w:t>
            </w:r>
          </w:p>
        </w:tc>
      </w:tr>
      <w:tr>
        <w:tc>
          <w:tcPr>
            <w:tcW w:type="dxa" w:w="3744"/>
            <w:vAlign w:val="top"/>
          </w:tcPr>
          <w:p>
            <w:pPr>
              <w:spacing w:after="0"/>
            </w:pPr>
            <w:r/>
            <w:r>
              <w:rPr>
                <w:rFonts w:ascii="Arial" w:hAnsi="Arial" w:eastAsia="Arial"/>
                <w:b w:val="0"/>
                <w:sz w:val="16"/>
              </w:rPr>
              <w:t>Strong weekend but weak midweek</w:t>
            </w:r>
          </w:p>
        </w:tc>
        <w:tc>
          <w:tcPr>
            <w:tcW w:type="dxa" w:w="6768"/>
            <w:vAlign w:val="top"/>
          </w:tcPr>
          <w:p>
            <w:pPr>
              <w:spacing w:after="0"/>
            </w:pPr>
            <w:r/>
            <w:r>
              <w:rPr>
                <w:rFonts w:ascii="Arial" w:hAnsi="Arial" w:eastAsia="Arial"/>
                <w:b w:val="0"/>
                <w:sz w:val="16"/>
              </w:rPr>
              <w:t>Keep weekend premium; discount or promote Sunday-Thursday; consider weekly value.</w:t>
            </w:r>
          </w:p>
        </w:tc>
      </w:tr>
      <w:tr>
        <w:tc>
          <w:tcPr>
            <w:tcW w:type="dxa" w:w="3744"/>
            <w:vAlign w:val="top"/>
          </w:tcPr>
          <w:p>
            <w:pPr>
              <w:spacing w:after="0"/>
            </w:pPr>
            <w:r/>
            <w:r>
              <w:rPr>
                <w:rFonts w:ascii="Arial" w:hAnsi="Arial" w:eastAsia="Arial"/>
                <w:b w:val="0"/>
                <w:sz w:val="16"/>
              </w:rPr>
              <w:t>Large gaps between bookings</w:t>
            </w:r>
          </w:p>
        </w:tc>
        <w:tc>
          <w:tcPr>
            <w:tcW w:type="dxa" w:w="6768"/>
            <w:vAlign w:val="top"/>
          </w:tcPr>
          <w:p>
            <w:pPr>
              <w:spacing w:after="0"/>
            </w:pPr>
            <w:r/>
            <w:r>
              <w:rPr>
                <w:rFonts w:ascii="Arial" w:hAnsi="Arial" w:eastAsia="Arial"/>
                <w:b w:val="0"/>
                <w:sz w:val="16"/>
              </w:rPr>
              <w:t>Apply gap-night rules: 1-2 night minimum only inside gaps; otherwise keep normal minimum stay.</w:t>
            </w:r>
          </w:p>
        </w:tc>
      </w:tr>
      <w:tr>
        <w:tc>
          <w:tcPr>
            <w:tcW w:type="dxa" w:w="3744"/>
            <w:vAlign w:val="top"/>
          </w:tcPr>
          <w:p>
            <w:pPr>
              <w:spacing w:after="0"/>
            </w:pPr>
            <w:r/>
            <w:r>
              <w:rPr>
                <w:rFonts w:ascii="Arial" w:hAnsi="Arial" w:eastAsia="Arial"/>
                <w:b w:val="0"/>
                <w:sz w:val="16"/>
              </w:rPr>
              <w:t>New negative review</w:t>
            </w:r>
          </w:p>
        </w:tc>
        <w:tc>
          <w:tcPr>
            <w:tcW w:type="dxa" w:w="6768"/>
            <w:vAlign w:val="top"/>
          </w:tcPr>
          <w:p>
            <w:pPr>
              <w:spacing w:after="0"/>
            </w:pPr>
            <w:r/>
            <w:r>
              <w:rPr>
                <w:rFonts w:ascii="Arial" w:hAnsi="Arial" w:eastAsia="Arial"/>
                <w:b w:val="0"/>
                <w:sz w:val="16"/>
              </w:rPr>
              <w:t>Pause rate increases for affected dates; fix issue; consider temporary 5-10% value correction.</w:t>
            </w:r>
          </w:p>
        </w:tc>
      </w:tr>
      <w:tr>
        <w:tc>
          <w:tcPr>
            <w:tcW w:type="dxa" w:w="3744"/>
            <w:vAlign w:val="top"/>
          </w:tcPr>
          <w:p>
            <w:pPr>
              <w:spacing w:after="0"/>
            </w:pPr>
            <w:r/>
            <w:r>
              <w:rPr>
                <w:rFonts w:ascii="Arial" w:hAnsi="Arial" w:eastAsia="Arial"/>
                <w:b w:val="0"/>
                <w:sz w:val="16"/>
              </w:rPr>
              <w:t>Major amenity upgrade</w:t>
            </w:r>
          </w:p>
        </w:tc>
        <w:tc>
          <w:tcPr>
            <w:tcW w:type="dxa" w:w="6768"/>
            <w:vAlign w:val="top"/>
          </w:tcPr>
          <w:p>
            <w:pPr>
              <w:spacing w:after="0"/>
            </w:pPr>
            <w:r/>
            <w:r>
              <w:rPr>
                <w:rFonts w:ascii="Arial" w:hAnsi="Arial" w:eastAsia="Arial"/>
                <w:b w:val="0"/>
                <w:sz w:val="16"/>
              </w:rPr>
              <w:t>Raise base 5-20% depending amenity, but only after photos and listing description are updated.</w:t>
            </w:r>
          </w:p>
        </w:tc>
      </w:tr>
    </w:tbl>
    <w:p>
      <w:pPr>
        <w:pStyle w:val="Small"/>
      </w:pPr>
    </w:p>
    <w:p>
      <w:pPr>
        <w:pStyle w:val="Heading2"/>
      </w:pPr>
      <w:r>
        <w:t>9.3 Dynamic pricing software guardrails</w:t>
      </w:r>
    </w:p>
    <w:p>
      <w:r>
        <w:t>Dynamic pricing software can process large amounts of data, but the host must define strategy. At minimum, configure base price, minimum price, maximum price, seasonal floors, orphan-gap rules, minimum stays, event premiums, and owner-specific constraints. Do not leave a tool unattended through regulation changes, major events, weather events, or platform fee changes. PriceLabs describes how dynamic pricing systems infer bookings and booking windows from calendar changes, including logic to distinguish owner blocks from real bookings [I7]. This inference is useful but not infallible.</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pPr>
              <w:spacing w:after="0"/>
            </w:pPr>
            <w:r/>
            <w:r>
              <w:rPr>
                <w:rFonts w:ascii="Arial" w:hAnsi="Arial" w:eastAsia="Arial"/>
                <w:b/>
                <w:color w:val="FFFFFF"/>
                <w:sz w:val="16"/>
              </w:rPr>
              <w:t>Software setting</w:t>
            </w:r>
          </w:p>
        </w:tc>
        <w:tc>
          <w:tcPr>
            <w:tcW w:type="dxa" w:w="7344"/>
            <w:shd w:fill="1F4E79"/>
            <w:vAlign w:val="center"/>
          </w:tcPr>
          <w:p>
            <w:pPr>
              <w:spacing w:after="0"/>
            </w:pPr>
            <w:r/>
            <w:r>
              <w:rPr>
                <w:rFonts w:ascii="Arial" w:hAnsi="Arial" w:eastAsia="Arial"/>
                <w:b/>
                <w:color w:val="FFFFFF"/>
                <w:sz w:val="16"/>
              </w:rPr>
              <w:t>Recommended governance</w:t>
            </w:r>
          </w:p>
        </w:tc>
      </w:tr>
      <w:tr>
        <w:tc>
          <w:tcPr>
            <w:tcW w:type="dxa" w:w="3168"/>
            <w:vAlign w:val="top"/>
          </w:tcPr>
          <w:p>
            <w:pPr>
              <w:spacing w:after="0"/>
            </w:pPr>
            <w:r/>
            <w:r>
              <w:rPr>
                <w:rFonts w:ascii="Arial" w:hAnsi="Arial" w:eastAsia="Arial"/>
                <w:b w:val="0"/>
                <w:sz w:val="16"/>
              </w:rPr>
              <w:t>Base price</w:t>
            </w:r>
          </w:p>
        </w:tc>
        <w:tc>
          <w:tcPr>
            <w:tcW w:type="dxa" w:w="7344"/>
            <w:vAlign w:val="top"/>
          </w:tcPr>
          <w:p>
            <w:pPr>
              <w:spacing w:after="0"/>
            </w:pPr>
            <w:r/>
            <w:r>
              <w:rPr>
                <w:rFonts w:ascii="Arial" w:hAnsi="Arial" w:eastAsia="Arial"/>
                <w:b w:val="0"/>
                <w:sz w:val="16"/>
              </w:rPr>
              <w:t>Review monthly and after every major product change; do not adjust daily.</w:t>
            </w:r>
          </w:p>
        </w:tc>
      </w:tr>
      <w:tr>
        <w:tc>
          <w:tcPr>
            <w:tcW w:type="dxa" w:w="3168"/>
            <w:vAlign w:val="top"/>
          </w:tcPr>
          <w:p>
            <w:pPr>
              <w:spacing w:after="0"/>
            </w:pPr>
            <w:r/>
            <w:r>
              <w:rPr>
                <w:rFonts w:ascii="Arial" w:hAnsi="Arial" w:eastAsia="Arial"/>
                <w:b w:val="0"/>
                <w:sz w:val="16"/>
              </w:rPr>
              <w:t>Minimum price</w:t>
            </w:r>
          </w:p>
        </w:tc>
        <w:tc>
          <w:tcPr>
            <w:tcW w:type="dxa" w:w="7344"/>
            <w:vAlign w:val="top"/>
          </w:tcPr>
          <w:p>
            <w:pPr>
              <w:spacing w:after="0"/>
            </w:pPr>
            <w:r/>
            <w:r>
              <w:rPr>
                <w:rFonts w:ascii="Arial" w:hAnsi="Arial" w:eastAsia="Arial"/>
                <w:b w:val="0"/>
                <w:sz w:val="16"/>
              </w:rPr>
              <w:t>Set by season and day type; include variable costs and brand floor.</w:t>
            </w:r>
          </w:p>
        </w:tc>
      </w:tr>
      <w:tr>
        <w:tc>
          <w:tcPr>
            <w:tcW w:type="dxa" w:w="3168"/>
            <w:vAlign w:val="top"/>
          </w:tcPr>
          <w:p>
            <w:pPr>
              <w:spacing w:after="0"/>
            </w:pPr>
            <w:r/>
            <w:r>
              <w:rPr>
                <w:rFonts w:ascii="Arial" w:hAnsi="Arial" w:eastAsia="Arial"/>
                <w:b w:val="0"/>
                <w:sz w:val="16"/>
              </w:rPr>
              <w:t>Maximum price</w:t>
            </w:r>
          </w:p>
        </w:tc>
        <w:tc>
          <w:tcPr>
            <w:tcW w:type="dxa" w:w="7344"/>
            <w:vAlign w:val="top"/>
          </w:tcPr>
          <w:p>
            <w:pPr>
              <w:spacing w:after="0"/>
            </w:pPr>
            <w:r/>
            <w:r>
              <w:rPr>
                <w:rFonts w:ascii="Arial" w:hAnsi="Arial" w:eastAsia="Arial"/>
                <w:b w:val="0"/>
                <w:sz w:val="16"/>
              </w:rPr>
              <w:t>Set a soft cap and manual review threshold for extreme events.</w:t>
            </w:r>
          </w:p>
        </w:tc>
      </w:tr>
      <w:tr>
        <w:tc>
          <w:tcPr>
            <w:tcW w:type="dxa" w:w="3168"/>
            <w:vAlign w:val="top"/>
          </w:tcPr>
          <w:p>
            <w:pPr>
              <w:spacing w:after="0"/>
            </w:pPr>
            <w:r/>
            <w:r>
              <w:rPr>
                <w:rFonts w:ascii="Arial" w:hAnsi="Arial" w:eastAsia="Arial"/>
                <w:b w:val="0"/>
                <w:sz w:val="16"/>
              </w:rPr>
              <w:t>Seasonality</w:t>
            </w:r>
          </w:p>
        </w:tc>
        <w:tc>
          <w:tcPr>
            <w:tcW w:type="dxa" w:w="7344"/>
            <w:vAlign w:val="top"/>
          </w:tcPr>
          <w:p>
            <w:pPr>
              <w:spacing w:after="0"/>
            </w:pPr>
            <w:r/>
            <w:r>
              <w:rPr>
                <w:rFonts w:ascii="Arial" w:hAnsi="Arial" w:eastAsia="Arial"/>
                <w:b w:val="0"/>
                <w:sz w:val="16"/>
              </w:rPr>
              <w:t>Validate tool seasonality against local events and historical pace.</w:t>
            </w:r>
          </w:p>
        </w:tc>
      </w:tr>
      <w:tr>
        <w:tc>
          <w:tcPr>
            <w:tcW w:type="dxa" w:w="3168"/>
            <w:vAlign w:val="top"/>
          </w:tcPr>
          <w:p>
            <w:pPr>
              <w:spacing w:after="0"/>
            </w:pPr>
            <w:r/>
            <w:r>
              <w:rPr>
                <w:rFonts w:ascii="Arial" w:hAnsi="Arial" w:eastAsia="Arial"/>
                <w:b w:val="0"/>
                <w:sz w:val="16"/>
              </w:rPr>
              <w:t>Minimum stay</w:t>
            </w:r>
          </w:p>
        </w:tc>
        <w:tc>
          <w:tcPr>
            <w:tcW w:type="dxa" w:w="7344"/>
            <w:vAlign w:val="top"/>
          </w:tcPr>
          <w:p>
            <w:pPr>
              <w:spacing w:after="0"/>
            </w:pPr>
            <w:r/>
            <w:r>
              <w:rPr>
                <w:rFonts w:ascii="Arial" w:hAnsi="Arial" w:eastAsia="Arial"/>
                <w:b w:val="0"/>
                <w:sz w:val="16"/>
              </w:rPr>
              <w:t>Use rules by date type; avoid blocking demand with rigid all-year minimums.</w:t>
            </w:r>
          </w:p>
        </w:tc>
      </w:tr>
      <w:tr>
        <w:tc>
          <w:tcPr>
            <w:tcW w:type="dxa" w:w="3168"/>
            <w:vAlign w:val="top"/>
          </w:tcPr>
          <w:p>
            <w:pPr>
              <w:spacing w:after="0"/>
            </w:pPr>
            <w:r/>
            <w:r>
              <w:rPr>
                <w:rFonts w:ascii="Arial" w:hAnsi="Arial" w:eastAsia="Arial"/>
                <w:b w:val="0"/>
                <w:sz w:val="16"/>
              </w:rPr>
              <w:t>Last-minute rules</w:t>
            </w:r>
          </w:p>
        </w:tc>
        <w:tc>
          <w:tcPr>
            <w:tcW w:type="dxa" w:w="7344"/>
            <w:vAlign w:val="top"/>
          </w:tcPr>
          <w:p>
            <w:pPr>
              <w:spacing w:after="0"/>
            </w:pPr>
            <w:r/>
            <w:r>
              <w:rPr>
                <w:rFonts w:ascii="Arial" w:hAnsi="Arial" w:eastAsia="Arial"/>
                <w:b w:val="0"/>
                <w:sz w:val="16"/>
              </w:rPr>
              <w:t>Only for soft/gap dates; do not apply to high-compression event nights.</w:t>
            </w:r>
          </w:p>
        </w:tc>
      </w:tr>
      <w:tr>
        <w:tc>
          <w:tcPr>
            <w:tcW w:type="dxa" w:w="3168"/>
            <w:vAlign w:val="top"/>
          </w:tcPr>
          <w:p>
            <w:pPr>
              <w:spacing w:after="0"/>
            </w:pPr>
            <w:r/>
            <w:r>
              <w:rPr>
                <w:rFonts w:ascii="Arial" w:hAnsi="Arial" w:eastAsia="Arial"/>
                <w:b w:val="0"/>
                <w:sz w:val="16"/>
              </w:rPr>
              <w:t>Owner blocks</w:t>
            </w:r>
          </w:p>
        </w:tc>
        <w:tc>
          <w:tcPr>
            <w:tcW w:type="dxa" w:w="7344"/>
            <w:vAlign w:val="top"/>
          </w:tcPr>
          <w:p>
            <w:pPr>
              <w:spacing w:after="0"/>
            </w:pPr>
            <w:r/>
            <w:r>
              <w:rPr>
                <w:rFonts w:ascii="Arial" w:hAnsi="Arial" w:eastAsia="Arial"/>
                <w:b w:val="0"/>
                <w:sz w:val="16"/>
              </w:rPr>
              <w:t>Mark clearly so the system does not mistake blocks for booked demand.</w:t>
            </w:r>
          </w:p>
        </w:tc>
      </w:tr>
    </w:tbl>
    <w:p>
      <w:pPr>
        <w:pStyle w:val="Small"/>
      </w:pPr>
    </w:p>
    <w:p>
      <w:r>
        <w:br w:type="page"/>
      </w:r>
    </w:p>
    <w:p>
      <w:pPr>
        <w:pStyle w:val="Heading1"/>
      </w:pPr>
      <w:r>
        <w:t>10. Length-of-Stay, Gap-Night, and Calendar Rules</w:t>
      </w:r>
    </w:p>
    <w:p>
      <w:pPr>
        <w:pStyle w:val="Heading2"/>
      </w:pPr>
      <w:r>
        <w:t>10.1 Why LOS controls matter</w:t>
      </w:r>
    </w:p>
    <w:p>
      <w:r>
        <w:t>Minimum-stay rules are revenue controls, not housekeeping preferences. A poorly designed minimum stay can either block valuable demand or leave revenue on the table. High-demand periods often require longer minimum stays because short bookings can fragment the calendar. Low-demand and shoulder periods often require flexibility because the cost of leaving nights empty is higher than the value of a rigid rule.</w:t>
      </w:r>
    </w:p>
    <w:tbl>
      <w:tblPr>
        <w:tblStyle w:val="TableGrid"/>
        <w:tblW w:type="auto" w:w="0"/>
        <w:jc w:val="center"/>
        <w:tblLook w:firstColumn="1" w:firstRow="1" w:lastColumn="0" w:lastRow="0" w:noHBand="0" w:noVBand="1" w:val="04A0"/>
      </w:tblPr>
      <w:tblGrid>
        <w:gridCol w:w="3408"/>
        <w:gridCol w:w="3408"/>
        <w:gridCol w:w="3408"/>
      </w:tblGrid>
      <w:tr>
        <w:tc>
          <w:tcPr>
            <w:tcW w:type="dxa" w:w="3024"/>
            <w:shd w:fill="1F4E79"/>
            <w:vAlign w:val="center"/>
          </w:tcPr>
          <w:p>
            <w:pPr>
              <w:spacing w:after="0"/>
            </w:pPr>
            <w:r/>
            <w:r>
              <w:rPr>
                <w:rFonts w:ascii="Arial" w:hAnsi="Arial" w:eastAsia="Arial"/>
                <w:b/>
                <w:color w:val="FFFFFF"/>
                <w:sz w:val="16"/>
              </w:rPr>
              <w:t>Date type</w:t>
            </w:r>
          </w:p>
        </w:tc>
        <w:tc>
          <w:tcPr>
            <w:tcW w:type="dxa" w:w="2736"/>
            <w:shd w:fill="1F4E79"/>
            <w:vAlign w:val="center"/>
          </w:tcPr>
          <w:p>
            <w:pPr>
              <w:spacing w:after="0"/>
            </w:pPr>
            <w:r/>
            <w:r>
              <w:rPr>
                <w:rFonts w:ascii="Arial" w:hAnsi="Arial" w:eastAsia="Arial"/>
                <w:b/>
                <w:color w:val="FFFFFF"/>
                <w:sz w:val="16"/>
              </w:rPr>
              <w:t>Recommended minimum stay</w:t>
            </w:r>
          </w:p>
        </w:tc>
        <w:tc>
          <w:tcPr>
            <w:tcW w:type="dxa" w:w="4608"/>
            <w:shd w:fill="1F4E79"/>
            <w:vAlign w:val="center"/>
          </w:tcPr>
          <w:p>
            <w:pPr>
              <w:spacing w:after="0"/>
            </w:pPr>
            <w:r/>
            <w:r>
              <w:rPr>
                <w:rFonts w:ascii="Arial" w:hAnsi="Arial" w:eastAsia="Arial"/>
                <w:b/>
                <w:color w:val="FFFFFF"/>
                <w:sz w:val="16"/>
              </w:rPr>
              <w:t>Rationale</w:t>
            </w:r>
          </w:p>
        </w:tc>
      </w:tr>
      <w:tr>
        <w:tc>
          <w:tcPr>
            <w:tcW w:type="dxa" w:w="3024"/>
            <w:vAlign w:val="top"/>
          </w:tcPr>
          <w:p>
            <w:pPr>
              <w:spacing w:after="0"/>
            </w:pPr>
            <w:r/>
            <w:r>
              <w:rPr>
                <w:rFonts w:ascii="Arial" w:hAnsi="Arial" w:eastAsia="Arial"/>
                <w:b w:val="0"/>
                <w:sz w:val="16"/>
              </w:rPr>
              <w:t>Normal urban weekday</w:t>
            </w:r>
          </w:p>
        </w:tc>
        <w:tc>
          <w:tcPr>
            <w:tcW w:type="dxa" w:w="2736"/>
            <w:vAlign w:val="top"/>
          </w:tcPr>
          <w:p>
            <w:pPr>
              <w:spacing w:after="0"/>
            </w:pPr>
            <w:r/>
            <w:r>
              <w:rPr>
                <w:rFonts w:ascii="Arial" w:hAnsi="Arial" w:eastAsia="Arial"/>
                <w:b w:val="0"/>
                <w:sz w:val="16"/>
              </w:rPr>
              <w:t>1-2 nights</w:t>
            </w:r>
          </w:p>
        </w:tc>
        <w:tc>
          <w:tcPr>
            <w:tcW w:type="dxa" w:w="4608"/>
            <w:vAlign w:val="top"/>
          </w:tcPr>
          <w:p>
            <w:pPr>
              <w:spacing w:after="0"/>
            </w:pPr>
            <w:r/>
            <w:r>
              <w:rPr>
                <w:rFonts w:ascii="Arial" w:hAnsi="Arial" w:eastAsia="Arial"/>
                <w:b w:val="0"/>
                <w:sz w:val="16"/>
              </w:rPr>
              <w:t>Capture business, visiting family, and short leisure stays.</w:t>
            </w:r>
          </w:p>
        </w:tc>
      </w:tr>
      <w:tr>
        <w:tc>
          <w:tcPr>
            <w:tcW w:type="dxa" w:w="3024"/>
            <w:vAlign w:val="top"/>
          </w:tcPr>
          <w:p>
            <w:pPr>
              <w:spacing w:after="0"/>
            </w:pPr>
            <w:r/>
            <w:r>
              <w:rPr>
                <w:rFonts w:ascii="Arial" w:hAnsi="Arial" w:eastAsia="Arial"/>
                <w:b w:val="0"/>
                <w:sz w:val="16"/>
              </w:rPr>
              <w:t>Urban weekend</w:t>
            </w:r>
          </w:p>
        </w:tc>
        <w:tc>
          <w:tcPr>
            <w:tcW w:type="dxa" w:w="2736"/>
            <w:vAlign w:val="top"/>
          </w:tcPr>
          <w:p>
            <w:pPr>
              <w:spacing w:after="0"/>
            </w:pPr>
            <w:r/>
            <w:r>
              <w:rPr>
                <w:rFonts w:ascii="Arial" w:hAnsi="Arial" w:eastAsia="Arial"/>
                <w:b w:val="0"/>
                <w:sz w:val="16"/>
              </w:rPr>
              <w:t>2 nights</w:t>
            </w:r>
          </w:p>
        </w:tc>
        <w:tc>
          <w:tcPr>
            <w:tcW w:type="dxa" w:w="4608"/>
            <w:vAlign w:val="top"/>
          </w:tcPr>
          <w:p>
            <w:pPr>
              <w:spacing w:after="0"/>
            </w:pPr>
            <w:r/>
            <w:r>
              <w:rPr>
                <w:rFonts w:ascii="Arial" w:hAnsi="Arial" w:eastAsia="Arial"/>
                <w:b w:val="0"/>
                <w:sz w:val="16"/>
              </w:rPr>
              <w:t>Protect Friday/Saturday pairing; allow 1-night only if it fills a gap.</w:t>
            </w:r>
          </w:p>
        </w:tc>
      </w:tr>
      <w:tr>
        <w:tc>
          <w:tcPr>
            <w:tcW w:type="dxa" w:w="3024"/>
            <w:vAlign w:val="top"/>
          </w:tcPr>
          <w:p>
            <w:pPr>
              <w:spacing w:after="0"/>
            </w:pPr>
            <w:r/>
            <w:r>
              <w:rPr>
                <w:rFonts w:ascii="Arial" w:hAnsi="Arial" w:eastAsia="Arial"/>
                <w:b w:val="0"/>
                <w:sz w:val="16"/>
              </w:rPr>
              <w:t>Beach peak week</w:t>
            </w:r>
          </w:p>
        </w:tc>
        <w:tc>
          <w:tcPr>
            <w:tcW w:type="dxa" w:w="2736"/>
            <w:vAlign w:val="top"/>
          </w:tcPr>
          <w:p>
            <w:pPr>
              <w:spacing w:after="0"/>
            </w:pPr>
            <w:r/>
            <w:r>
              <w:rPr>
                <w:rFonts w:ascii="Arial" w:hAnsi="Arial" w:eastAsia="Arial"/>
                <w:b w:val="0"/>
                <w:sz w:val="16"/>
              </w:rPr>
              <w:t>5-7 nights</w:t>
            </w:r>
          </w:p>
        </w:tc>
        <w:tc>
          <w:tcPr>
            <w:tcW w:type="dxa" w:w="4608"/>
            <w:vAlign w:val="top"/>
          </w:tcPr>
          <w:p>
            <w:pPr>
              <w:spacing w:after="0"/>
            </w:pPr>
            <w:r/>
            <w:r>
              <w:rPr>
                <w:rFonts w:ascii="Arial" w:hAnsi="Arial" w:eastAsia="Arial"/>
                <w:b w:val="0"/>
                <w:sz w:val="16"/>
              </w:rPr>
              <w:t>Families book longer trips; cleaning/turnover cadence matters.</w:t>
            </w:r>
          </w:p>
        </w:tc>
      </w:tr>
      <w:tr>
        <w:tc>
          <w:tcPr>
            <w:tcW w:type="dxa" w:w="3024"/>
            <w:vAlign w:val="top"/>
          </w:tcPr>
          <w:p>
            <w:pPr>
              <w:spacing w:after="0"/>
            </w:pPr>
            <w:r/>
            <w:r>
              <w:rPr>
                <w:rFonts w:ascii="Arial" w:hAnsi="Arial" w:eastAsia="Arial"/>
                <w:b w:val="0"/>
                <w:sz w:val="16"/>
              </w:rPr>
              <w:t>Ski holiday</w:t>
            </w:r>
          </w:p>
        </w:tc>
        <w:tc>
          <w:tcPr>
            <w:tcW w:type="dxa" w:w="2736"/>
            <w:vAlign w:val="top"/>
          </w:tcPr>
          <w:p>
            <w:pPr>
              <w:spacing w:after="0"/>
            </w:pPr>
            <w:r/>
            <w:r>
              <w:rPr>
                <w:rFonts w:ascii="Arial" w:hAnsi="Arial" w:eastAsia="Arial"/>
                <w:b w:val="0"/>
                <w:sz w:val="16"/>
              </w:rPr>
              <w:t>3-5 nights</w:t>
            </w:r>
          </w:p>
        </w:tc>
        <w:tc>
          <w:tcPr>
            <w:tcW w:type="dxa" w:w="4608"/>
            <w:vAlign w:val="top"/>
          </w:tcPr>
          <w:p>
            <w:pPr>
              <w:spacing w:after="0"/>
            </w:pPr>
            <w:r/>
            <w:r>
              <w:rPr>
                <w:rFonts w:ascii="Arial" w:hAnsi="Arial" w:eastAsia="Arial"/>
                <w:b w:val="0"/>
                <w:sz w:val="16"/>
              </w:rPr>
              <w:t>Travel cost and scarcity support longer stays.</w:t>
            </w:r>
          </w:p>
        </w:tc>
      </w:tr>
      <w:tr>
        <w:tc>
          <w:tcPr>
            <w:tcW w:type="dxa" w:w="3024"/>
            <w:vAlign w:val="top"/>
          </w:tcPr>
          <w:p>
            <w:pPr>
              <w:spacing w:after="0"/>
            </w:pPr>
            <w:r/>
            <w:r>
              <w:rPr>
                <w:rFonts w:ascii="Arial" w:hAnsi="Arial" w:eastAsia="Arial"/>
                <w:b w:val="0"/>
                <w:sz w:val="16"/>
              </w:rPr>
              <w:t>Holiday weekend</w:t>
            </w:r>
          </w:p>
        </w:tc>
        <w:tc>
          <w:tcPr>
            <w:tcW w:type="dxa" w:w="2736"/>
            <w:vAlign w:val="top"/>
          </w:tcPr>
          <w:p>
            <w:pPr>
              <w:spacing w:after="0"/>
            </w:pPr>
            <w:r/>
            <w:r>
              <w:rPr>
                <w:rFonts w:ascii="Arial" w:hAnsi="Arial" w:eastAsia="Arial"/>
                <w:b w:val="0"/>
                <w:sz w:val="16"/>
              </w:rPr>
              <w:t>3 nights</w:t>
            </w:r>
          </w:p>
        </w:tc>
        <w:tc>
          <w:tcPr>
            <w:tcW w:type="dxa" w:w="4608"/>
            <w:vAlign w:val="top"/>
          </w:tcPr>
          <w:p>
            <w:pPr>
              <w:spacing w:after="0"/>
            </w:pPr>
            <w:r/>
            <w:r>
              <w:rPr>
                <w:rFonts w:ascii="Arial" w:hAnsi="Arial" w:eastAsia="Arial"/>
                <w:b w:val="0"/>
                <w:sz w:val="16"/>
              </w:rPr>
              <w:t>Prevents single-night displacement of premium weekend demand.</w:t>
            </w:r>
          </w:p>
        </w:tc>
      </w:tr>
      <w:tr>
        <w:tc>
          <w:tcPr>
            <w:tcW w:type="dxa" w:w="3024"/>
            <w:vAlign w:val="top"/>
          </w:tcPr>
          <w:p>
            <w:pPr>
              <w:spacing w:after="0"/>
            </w:pPr>
            <w:r/>
            <w:r>
              <w:rPr>
                <w:rFonts w:ascii="Arial" w:hAnsi="Arial" w:eastAsia="Arial"/>
                <w:b w:val="0"/>
                <w:sz w:val="16"/>
              </w:rPr>
              <w:t>Major event</w:t>
            </w:r>
          </w:p>
        </w:tc>
        <w:tc>
          <w:tcPr>
            <w:tcW w:type="dxa" w:w="2736"/>
            <w:vAlign w:val="top"/>
          </w:tcPr>
          <w:p>
            <w:pPr>
              <w:spacing w:after="0"/>
            </w:pPr>
            <w:r/>
            <w:r>
              <w:rPr>
                <w:rFonts w:ascii="Arial" w:hAnsi="Arial" w:eastAsia="Arial"/>
                <w:b w:val="0"/>
                <w:sz w:val="16"/>
              </w:rPr>
              <w:t>2-4 nights depending event duration</w:t>
            </w:r>
          </w:p>
        </w:tc>
        <w:tc>
          <w:tcPr>
            <w:tcW w:type="dxa" w:w="4608"/>
            <w:vAlign w:val="top"/>
          </w:tcPr>
          <w:p>
            <w:pPr>
              <w:spacing w:after="0"/>
            </w:pPr>
            <w:r/>
            <w:r>
              <w:rPr>
                <w:rFonts w:ascii="Arial" w:hAnsi="Arial" w:eastAsia="Arial"/>
                <w:b w:val="0"/>
                <w:sz w:val="16"/>
              </w:rPr>
              <w:t>Protects compression value and reduces party risk.</w:t>
            </w:r>
          </w:p>
        </w:tc>
      </w:tr>
      <w:tr>
        <w:tc>
          <w:tcPr>
            <w:tcW w:type="dxa" w:w="3024"/>
            <w:vAlign w:val="top"/>
          </w:tcPr>
          <w:p>
            <w:pPr>
              <w:spacing w:after="0"/>
            </w:pPr>
            <w:r/>
            <w:r>
              <w:rPr>
                <w:rFonts w:ascii="Arial" w:hAnsi="Arial" w:eastAsia="Arial"/>
                <w:b w:val="0"/>
                <w:sz w:val="16"/>
              </w:rPr>
              <w:t>Shoulder gap</w:t>
            </w:r>
          </w:p>
        </w:tc>
        <w:tc>
          <w:tcPr>
            <w:tcW w:type="dxa" w:w="2736"/>
            <w:vAlign w:val="top"/>
          </w:tcPr>
          <w:p>
            <w:pPr>
              <w:spacing w:after="0"/>
            </w:pPr>
            <w:r/>
            <w:r>
              <w:rPr>
                <w:rFonts w:ascii="Arial" w:hAnsi="Arial" w:eastAsia="Arial"/>
                <w:b w:val="0"/>
                <w:sz w:val="16"/>
              </w:rPr>
              <w:t>1-2 nights</w:t>
            </w:r>
          </w:p>
        </w:tc>
        <w:tc>
          <w:tcPr>
            <w:tcW w:type="dxa" w:w="4608"/>
            <w:vAlign w:val="top"/>
          </w:tcPr>
          <w:p>
            <w:pPr>
              <w:spacing w:after="0"/>
            </w:pPr>
            <w:r/>
            <w:r>
              <w:rPr>
                <w:rFonts w:ascii="Arial" w:hAnsi="Arial" w:eastAsia="Arial"/>
                <w:b w:val="0"/>
                <w:sz w:val="16"/>
              </w:rPr>
              <w:t>Monetizes orphan nights that otherwise remain vacant.</w:t>
            </w:r>
          </w:p>
        </w:tc>
      </w:tr>
    </w:tbl>
    <w:p>
      <w:pPr>
        <w:pStyle w:val="Small"/>
      </w:pPr>
    </w:p>
    <w:p>
      <w:pPr>
        <w:pStyle w:val="Heading2"/>
      </w:pPr>
      <w:r>
        <w:t>10.2 Gap-night logic</w:t>
      </w:r>
    </w:p>
    <w:p>
      <w:r>
        <w:t>A gap night is a night or short sequence trapped between two bookings. Gaps are common in short-term rentals because bookings vary in length. Revenue managers should use special rules to fill gaps without weakening the broader calendar. If a two-night gap exists between two bookings, allow a two-night stay even if the normal minimum is three. If a one-night gap exists and operations allow it, price it above variable cost and below normal weekend rate to convert quickly.</w:t>
      </w:r>
    </w:p>
    <w:p>
      <w:pPr>
        <w:pStyle w:val="Callout"/>
      </w:pPr>
      <w:r>
        <w:rPr>
          <w:b/>
        </w:rPr>
        <w:t>Gap price rule: Gap Rate = max(variable-cost floor, normal date rate x 0.70-0.90), adjusted upward if the gap includes a high-demand night.</w:t>
      </w:r>
    </w:p>
    <w:p>
      <w:r>
        <w:t>For large homes, do not automatically open one-night gaps if the operational and party risk is high. Instead, consider two-night gaps, targeted special offers, or owner use. For private rooms and urban studios, one-night gap fill is often acceptable if cleaning and check-in operations are efficient.</w:t>
      </w:r>
    </w:p>
    <w:p>
      <w:pPr>
        <w:pStyle w:val="Heading2"/>
      </w:pPr>
      <w:r>
        <w:t>10.3 Check-in and checkout restrictions</w:t>
      </w:r>
    </w:p>
    <w:p>
      <w:r>
        <w:t>Check-in restrictions should be used sparingly. Beach and ski markets may benefit from Saturday-to-Saturday or Friday-to-Monday logic during peak weeks, but rigid check-in rules can reduce conversion during shoulder seasons. Airbnb rule-sets can control check-in and checkout requirements [P2]. Apply them only to periods where calendar pattern is predictable and demand is strong enough.</w:t>
      </w:r>
    </w:p>
    <w:tbl>
      <w:tblPr>
        <w:tblStyle w:val="TableGrid"/>
        <w:tblW w:type="auto" w:w="0"/>
        <w:jc w:val="center"/>
        <w:tblLook w:firstColumn="1" w:firstRow="1" w:lastColumn="0" w:lastRow="0" w:noHBand="0" w:noVBand="1" w:val="04A0"/>
      </w:tblPr>
      <w:tblGrid>
        <w:gridCol w:w="3408"/>
        <w:gridCol w:w="3408"/>
        <w:gridCol w:w="3408"/>
      </w:tblGrid>
      <w:tr>
        <w:tc>
          <w:tcPr>
            <w:tcW w:type="dxa" w:w="2808"/>
            <w:shd w:fill="1F4E79"/>
            <w:vAlign w:val="center"/>
          </w:tcPr>
          <w:p>
            <w:pPr>
              <w:spacing w:after="0"/>
            </w:pPr>
            <w:r/>
            <w:r>
              <w:rPr>
                <w:rFonts w:ascii="Arial" w:hAnsi="Arial" w:eastAsia="Arial"/>
                <w:b/>
                <w:color w:val="FFFFFF"/>
                <w:sz w:val="16"/>
              </w:rPr>
              <w:t>Restriction</w:t>
            </w:r>
          </w:p>
        </w:tc>
        <w:tc>
          <w:tcPr>
            <w:tcW w:type="dxa" w:w="4320"/>
            <w:shd w:fill="1F4E79"/>
            <w:vAlign w:val="center"/>
          </w:tcPr>
          <w:p>
            <w:pPr>
              <w:spacing w:after="0"/>
            </w:pPr>
            <w:r/>
            <w:r>
              <w:rPr>
                <w:rFonts w:ascii="Arial" w:hAnsi="Arial" w:eastAsia="Arial"/>
                <w:b/>
                <w:color w:val="FFFFFF"/>
                <w:sz w:val="16"/>
              </w:rPr>
              <w:t>Use when</w:t>
            </w:r>
          </w:p>
        </w:tc>
        <w:tc>
          <w:tcPr>
            <w:tcW w:type="dxa" w:w="3384"/>
            <w:shd w:fill="1F4E79"/>
            <w:vAlign w:val="center"/>
          </w:tcPr>
          <w:p>
            <w:pPr>
              <w:spacing w:after="0"/>
            </w:pPr>
            <w:r/>
            <w:r>
              <w:rPr>
                <w:rFonts w:ascii="Arial" w:hAnsi="Arial" w:eastAsia="Arial"/>
                <w:b/>
                <w:color w:val="FFFFFF"/>
                <w:sz w:val="16"/>
              </w:rPr>
              <w:t>Avoid when</w:t>
            </w:r>
          </w:p>
        </w:tc>
      </w:tr>
      <w:tr>
        <w:tc>
          <w:tcPr>
            <w:tcW w:type="dxa" w:w="2808"/>
            <w:vAlign w:val="top"/>
          </w:tcPr>
          <w:p>
            <w:pPr>
              <w:spacing w:after="0"/>
            </w:pPr>
            <w:r/>
            <w:r>
              <w:rPr>
                <w:rFonts w:ascii="Arial" w:hAnsi="Arial" w:eastAsia="Arial"/>
                <w:b w:val="0"/>
                <w:sz w:val="16"/>
              </w:rPr>
              <w:t>Saturday-only check-in</w:t>
            </w:r>
          </w:p>
        </w:tc>
        <w:tc>
          <w:tcPr>
            <w:tcW w:type="dxa" w:w="4320"/>
            <w:vAlign w:val="top"/>
          </w:tcPr>
          <w:p>
            <w:pPr>
              <w:spacing w:after="0"/>
            </w:pPr>
            <w:r/>
            <w:r>
              <w:rPr>
                <w:rFonts w:ascii="Arial" w:hAnsi="Arial" w:eastAsia="Arial"/>
                <w:b w:val="0"/>
                <w:sz w:val="16"/>
              </w:rPr>
              <w:t>Traditional weekly beach markets with strong weekly demand.</w:t>
            </w:r>
          </w:p>
        </w:tc>
        <w:tc>
          <w:tcPr>
            <w:tcW w:type="dxa" w:w="3384"/>
            <w:vAlign w:val="top"/>
          </w:tcPr>
          <w:p>
            <w:pPr>
              <w:spacing w:after="0"/>
            </w:pPr>
            <w:r/>
            <w:r>
              <w:rPr>
                <w:rFonts w:ascii="Arial" w:hAnsi="Arial" w:eastAsia="Arial"/>
                <w:b w:val="0"/>
                <w:sz w:val="16"/>
              </w:rPr>
              <w:t>Shoulder season, late booking periods, or markets with flexible trip lengths.</w:t>
            </w:r>
          </w:p>
        </w:tc>
      </w:tr>
      <w:tr>
        <w:tc>
          <w:tcPr>
            <w:tcW w:type="dxa" w:w="2808"/>
            <w:vAlign w:val="top"/>
          </w:tcPr>
          <w:p>
            <w:pPr>
              <w:spacing w:after="0"/>
            </w:pPr>
            <w:r/>
            <w:r>
              <w:rPr>
                <w:rFonts w:ascii="Arial" w:hAnsi="Arial" w:eastAsia="Arial"/>
                <w:b w:val="0"/>
                <w:sz w:val="16"/>
              </w:rPr>
              <w:t>Friday/Monday checkout control</w:t>
            </w:r>
          </w:p>
        </w:tc>
        <w:tc>
          <w:tcPr>
            <w:tcW w:type="dxa" w:w="4320"/>
            <w:vAlign w:val="top"/>
          </w:tcPr>
          <w:p>
            <w:pPr>
              <w:spacing w:after="0"/>
            </w:pPr>
            <w:r/>
            <w:r>
              <w:rPr>
                <w:rFonts w:ascii="Arial" w:hAnsi="Arial" w:eastAsia="Arial"/>
                <w:b w:val="0"/>
                <w:sz w:val="16"/>
              </w:rPr>
              <w:t>Weekend leisure markets with 2-3 night stays.</w:t>
            </w:r>
          </w:p>
        </w:tc>
        <w:tc>
          <w:tcPr>
            <w:tcW w:type="dxa" w:w="3384"/>
            <w:vAlign w:val="top"/>
          </w:tcPr>
          <w:p>
            <w:pPr>
              <w:spacing w:after="0"/>
            </w:pPr>
            <w:r/>
            <w:r>
              <w:rPr>
                <w:rFonts w:ascii="Arial" w:hAnsi="Arial" w:eastAsia="Arial"/>
                <w:b w:val="0"/>
                <w:sz w:val="16"/>
              </w:rPr>
              <w:t>Business markets or urban short stays.</w:t>
            </w:r>
          </w:p>
        </w:tc>
      </w:tr>
      <w:tr>
        <w:tc>
          <w:tcPr>
            <w:tcW w:type="dxa" w:w="2808"/>
            <w:vAlign w:val="top"/>
          </w:tcPr>
          <w:p>
            <w:pPr>
              <w:spacing w:after="0"/>
            </w:pPr>
            <w:r/>
            <w:r>
              <w:rPr>
                <w:rFonts w:ascii="Arial" w:hAnsi="Arial" w:eastAsia="Arial"/>
                <w:b w:val="0"/>
                <w:sz w:val="16"/>
              </w:rPr>
              <w:t>No same-day turns</w:t>
            </w:r>
          </w:p>
        </w:tc>
        <w:tc>
          <w:tcPr>
            <w:tcW w:type="dxa" w:w="4320"/>
            <w:vAlign w:val="top"/>
          </w:tcPr>
          <w:p>
            <w:pPr>
              <w:spacing w:after="0"/>
            </w:pPr>
            <w:r/>
            <w:r>
              <w:rPr>
                <w:rFonts w:ascii="Arial" w:hAnsi="Arial" w:eastAsia="Arial"/>
                <w:b w:val="0"/>
                <w:sz w:val="16"/>
              </w:rPr>
              <w:t>Large homes, remote cleaning teams, high cleanliness risk.</w:t>
            </w:r>
          </w:p>
        </w:tc>
        <w:tc>
          <w:tcPr>
            <w:tcW w:type="dxa" w:w="3384"/>
            <w:vAlign w:val="top"/>
          </w:tcPr>
          <w:p>
            <w:pPr>
              <w:spacing w:after="0"/>
            </w:pPr>
            <w:r/>
            <w:r>
              <w:rPr>
                <w:rFonts w:ascii="Arial" w:hAnsi="Arial" w:eastAsia="Arial"/>
                <w:b w:val="0"/>
                <w:sz w:val="16"/>
              </w:rPr>
              <w:t>Small apartments where cleaning operations are reliable and same-day turns add revenue.</w:t>
            </w:r>
          </w:p>
        </w:tc>
      </w:tr>
      <w:tr>
        <w:tc>
          <w:tcPr>
            <w:tcW w:type="dxa" w:w="2808"/>
            <w:vAlign w:val="top"/>
          </w:tcPr>
          <w:p>
            <w:pPr>
              <w:spacing w:after="0"/>
            </w:pPr>
            <w:r/>
            <w:r>
              <w:rPr>
                <w:rFonts w:ascii="Arial" w:hAnsi="Arial" w:eastAsia="Arial"/>
                <w:b w:val="0"/>
                <w:sz w:val="16"/>
              </w:rPr>
              <w:t>Maximum stay</w:t>
            </w:r>
          </w:p>
        </w:tc>
        <w:tc>
          <w:tcPr>
            <w:tcW w:type="dxa" w:w="4320"/>
            <w:vAlign w:val="top"/>
          </w:tcPr>
          <w:p>
            <w:pPr>
              <w:spacing w:after="0"/>
            </w:pPr>
            <w:r/>
            <w:r>
              <w:rPr>
                <w:rFonts w:ascii="Arial" w:hAnsi="Arial" w:eastAsia="Arial"/>
                <w:b w:val="0"/>
                <w:sz w:val="16"/>
              </w:rPr>
              <w:t>Regulatory or tenant-rights thresholds require control.</w:t>
            </w:r>
          </w:p>
        </w:tc>
        <w:tc>
          <w:tcPr>
            <w:tcW w:type="dxa" w:w="3384"/>
            <w:vAlign w:val="top"/>
          </w:tcPr>
          <w:p>
            <w:pPr>
              <w:spacing w:after="0"/>
            </w:pPr>
            <w:r/>
            <w:r>
              <w:rPr>
                <w:rFonts w:ascii="Arial" w:hAnsi="Arial" w:eastAsia="Arial"/>
                <w:b w:val="0"/>
                <w:sz w:val="16"/>
              </w:rPr>
              <w:t>Monthly strategy is intentional and compliant.</w:t>
            </w:r>
          </w:p>
        </w:tc>
      </w:tr>
    </w:tbl>
    <w:p>
      <w:pPr>
        <w:pStyle w:val="Small"/>
      </w:pPr>
    </w:p>
    <w:p>
      <w:r>
        <w:br w:type="page"/>
      </w:r>
    </w:p>
    <w:p>
      <w:pPr>
        <w:pStyle w:val="Heading1"/>
      </w:pPr>
      <w:r>
        <w:t>11. Discounts, Promotions, and New Listing Strategy</w:t>
      </w:r>
    </w:p>
    <w:p>
      <w:pPr>
        <w:pStyle w:val="Heading2"/>
      </w:pPr>
      <w:r>
        <w:t>11.1 Discount taxonomy</w:t>
      </w:r>
    </w:p>
    <w:p>
      <w:r>
        <w:t>Discounts are instruments. Each discount must have a reason, a duration, a target guest, and an exit rule. Airbnb supports multiple discount types, including new listing promotion, custom promotion, length-of-stay discounts, early-bird discounts, and last-minute discounts [P8]. Airbnb custom promotions have eligibility limits, including booking history and date availability requirements, and only part of the month may be promotable [P8].</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shd w:fill="1F4E79"/>
            <w:vAlign w:val="center"/>
          </w:tcPr>
          <w:p>
            <w:pPr>
              <w:spacing w:after="0"/>
            </w:pPr>
            <w:r/>
            <w:r>
              <w:rPr>
                <w:rFonts w:ascii="Arial" w:hAnsi="Arial" w:eastAsia="Arial"/>
                <w:b/>
                <w:color w:val="FFFFFF"/>
                <w:sz w:val="15"/>
              </w:rPr>
              <w:t>Discount type</w:t>
            </w:r>
          </w:p>
        </w:tc>
        <w:tc>
          <w:tcPr>
            <w:tcW w:type="dxa" w:w="3240"/>
            <w:shd w:fill="1F4E79"/>
            <w:vAlign w:val="center"/>
          </w:tcPr>
          <w:p>
            <w:pPr>
              <w:spacing w:after="0"/>
            </w:pPr>
            <w:r/>
            <w:r>
              <w:rPr>
                <w:rFonts w:ascii="Arial" w:hAnsi="Arial" w:eastAsia="Arial"/>
                <w:b/>
                <w:color w:val="FFFFFF"/>
                <w:sz w:val="15"/>
              </w:rPr>
              <w:t>Best use</w:t>
            </w:r>
          </w:p>
        </w:tc>
        <w:tc>
          <w:tcPr>
            <w:tcW w:type="dxa" w:w="2592"/>
            <w:shd w:fill="1F4E79"/>
            <w:vAlign w:val="center"/>
          </w:tcPr>
          <w:p>
            <w:pPr>
              <w:spacing w:after="0"/>
            </w:pPr>
            <w:r/>
            <w:r>
              <w:rPr>
                <w:rFonts w:ascii="Arial" w:hAnsi="Arial" w:eastAsia="Arial"/>
                <w:b/>
                <w:color w:val="FFFFFF"/>
                <w:sz w:val="15"/>
              </w:rPr>
              <w:t>Recommended level</w:t>
            </w:r>
          </w:p>
        </w:tc>
        <w:tc>
          <w:tcPr>
            <w:tcW w:type="dxa" w:w="2448"/>
            <w:shd w:fill="1F4E79"/>
            <w:vAlign w:val="center"/>
          </w:tcPr>
          <w:p>
            <w:pPr>
              <w:spacing w:after="0"/>
            </w:pPr>
            <w:r/>
            <w:r>
              <w:rPr>
                <w:rFonts w:ascii="Arial" w:hAnsi="Arial" w:eastAsia="Arial"/>
                <w:b/>
                <w:color w:val="FFFFFF"/>
                <w:sz w:val="15"/>
              </w:rPr>
              <w:t>Exit rule</w:t>
            </w:r>
          </w:p>
        </w:tc>
      </w:tr>
      <w:tr>
        <w:tc>
          <w:tcPr>
            <w:tcW w:type="dxa" w:w="2232"/>
            <w:vAlign w:val="top"/>
          </w:tcPr>
          <w:p>
            <w:pPr>
              <w:spacing w:after="0"/>
            </w:pPr>
            <w:r/>
            <w:r>
              <w:rPr>
                <w:rFonts w:ascii="Arial" w:hAnsi="Arial" w:eastAsia="Arial"/>
                <w:b w:val="0"/>
                <w:sz w:val="15"/>
              </w:rPr>
              <w:t>New listing promotion</w:t>
            </w:r>
          </w:p>
        </w:tc>
        <w:tc>
          <w:tcPr>
            <w:tcW w:type="dxa" w:w="3240"/>
            <w:vAlign w:val="top"/>
          </w:tcPr>
          <w:p>
            <w:pPr>
              <w:spacing w:after="0"/>
            </w:pPr>
            <w:r/>
            <w:r>
              <w:rPr>
                <w:rFonts w:ascii="Arial" w:hAnsi="Arial" w:eastAsia="Arial"/>
                <w:b w:val="0"/>
                <w:sz w:val="15"/>
              </w:rPr>
              <w:t>Build first three bookings and reviews.</w:t>
            </w:r>
          </w:p>
        </w:tc>
        <w:tc>
          <w:tcPr>
            <w:tcW w:type="dxa" w:w="2592"/>
            <w:vAlign w:val="top"/>
          </w:tcPr>
          <w:p>
            <w:pPr>
              <w:spacing w:after="0"/>
            </w:pPr>
            <w:r/>
            <w:r>
              <w:rPr>
                <w:rFonts w:ascii="Arial" w:hAnsi="Arial" w:eastAsia="Arial"/>
                <w:b w:val="0"/>
                <w:sz w:val="15"/>
              </w:rPr>
              <w:t>Airbnb-supported 20% if unit economics allow.</w:t>
            </w:r>
          </w:p>
        </w:tc>
        <w:tc>
          <w:tcPr>
            <w:tcW w:type="dxa" w:w="2448"/>
            <w:vAlign w:val="top"/>
          </w:tcPr>
          <w:p>
            <w:pPr>
              <w:spacing w:after="0"/>
            </w:pPr>
            <w:r/>
            <w:r>
              <w:rPr>
                <w:rFonts w:ascii="Arial" w:hAnsi="Arial" w:eastAsia="Arial"/>
                <w:b w:val="0"/>
                <w:sz w:val="15"/>
              </w:rPr>
              <w:t>End after first reviews; raise gradually.</w:t>
            </w:r>
          </w:p>
        </w:tc>
      </w:tr>
      <w:tr>
        <w:tc>
          <w:tcPr>
            <w:tcW w:type="dxa" w:w="2232"/>
            <w:vAlign w:val="top"/>
          </w:tcPr>
          <w:p>
            <w:pPr>
              <w:spacing w:after="0"/>
            </w:pPr>
            <w:r/>
            <w:r>
              <w:rPr>
                <w:rFonts w:ascii="Arial" w:hAnsi="Arial" w:eastAsia="Arial"/>
                <w:b w:val="0"/>
                <w:sz w:val="15"/>
              </w:rPr>
              <w:t>Weekly discount</w:t>
            </w:r>
          </w:p>
        </w:tc>
        <w:tc>
          <w:tcPr>
            <w:tcW w:type="dxa" w:w="3240"/>
            <w:vAlign w:val="top"/>
          </w:tcPr>
          <w:p>
            <w:pPr>
              <w:spacing w:after="0"/>
            </w:pPr>
            <w:r/>
            <w:r>
              <w:rPr>
                <w:rFonts w:ascii="Arial" w:hAnsi="Arial" w:eastAsia="Arial"/>
                <w:b w:val="0"/>
                <w:sz w:val="15"/>
              </w:rPr>
              <w:t>Reduce turns and attract families/remote workers.</w:t>
            </w:r>
          </w:p>
        </w:tc>
        <w:tc>
          <w:tcPr>
            <w:tcW w:type="dxa" w:w="2592"/>
            <w:vAlign w:val="top"/>
          </w:tcPr>
          <w:p>
            <w:pPr>
              <w:spacing w:after="0"/>
            </w:pPr>
            <w:r/>
            <w:r>
              <w:rPr>
                <w:rFonts w:ascii="Arial" w:hAnsi="Arial" w:eastAsia="Arial"/>
                <w:b w:val="0"/>
                <w:sz w:val="15"/>
              </w:rPr>
              <w:t>5-12% most markets; higher in low season.</w:t>
            </w:r>
          </w:p>
        </w:tc>
        <w:tc>
          <w:tcPr>
            <w:tcW w:type="dxa" w:w="2448"/>
            <w:vAlign w:val="top"/>
          </w:tcPr>
          <w:p>
            <w:pPr>
              <w:spacing w:after="0"/>
            </w:pPr>
            <w:r/>
            <w:r>
              <w:rPr>
                <w:rFonts w:ascii="Arial" w:hAnsi="Arial" w:eastAsia="Arial"/>
                <w:b w:val="0"/>
                <w:sz w:val="15"/>
              </w:rPr>
              <w:t>Reduce during peak weeks if demand is already strong.</w:t>
            </w:r>
          </w:p>
        </w:tc>
      </w:tr>
      <w:tr>
        <w:tc>
          <w:tcPr>
            <w:tcW w:type="dxa" w:w="2232"/>
            <w:vAlign w:val="top"/>
          </w:tcPr>
          <w:p>
            <w:pPr>
              <w:spacing w:after="0"/>
            </w:pPr>
            <w:r/>
            <w:r>
              <w:rPr>
                <w:rFonts w:ascii="Arial" w:hAnsi="Arial" w:eastAsia="Arial"/>
                <w:b w:val="0"/>
                <w:sz w:val="15"/>
              </w:rPr>
              <w:t>Monthly discount</w:t>
            </w:r>
          </w:p>
        </w:tc>
        <w:tc>
          <w:tcPr>
            <w:tcW w:type="dxa" w:w="3240"/>
            <w:vAlign w:val="top"/>
          </w:tcPr>
          <w:p>
            <w:pPr>
              <w:spacing w:after="0"/>
            </w:pPr>
            <w:r/>
            <w:r>
              <w:rPr>
                <w:rFonts w:ascii="Arial" w:hAnsi="Arial" w:eastAsia="Arial"/>
                <w:b w:val="0"/>
                <w:sz w:val="15"/>
              </w:rPr>
              <w:t>Medium-term stays and regulated urban strategy.</w:t>
            </w:r>
          </w:p>
        </w:tc>
        <w:tc>
          <w:tcPr>
            <w:tcW w:type="dxa" w:w="2592"/>
            <w:vAlign w:val="top"/>
          </w:tcPr>
          <w:p>
            <w:pPr>
              <w:spacing w:after="0"/>
            </w:pPr>
            <w:r/>
            <w:r>
              <w:rPr>
                <w:rFonts w:ascii="Arial" w:hAnsi="Arial" w:eastAsia="Arial"/>
                <w:b w:val="0"/>
                <w:sz w:val="15"/>
              </w:rPr>
              <w:t>15-40% depending season and displacement risk.</w:t>
            </w:r>
          </w:p>
        </w:tc>
        <w:tc>
          <w:tcPr>
            <w:tcW w:type="dxa" w:w="2448"/>
            <w:vAlign w:val="top"/>
          </w:tcPr>
          <w:p>
            <w:pPr>
              <w:spacing w:after="0"/>
            </w:pPr>
            <w:r/>
            <w:r>
              <w:rPr>
                <w:rFonts w:ascii="Arial" w:hAnsi="Arial" w:eastAsia="Arial"/>
                <w:b w:val="0"/>
                <w:sz w:val="15"/>
              </w:rPr>
              <w:t>Do not allow monthly discount to undercut peak weekly revenue unless intentional.</w:t>
            </w:r>
          </w:p>
        </w:tc>
      </w:tr>
      <w:tr>
        <w:tc>
          <w:tcPr>
            <w:tcW w:type="dxa" w:w="2232"/>
            <w:vAlign w:val="top"/>
          </w:tcPr>
          <w:p>
            <w:pPr>
              <w:spacing w:after="0"/>
            </w:pPr>
            <w:r/>
            <w:r>
              <w:rPr>
                <w:rFonts w:ascii="Arial" w:hAnsi="Arial" w:eastAsia="Arial"/>
                <w:b w:val="0"/>
                <w:sz w:val="15"/>
              </w:rPr>
              <w:t>Early-bird</w:t>
            </w:r>
          </w:p>
        </w:tc>
        <w:tc>
          <w:tcPr>
            <w:tcW w:type="dxa" w:w="3240"/>
            <w:vAlign w:val="top"/>
          </w:tcPr>
          <w:p>
            <w:pPr>
              <w:spacing w:after="0"/>
            </w:pPr>
            <w:r/>
            <w:r>
              <w:rPr>
                <w:rFonts w:ascii="Arial" w:hAnsi="Arial" w:eastAsia="Arial"/>
                <w:b w:val="0"/>
                <w:sz w:val="15"/>
              </w:rPr>
              <w:t>Lock in low/shoulder demand or long lead-time certainty.</w:t>
            </w:r>
          </w:p>
        </w:tc>
        <w:tc>
          <w:tcPr>
            <w:tcW w:type="dxa" w:w="2592"/>
            <w:vAlign w:val="top"/>
          </w:tcPr>
          <w:p>
            <w:pPr>
              <w:spacing w:after="0"/>
            </w:pPr>
            <w:r/>
            <w:r>
              <w:rPr>
                <w:rFonts w:ascii="Arial" w:hAnsi="Arial" w:eastAsia="Arial"/>
                <w:b w:val="0"/>
                <w:sz w:val="15"/>
              </w:rPr>
              <w:t>5-10%; avoid high peak dates.</w:t>
            </w:r>
          </w:p>
        </w:tc>
        <w:tc>
          <w:tcPr>
            <w:tcW w:type="dxa" w:w="2448"/>
            <w:vAlign w:val="top"/>
          </w:tcPr>
          <w:p>
            <w:pPr>
              <w:spacing w:after="0"/>
            </w:pPr>
            <w:r/>
            <w:r>
              <w:rPr>
                <w:rFonts w:ascii="Arial" w:hAnsi="Arial" w:eastAsia="Arial"/>
                <w:b w:val="0"/>
                <w:sz w:val="15"/>
              </w:rPr>
              <w:t>Remove if bookings arrive ahead of pace.</w:t>
            </w:r>
          </w:p>
        </w:tc>
      </w:tr>
      <w:tr>
        <w:tc>
          <w:tcPr>
            <w:tcW w:type="dxa" w:w="2232"/>
            <w:vAlign w:val="top"/>
          </w:tcPr>
          <w:p>
            <w:pPr>
              <w:spacing w:after="0"/>
            </w:pPr>
            <w:r/>
            <w:r>
              <w:rPr>
                <w:rFonts w:ascii="Arial" w:hAnsi="Arial" w:eastAsia="Arial"/>
                <w:b w:val="0"/>
                <w:sz w:val="15"/>
              </w:rPr>
              <w:t>Last-minute</w:t>
            </w:r>
          </w:p>
        </w:tc>
        <w:tc>
          <w:tcPr>
            <w:tcW w:type="dxa" w:w="3240"/>
            <w:vAlign w:val="top"/>
          </w:tcPr>
          <w:p>
            <w:pPr>
              <w:spacing w:after="0"/>
            </w:pPr>
            <w:r/>
            <w:r>
              <w:rPr>
                <w:rFonts w:ascii="Arial" w:hAnsi="Arial" w:eastAsia="Arial"/>
                <w:b w:val="0"/>
                <w:sz w:val="15"/>
              </w:rPr>
              <w:t>Fill distressed gaps and soft weekdays.</w:t>
            </w:r>
          </w:p>
        </w:tc>
        <w:tc>
          <w:tcPr>
            <w:tcW w:type="dxa" w:w="2592"/>
            <w:vAlign w:val="top"/>
          </w:tcPr>
          <w:p>
            <w:pPr>
              <w:spacing w:after="0"/>
            </w:pPr>
            <w:r/>
            <w:r>
              <w:rPr>
                <w:rFonts w:ascii="Arial" w:hAnsi="Arial" w:eastAsia="Arial"/>
                <w:b w:val="0"/>
                <w:sz w:val="15"/>
              </w:rPr>
              <w:t>5-30% by lead time and floor.</w:t>
            </w:r>
          </w:p>
        </w:tc>
        <w:tc>
          <w:tcPr>
            <w:tcW w:type="dxa" w:w="2448"/>
            <w:vAlign w:val="top"/>
          </w:tcPr>
          <w:p>
            <w:pPr>
              <w:spacing w:after="0"/>
            </w:pPr>
            <w:r/>
            <w:r>
              <w:rPr>
                <w:rFonts w:ascii="Arial" w:hAnsi="Arial" w:eastAsia="Arial"/>
                <w:b w:val="0"/>
                <w:sz w:val="15"/>
              </w:rPr>
              <w:t>Never apply blindly to compression/event dates.</w:t>
            </w:r>
          </w:p>
        </w:tc>
      </w:tr>
      <w:tr>
        <w:tc>
          <w:tcPr>
            <w:tcW w:type="dxa" w:w="2232"/>
            <w:vAlign w:val="top"/>
          </w:tcPr>
          <w:p>
            <w:pPr>
              <w:spacing w:after="0"/>
            </w:pPr>
            <w:r/>
            <w:r>
              <w:rPr>
                <w:rFonts w:ascii="Arial" w:hAnsi="Arial" w:eastAsia="Arial"/>
                <w:b w:val="0"/>
                <w:sz w:val="15"/>
              </w:rPr>
              <w:t>Custom promotion</w:t>
            </w:r>
          </w:p>
        </w:tc>
        <w:tc>
          <w:tcPr>
            <w:tcW w:type="dxa" w:w="3240"/>
            <w:vAlign w:val="top"/>
          </w:tcPr>
          <w:p>
            <w:pPr>
              <w:spacing w:after="0"/>
            </w:pPr>
            <w:r/>
            <w:r>
              <w:rPr>
                <w:rFonts w:ascii="Arial" w:hAnsi="Arial" w:eastAsia="Arial"/>
                <w:b w:val="0"/>
                <w:sz w:val="15"/>
              </w:rPr>
              <w:t>Merchandise a deal for specific soft dates.</w:t>
            </w:r>
          </w:p>
        </w:tc>
        <w:tc>
          <w:tcPr>
            <w:tcW w:type="dxa" w:w="2592"/>
            <w:vAlign w:val="top"/>
          </w:tcPr>
          <w:p>
            <w:pPr>
              <w:spacing w:after="0"/>
            </w:pPr>
            <w:r/>
            <w:r>
              <w:rPr>
                <w:rFonts w:ascii="Arial" w:hAnsi="Arial" w:eastAsia="Arial"/>
                <w:b w:val="0"/>
                <w:sz w:val="15"/>
              </w:rPr>
              <w:t>10-20% only if true discount and conversion need exists.</w:t>
            </w:r>
          </w:p>
        </w:tc>
        <w:tc>
          <w:tcPr>
            <w:tcW w:type="dxa" w:w="2448"/>
            <w:vAlign w:val="top"/>
          </w:tcPr>
          <w:p>
            <w:pPr>
              <w:spacing w:after="0"/>
            </w:pPr>
            <w:r/>
            <w:r>
              <w:rPr>
                <w:rFonts w:ascii="Arial" w:hAnsi="Arial" w:eastAsia="Arial"/>
                <w:b w:val="0"/>
                <w:sz w:val="15"/>
              </w:rPr>
              <w:t>Limit to dates with weak pace; review after 7 days.</w:t>
            </w:r>
          </w:p>
        </w:tc>
      </w:tr>
    </w:tbl>
    <w:p>
      <w:pPr>
        <w:pStyle w:val="Small"/>
      </w:pPr>
    </w:p>
    <w:p>
      <w:pPr>
        <w:pStyle w:val="Heading2"/>
      </w:pPr>
      <w:r>
        <w:t>11.2 New listing launch strategy</w:t>
      </w:r>
    </w:p>
    <w:p>
      <w:r>
        <w:t>New listings face a trust deficit. They may have good photos and amenities but lack review evidence. A launch strategy should buy review velocity without giving away too much future revenue. Airbnb allows a 20% new listing promotion on the first three bookings [P8]. This can be useful if variable costs are covered and the host is prepared to deliver excellent stays.</w:t>
      </w:r>
    </w:p>
    <w:p>
      <w:pPr>
        <w:pStyle w:val="ListNumber"/>
        <w:spacing w:after="40"/>
      </w:pPr>
      <w:r>
        <w:rPr>
          <w:rFonts w:ascii="Arial" w:hAnsi="Arial" w:eastAsia="Arial"/>
          <w:sz w:val="18"/>
        </w:rPr>
        <w:t>Set base price at the 40th-50th percentile of the true comp set for the first 3-5 bookings unless the property has exceptional scarcity.</w:t>
      </w:r>
    </w:p>
    <w:p>
      <w:pPr>
        <w:pStyle w:val="ListNumber"/>
        <w:spacing w:after="40"/>
      </w:pPr>
      <w:r>
        <w:rPr>
          <w:rFonts w:ascii="Arial" w:hAnsi="Arial" w:eastAsia="Arial"/>
          <w:sz w:val="18"/>
        </w:rPr>
        <w:t>Use the new listing promotion only on dates that do not displace major peak revenue. Block or manually price high-value event dates before launching broad discounts.</w:t>
      </w:r>
    </w:p>
    <w:p>
      <w:pPr>
        <w:pStyle w:val="ListNumber"/>
        <w:spacing w:after="40"/>
      </w:pPr>
      <w:r>
        <w:rPr>
          <w:rFonts w:ascii="Arial" w:hAnsi="Arial" w:eastAsia="Arial"/>
          <w:sz w:val="18"/>
        </w:rPr>
        <w:t>Limit minimum stays to increase conversion, but avoid one-night high-risk local bookings on weekends.</w:t>
      </w:r>
    </w:p>
    <w:p>
      <w:pPr>
        <w:pStyle w:val="ListNumber"/>
        <w:spacing w:after="40"/>
      </w:pPr>
      <w:r>
        <w:rPr>
          <w:rFonts w:ascii="Arial" w:hAnsi="Arial" w:eastAsia="Arial"/>
          <w:sz w:val="18"/>
        </w:rPr>
        <w:t>Prioritize guests likely to review positively: clear communication, accurate expectations, and well-matched use case.</w:t>
      </w:r>
    </w:p>
    <w:p>
      <w:pPr>
        <w:pStyle w:val="ListNumber"/>
        <w:spacing w:after="40"/>
      </w:pPr>
      <w:r>
        <w:rPr>
          <w:rFonts w:ascii="Arial" w:hAnsi="Arial" w:eastAsia="Arial"/>
          <w:sz w:val="18"/>
        </w:rPr>
        <w:t>After three positive reviews, move to 50th-60th percentile. After 10-15 strong reviews, reassess premium potential.</w:t>
      </w:r>
    </w:p>
    <w:p>
      <w:pPr>
        <w:pStyle w:val="ListNumber"/>
        <w:spacing w:after="40"/>
      </w:pPr>
      <w:r>
        <w:rPr>
          <w:rFonts w:ascii="Arial" w:hAnsi="Arial" w:eastAsia="Arial"/>
          <w:sz w:val="18"/>
        </w:rPr>
        <w:t>If early reviews mention cleanliness, value, noise, or inaccuracy, fix the issue before raising price.</w:t>
      </w:r>
    </w:p>
    <w:p>
      <w:pPr>
        <w:pStyle w:val="Heading2"/>
      </w:pPr>
      <w:r>
        <w:t>11.3 Early-bird strategy</w:t>
      </w:r>
    </w:p>
    <w:p>
      <w:r>
        <w:t>Early-bird discounts are not always desirable. They can sell valuable inventory too cheaply before the market reveals peak demand. Use early-bird discounts for low season, shoulder season, or listings with high cash-flow value from certainty. For peak summer weeks, major holidays, and high-confidence events, do not discount early. Instead, set strong floors and monitor pickup.</w:t>
      </w:r>
    </w:p>
    <w:p>
      <w:pPr>
        <w:pStyle w:val="Heading2"/>
      </w:pPr>
      <w:r>
        <w:t>11.4 Last-minute strategy</w:t>
      </w:r>
    </w:p>
    <w:p>
      <w:r>
        <w:t>Last-minute discounts should distinguish between soft demand and late compression. In a soft market, discount and relax restrictions. In a compressed market, hold or raise rates. This is especially important because research suggests that price surging near arrival can reduce revenue on average if not supported by listing-specific conditions [A3].</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1F4E79"/>
            <w:vAlign w:val="center"/>
          </w:tcPr>
          <w:p>
            <w:pPr>
              <w:spacing w:after="0"/>
            </w:pPr>
            <w:r/>
            <w:r>
              <w:rPr>
                <w:rFonts w:ascii="Arial" w:hAnsi="Arial" w:eastAsia="Arial"/>
                <w:b/>
                <w:color w:val="FFFFFF"/>
                <w:sz w:val="16"/>
              </w:rPr>
              <w:t>Lead time</w:t>
            </w:r>
          </w:p>
        </w:tc>
        <w:tc>
          <w:tcPr>
            <w:tcW w:type="dxa" w:w="4752"/>
            <w:shd w:fill="1F4E79"/>
            <w:vAlign w:val="center"/>
          </w:tcPr>
          <w:p>
            <w:pPr>
              <w:spacing w:after="0"/>
            </w:pPr>
            <w:r/>
            <w:r>
              <w:rPr>
                <w:rFonts w:ascii="Arial" w:hAnsi="Arial" w:eastAsia="Arial"/>
                <w:b/>
                <w:color w:val="FFFFFF"/>
                <w:sz w:val="16"/>
              </w:rPr>
              <w:t>Soft market last-minute action</w:t>
            </w:r>
          </w:p>
        </w:tc>
        <w:tc>
          <w:tcPr>
            <w:tcW w:type="dxa" w:w="4032"/>
            <w:shd w:fill="1F4E79"/>
            <w:vAlign w:val="center"/>
          </w:tcPr>
          <w:p>
            <w:pPr>
              <w:spacing w:after="0"/>
            </w:pPr>
            <w:r/>
            <w:r>
              <w:rPr>
                <w:rFonts w:ascii="Arial" w:hAnsi="Arial" w:eastAsia="Arial"/>
                <w:b/>
                <w:color w:val="FFFFFF"/>
                <w:sz w:val="16"/>
              </w:rPr>
              <w:t>Compressed market action</w:t>
            </w:r>
          </w:p>
        </w:tc>
      </w:tr>
      <w:tr>
        <w:tc>
          <w:tcPr>
            <w:tcW w:type="dxa" w:w="1944"/>
            <w:vAlign w:val="top"/>
          </w:tcPr>
          <w:p>
            <w:pPr>
              <w:spacing w:after="0"/>
            </w:pPr>
            <w:r/>
            <w:r>
              <w:rPr>
                <w:rFonts w:ascii="Arial" w:hAnsi="Arial" w:eastAsia="Arial"/>
                <w:b w:val="0"/>
                <w:sz w:val="16"/>
              </w:rPr>
              <w:t>14-21 days</w:t>
            </w:r>
          </w:p>
        </w:tc>
        <w:tc>
          <w:tcPr>
            <w:tcW w:type="dxa" w:w="4752"/>
            <w:vAlign w:val="top"/>
          </w:tcPr>
          <w:p>
            <w:pPr>
              <w:spacing w:after="0"/>
            </w:pPr>
            <w:r/>
            <w:r>
              <w:rPr>
                <w:rFonts w:ascii="Arial" w:hAnsi="Arial" w:eastAsia="Arial"/>
                <w:b w:val="0"/>
                <w:sz w:val="16"/>
              </w:rPr>
              <w:t>5-10% reduction if behind pace; relax midweek min stay.</w:t>
            </w:r>
          </w:p>
        </w:tc>
        <w:tc>
          <w:tcPr>
            <w:tcW w:type="dxa" w:w="4032"/>
            <w:vAlign w:val="top"/>
          </w:tcPr>
          <w:p>
            <w:pPr>
              <w:spacing w:after="0"/>
            </w:pPr>
            <w:r/>
            <w:r>
              <w:rPr>
                <w:rFonts w:ascii="Arial" w:hAnsi="Arial" w:eastAsia="Arial"/>
                <w:b w:val="0"/>
                <w:sz w:val="16"/>
              </w:rPr>
              <w:t>Hold rate; monitor comp availability.</w:t>
            </w:r>
          </w:p>
        </w:tc>
      </w:tr>
      <w:tr>
        <w:tc>
          <w:tcPr>
            <w:tcW w:type="dxa" w:w="1944"/>
            <w:vAlign w:val="top"/>
          </w:tcPr>
          <w:p>
            <w:pPr>
              <w:spacing w:after="0"/>
            </w:pPr>
            <w:r/>
            <w:r>
              <w:rPr>
                <w:rFonts w:ascii="Arial" w:hAnsi="Arial" w:eastAsia="Arial"/>
                <w:b w:val="0"/>
                <w:sz w:val="16"/>
              </w:rPr>
              <w:t>7-13 days</w:t>
            </w:r>
          </w:p>
        </w:tc>
        <w:tc>
          <w:tcPr>
            <w:tcW w:type="dxa" w:w="4752"/>
            <w:vAlign w:val="top"/>
          </w:tcPr>
          <w:p>
            <w:pPr>
              <w:spacing w:after="0"/>
            </w:pPr>
            <w:r/>
            <w:r>
              <w:rPr>
                <w:rFonts w:ascii="Arial" w:hAnsi="Arial" w:eastAsia="Arial"/>
                <w:b w:val="0"/>
                <w:sz w:val="16"/>
              </w:rPr>
              <w:t>10-20% reduction for true gaps; promote if eligible.</w:t>
            </w:r>
          </w:p>
        </w:tc>
        <w:tc>
          <w:tcPr>
            <w:tcW w:type="dxa" w:w="4032"/>
            <w:vAlign w:val="top"/>
          </w:tcPr>
          <w:p>
            <w:pPr>
              <w:spacing w:after="0"/>
            </w:pPr>
            <w:r/>
            <w:r>
              <w:rPr>
                <w:rFonts w:ascii="Arial" w:hAnsi="Arial" w:eastAsia="Arial"/>
                <w:b w:val="0"/>
                <w:sz w:val="16"/>
              </w:rPr>
              <w:t>Hold or raise 5-15% if comps selling out.</w:t>
            </w:r>
          </w:p>
        </w:tc>
      </w:tr>
      <w:tr>
        <w:tc>
          <w:tcPr>
            <w:tcW w:type="dxa" w:w="1944"/>
            <w:vAlign w:val="top"/>
          </w:tcPr>
          <w:p>
            <w:pPr>
              <w:spacing w:after="0"/>
            </w:pPr>
            <w:r/>
            <w:r>
              <w:rPr>
                <w:rFonts w:ascii="Arial" w:hAnsi="Arial" w:eastAsia="Arial"/>
                <w:b w:val="0"/>
                <w:sz w:val="16"/>
              </w:rPr>
              <w:t>3-6 days</w:t>
            </w:r>
          </w:p>
        </w:tc>
        <w:tc>
          <w:tcPr>
            <w:tcW w:type="dxa" w:w="4752"/>
            <w:vAlign w:val="top"/>
          </w:tcPr>
          <w:p>
            <w:pPr>
              <w:spacing w:after="0"/>
            </w:pPr>
            <w:r/>
            <w:r>
              <w:rPr>
                <w:rFonts w:ascii="Arial" w:hAnsi="Arial" w:eastAsia="Arial"/>
                <w:b w:val="0"/>
                <w:sz w:val="16"/>
              </w:rPr>
              <w:t>15-30% reduction above floor; accept short stays.</w:t>
            </w:r>
          </w:p>
        </w:tc>
        <w:tc>
          <w:tcPr>
            <w:tcW w:type="dxa" w:w="4032"/>
            <w:vAlign w:val="top"/>
          </w:tcPr>
          <w:p>
            <w:pPr>
              <w:spacing w:after="0"/>
            </w:pPr>
            <w:r/>
            <w:r>
              <w:rPr>
                <w:rFonts w:ascii="Arial" w:hAnsi="Arial" w:eastAsia="Arial"/>
                <w:b w:val="0"/>
                <w:sz w:val="16"/>
              </w:rPr>
              <w:t>Maintain premium; avoid discount unless many close substitutes remain.</w:t>
            </w:r>
          </w:p>
        </w:tc>
      </w:tr>
      <w:tr>
        <w:tc>
          <w:tcPr>
            <w:tcW w:type="dxa" w:w="1944"/>
            <w:vAlign w:val="top"/>
          </w:tcPr>
          <w:p>
            <w:pPr>
              <w:spacing w:after="0"/>
            </w:pPr>
            <w:r/>
            <w:r>
              <w:rPr>
                <w:rFonts w:ascii="Arial" w:hAnsi="Arial" w:eastAsia="Arial"/>
                <w:b w:val="0"/>
                <w:sz w:val="16"/>
              </w:rPr>
              <w:t>0-2 days</w:t>
            </w:r>
          </w:p>
        </w:tc>
        <w:tc>
          <w:tcPr>
            <w:tcW w:type="dxa" w:w="4752"/>
            <w:vAlign w:val="top"/>
          </w:tcPr>
          <w:p>
            <w:pPr>
              <w:spacing w:after="0"/>
            </w:pPr>
            <w:r/>
            <w:r>
              <w:rPr>
                <w:rFonts w:ascii="Arial" w:hAnsi="Arial" w:eastAsia="Arial"/>
                <w:b w:val="0"/>
                <w:sz w:val="16"/>
              </w:rPr>
              <w:t>Final gap-fill above variable floor.</w:t>
            </w:r>
          </w:p>
        </w:tc>
        <w:tc>
          <w:tcPr>
            <w:tcW w:type="dxa" w:w="4032"/>
            <w:vAlign w:val="top"/>
          </w:tcPr>
          <w:p>
            <w:pPr>
              <w:spacing w:after="0"/>
            </w:pPr>
            <w:r/>
            <w:r>
              <w:rPr>
                <w:rFonts w:ascii="Arial" w:hAnsi="Arial" w:eastAsia="Arial"/>
                <w:b w:val="0"/>
                <w:sz w:val="16"/>
              </w:rPr>
              <w:t>Manual decision; high rates can still work only if scarcity is evident.</w:t>
            </w:r>
          </w:p>
        </w:tc>
      </w:tr>
    </w:tbl>
    <w:p>
      <w:pPr>
        <w:pStyle w:val="Small"/>
      </w:pPr>
    </w:p>
    <w:p>
      <w:r>
        <w:br w:type="page"/>
      </w:r>
    </w:p>
    <w:p>
      <w:pPr>
        <w:pStyle w:val="Heading1"/>
      </w:pPr>
      <w:r>
        <w:t>12. Total Price, Cleaning Fees, Service Fees, and Net Payout</w:t>
      </w:r>
    </w:p>
    <w:p>
      <w:pPr>
        <w:pStyle w:val="Heading2"/>
      </w:pPr>
      <w:r>
        <w:t>12.1 Total price is now the competitive price</w:t>
      </w:r>
    </w:p>
    <w:p>
      <w:r>
        <w:t>The US Airbnb marketplace is increasingly total-price based. US guests see a fee-inclusive total price before taxes on all listings [P4], and Airbnb has made total price display standard globally [P3]. The FTC rule on unfair or deceptive fees in short-term lodging requires businesses to disclose total prices and fees upfront and prohibits bait-and-switch pricing tactics [N1]. California’s hidden-fee law similarly requires advertised prices to include required fees other than certain government taxes and shipping costs [N6].</w:t>
      </w:r>
    </w:p>
    <w:p>
      <w:r>
        <w:t>For revenue management, this means a host should stop asking, “What nightly rate should I charge?” and start asking, “What guest-visible total price should this trip show, and what net payout does that produce?” The nightly rate is only one component of conversion.</w:t>
      </w:r>
    </w:p>
    <w:p>
      <w:pPr>
        <w:pStyle w:val="Callout"/>
      </w:pPr>
      <w:r>
        <w:rPr>
          <w:b/>
        </w:rPr>
        <w:t>All-in nightly comparison = (nightly rate x LOS + cleaning fee + mandatory host fees + expected guest/platform fee if applicable) / LOS, before taxes unless tax display rules require otherwise.</w:t>
      </w:r>
    </w:p>
    <w:p>
      <w:pPr>
        <w:pStyle w:val="Heading2"/>
      </w:pPr>
      <w:r>
        <w:t>12.2 Cleaning fee strategy</w:t>
      </w:r>
    </w:p>
    <w:p>
      <w:r>
        <w:t>Airbnb’s Resource Center warns that a high cleaning fee can make guests reconsider booking, that total price and listing quality affect search competitiveness, and that cleaning fees should cover costs rather than serve as extra profit [P6]. The cleaning fee is especially important for short stays. A $150 cleaning fee adds $75 per night to a two-night stay but only $21.43 per night to a seven-night stay.</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F4E79"/>
            <w:vAlign w:val="center"/>
          </w:tcPr>
          <w:p>
            <w:pPr>
              <w:spacing w:after="0"/>
            </w:pPr>
            <w:r/>
            <w:r>
              <w:rPr>
                <w:rFonts w:ascii="Arial" w:hAnsi="Arial" w:eastAsia="Arial"/>
                <w:b/>
                <w:color w:val="FFFFFF"/>
                <w:sz w:val="16"/>
              </w:rPr>
              <w:t>Stay length</w:t>
            </w:r>
          </w:p>
        </w:tc>
        <w:tc>
          <w:tcPr>
            <w:tcW w:type="dxa" w:w="3672"/>
            <w:shd w:fill="1F4E79"/>
            <w:vAlign w:val="center"/>
          </w:tcPr>
          <w:p>
            <w:pPr>
              <w:spacing w:after="0"/>
            </w:pPr>
            <w:r/>
            <w:r>
              <w:rPr>
                <w:rFonts w:ascii="Arial" w:hAnsi="Arial" w:eastAsia="Arial"/>
                <w:b/>
                <w:color w:val="FFFFFF"/>
                <w:sz w:val="16"/>
              </w:rPr>
              <w:t>Cleaning fee effect</w:t>
            </w:r>
          </w:p>
        </w:tc>
        <w:tc>
          <w:tcPr>
            <w:tcW w:type="dxa" w:w="5112"/>
            <w:shd w:fill="1F4E79"/>
            <w:vAlign w:val="center"/>
          </w:tcPr>
          <w:p>
            <w:pPr>
              <w:spacing w:after="0"/>
            </w:pPr>
            <w:r/>
            <w:r>
              <w:rPr>
                <w:rFonts w:ascii="Arial" w:hAnsi="Arial" w:eastAsia="Arial"/>
                <w:b/>
                <w:color w:val="FFFFFF"/>
                <w:sz w:val="16"/>
              </w:rPr>
              <w:t>Recommended approach</w:t>
            </w:r>
          </w:p>
        </w:tc>
      </w:tr>
      <w:tr>
        <w:tc>
          <w:tcPr>
            <w:tcW w:type="dxa" w:w="1728"/>
            <w:vAlign w:val="top"/>
          </w:tcPr>
          <w:p>
            <w:pPr>
              <w:spacing w:after="0"/>
            </w:pPr>
            <w:r/>
            <w:r>
              <w:rPr>
                <w:rFonts w:ascii="Arial" w:hAnsi="Arial" w:eastAsia="Arial"/>
                <w:b w:val="0"/>
                <w:sz w:val="16"/>
              </w:rPr>
              <w:t>1 night</w:t>
            </w:r>
          </w:p>
        </w:tc>
        <w:tc>
          <w:tcPr>
            <w:tcW w:type="dxa" w:w="3672"/>
            <w:vAlign w:val="top"/>
          </w:tcPr>
          <w:p>
            <w:pPr>
              <w:spacing w:after="0"/>
            </w:pPr>
            <w:r/>
            <w:r>
              <w:rPr>
                <w:rFonts w:ascii="Arial" w:hAnsi="Arial" w:eastAsia="Arial"/>
                <w:b w:val="0"/>
                <w:sz w:val="16"/>
              </w:rPr>
              <w:t>Very high per-night burden.</w:t>
            </w:r>
          </w:p>
        </w:tc>
        <w:tc>
          <w:tcPr>
            <w:tcW w:type="dxa" w:w="5112"/>
            <w:vAlign w:val="top"/>
          </w:tcPr>
          <w:p>
            <w:pPr>
              <w:spacing w:after="0"/>
            </w:pPr>
            <w:r/>
            <w:r>
              <w:rPr>
                <w:rFonts w:ascii="Arial" w:hAnsi="Arial" w:eastAsia="Arial"/>
                <w:b w:val="0"/>
                <w:sz w:val="16"/>
              </w:rPr>
              <w:t>Avoid unless operations require; use low cleaning fee or price into nightly rate.</w:t>
            </w:r>
          </w:p>
        </w:tc>
      </w:tr>
      <w:tr>
        <w:tc>
          <w:tcPr>
            <w:tcW w:type="dxa" w:w="1728"/>
            <w:vAlign w:val="top"/>
          </w:tcPr>
          <w:p>
            <w:pPr>
              <w:spacing w:after="0"/>
            </w:pPr>
            <w:r/>
            <w:r>
              <w:rPr>
                <w:rFonts w:ascii="Arial" w:hAnsi="Arial" w:eastAsia="Arial"/>
                <w:b w:val="0"/>
                <w:sz w:val="16"/>
              </w:rPr>
              <w:t>2 nights</w:t>
            </w:r>
          </w:p>
        </w:tc>
        <w:tc>
          <w:tcPr>
            <w:tcW w:type="dxa" w:w="3672"/>
            <w:vAlign w:val="top"/>
          </w:tcPr>
          <w:p>
            <w:pPr>
              <w:spacing w:after="0"/>
            </w:pPr>
            <w:r/>
            <w:r>
              <w:rPr>
                <w:rFonts w:ascii="Arial" w:hAnsi="Arial" w:eastAsia="Arial"/>
                <w:b w:val="0"/>
                <w:sz w:val="16"/>
              </w:rPr>
              <w:t>High burden; common conversion issue.</w:t>
            </w:r>
          </w:p>
        </w:tc>
        <w:tc>
          <w:tcPr>
            <w:tcW w:type="dxa" w:w="5112"/>
            <w:vAlign w:val="top"/>
          </w:tcPr>
          <w:p>
            <w:pPr>
              <w:spacing w:after="0"/>
            </w:pPr>
            <w:r/>
            <w:r>
              <w:rPr>
                <w:rFonts w:ascii="Arial" w:hAnsi="Arial" w:eastAsia="Arial"/>
                <w:b w:val="0"/>
                <w:sz w:val="16"/>
              </w:rPr>
              <w:t>Consider lower short-stay cleaning fee if Airbnb settings/operations allow; compare all-in price.</w:t>
            </w:r>
          </w:p>
        </w:tc>
      </w:tr>
      <w:tr>
        <w:tc>
          <w:tcPr>
            <w:tcW w:type="dxa" w:w="1728"/>
            <w:vAlign w:val="top"/>
          </w:tcPr>
          <w:p>
            <w:pPr>
              <w:spacing w:after="0"/>
            </w:pPr>
            <w:r/>
            <w:r>
              <w:rPr>
                <w:rFonts w:ascii="Arial" w:hAnsi="Arial" w:eastAsia="Arial"/>
                <w:b w:val="0"/>
                <w:sz w:val="16"/>
              </w:rPr>
              <w:t>3-4 nights</w:t>
            </w:r>
          </w:p>
        </w:tc>
        <w:tc>
          <w:tcPr>
            <w:tcW w:type="dxa" w:w="3672"/>
            <w:vAlign w:val="top"/>
          </w:tcPr>
          <w:p>
            <w:pPr>
              <w:spacing w:after="0"/>
            </w:pPr>
            <w:r/>
            <w:r>
              <w:rPr>
                <w:rFonts w:ascii="Arial" w:hAnsi="Arial" w:eastAsia="Arial"/>
                <w:b w:val="0"/>
                <w:sz w:val="16"/>
              </w:rPr>
              <w:t>Moderate burden.</w:t>
            </w:r>
          </w:p>
        </w:tc>
        <w:tc>
          <w:tcPr>
            <w:tcW w:type="dxa" w:w="5112"/>
            <w:vAlign w:val="top"/>
          </w:tcPr>
          <w:p>
            <w:pPr>
              <w:spacing w:after="0"/>
            </w:pPr>
            <w:r/>
            <w:r>
              <w:rPr>
                <w:rFonts w:ascii="Arial" w:hAnsi="Arial" w:eastAsia="Arial"/>
                <w:b w:val="0"/>
                <w:sz w:val="16"/>
              </w:rPr>
              <w:t>Standard cleaning fee usually acceptable if transparent and reasonable.</w:t>
            </w:r>
          </w:p>
        </w:tc>
      </w:tr>
      <w:tr>
        <w:tc>
          <w:tcPr>
            <w:tcW w:type="dxa" w:w="1728"/>
            <w:vAlign w:val="top"/>
          </w:tcPr>
          <w:p>
            <w:pPr>
              <w:spacing w:after="0"/>
            </w:pPr>
            <w:r/>
            <w:r>
              <w:rPr>
                <w:rFonts w:ascii="Arial" w:hAnsi="Arial" w:eastAsia="Arial"/>
                <w:b w:val="0"/>
                <w:sz w:val="16"/>
              </w:rPr>
              <w:t>5-7 nights</w:t>
            </w:r>
          </w:p>
        </w:tc>
        <w:tc>
          <w:tcPr>
            <w:tcW w:type="dxa" w:w="3672"/>
            <w:vAlign w:val="top"/>
          </w:tcPr>
          <w:p>
            <w:pPr>
              <w:spacing w:after="0"/>
            </w:pPr>
            <w:r/>
            <w:r>
              <w:rPr>
                <w:rFonts w:ascii="Arial" w:hAnsi="Arial" w:eastAsia="Arial"/>
                <w:b w:val="0"/>
                <w:sz w:val="16"/>
              </w:rPr>
              <w:t>Lower burden.</w:t>
            </w:r>
          </w:p>
        </w:tc>
        <w:tc>
          <w:tcPr>
            <w:tcW w:type="dxa" w:w="5112"/>
            <w:vAlign w:val="top"/>
          </w:tcPr>
          <w:p>
            <w:pPr>
              <w:spacing w:after="0"/>
            </w:pPr>
            <w:r/>
            <w:r>
              <w:rPr>
                <w:rFonts w:ascii="Arial" w:hAnsi="Arial" w:eastAsia="Arial"/>
                <w:b w:val="0"/>
                <w:sz w:val="16"/>
              </w:rPr>
              <w:t>Cleaning fee less damaging; weekly stays can absorb turnover cost.</w:t>
            </w:r>
          </w:p>
        </w:tc>
      </w:tr>
      <w:tr>
        <w:tc>
          <w:tcPr>
            <w:tcW w:type="dxa" w:w="1728"/>
            <w:vAlign w:val="top"/>
          </w:tcPr>
          <w:p>
            <w:pPr>
              <w:spacing w:after="0"/>
            </w:pPr>
            <w:r/>
            <w:r>
              <w:rPr>
                <w:rFonts w:ascii="Arial" w:hAnsi="Arial" w:eastAsia="Arial"/>
                <w:b w:val="0"/>
                <w:sz w:val="16"/>
              </w:rPr>
              <w:t>28+ nights</w:t>
            </w:r>
          </w:p>
        </w:tc>
        <w:tc>
          <w:tcPr>
            <w:tcW w:type="dxa" w:w="3672"/>
            <w:vAlign w:val="top"/>
          </w:tcPr>
          <w:p>
            <w:pPr>
              <w:spacing w:after="0"/>
            </w:pPr>
            <w:r/>
            <w:r>
              <w:rPr>
                <w:rFonts w:ascii="Arial" w:hAnsi="Arial" w:eastAsia="Arial"/>
                <w:b w:val="0"/>
                <w:sz w:val="16"/>
              </w:rPr>
              <w:t>Very low per-night burden but higher wear.</w:t>
            </w:r>
          </w:p>
        </w:tc>
        <w:tc>
          <w:tcPr>
            <w:tcW w:type="dxa" w:w="5112"/>
            <w:vAlign w:val="top"/>
          </w:tcPr>
          <w:p>
            <w:pPr>
              <w:spacing w:after="0"/>
            </w:pPr>
            <w:r/>
            <w:r>
              <w:rPr>
                <w:rFonts w:ascii="Arial" w:hAnsi="Arial" w:eastAsia="Arial"/>
                <w:b w:val="0"/>
                <w:sz w:val="16"/>
              </w:rPr>
              <w:t>Charge departure clean and consider mid-stay clean or higher monthly rate.</w:t>
            </w:r>
          </w:p>
        </w:tc>
      </w:tr>
    </w:tbl>
    <w:p>
      <w:pPr>
        <w:pStyle w:val="Small"/>
      </w:pPr>
    </w:p>
    <w:p>
      <w:pPr>
        <w:pStyle w:val="Heading2"/>
      </w:pPr>
      <w:r>
        <w:t>12.3 Service fee structure and payout pricing</w:t>
      </w:r>
    </w:p>
    <w:p>
      <w:r>
        <w:t>Airbnb’s 2026 service fee update states that hosts using property management or channel management software and previously on split fees switched to a single fee structure on April 13, 2026. Under the single fee example, a 15.5% service fee is deducted from the host-set price, while guests pay the set price; under the split-fee example, the host fee was 3% and guests paid a separate service fee on top [P5]. Hosts should check their own account and software connection because fee structure affects payout and guest-visible price.</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1F4E79"/>
            <w:vAlign w:val="center"/>
          </w:tcPr>
          <w:p>
            <w:pPr>
              <w:spacing w:after="0"/>
            </w:pPr>
            <w:r/>
            <w:r>
              <w:rPr>
                <w:rFonts w:ascii="Arial" w:hAnsi="Arial" w:eastAsia="Arial"/>
                <w:b/>
                <w:color w:val="FFFFFF"/>
                <w:sz w:val="16"/>
              </w:rPr>
              <w:t>Fee structure</w:t>
            </w:r>
          </w:p>
        </w:tc>
        <w:tc>
          <w:tcPr>
            <w:tcW w:type="dxa" w:w="4608"/>
            <w:shd w:fill="1F4E79"/>
            <w:vAlign w:val="center"/>
          </w:tcPr>
          <w:p>
            <w:pPr>
              <w:spacing w:after="0"/>
            </w:pPr>
            <w:r/>
            <w:r>
              <w:rPr>
                <w:rFonts w:ascii="Arial" w:hAnsi="Arial" w:eastAsia="Arial"/>
                <w:b/>
                <w:color w:val="FFFFFF"/>
                <w:sz w:val="16"/>
              </w:rPr>
              <w:t>Pricing implication</w:t>
            </w:r>
          </w:p>
        </w:tc>
        <w:tc>
          <w:tcPr>
            <w:tcW w:type="dxa" w:w="3816"/>
            <w:shd w:fill="1F4E79"/>
            <w:vAlign w:val="center"/>
          </w:tcPr>
          <w:p>
            <w:pPr>
              <w:spacing w:after="0"/>
            </w:pPr>
            <w:r/>
            <w:r>
              <w:rPr>
                <w:rFonts w:ascii="Arial" w:hAnsi="Arial" w:eastAsia="Arial"/>
                <w:b/>
                <w:color w:val="FFFFFF"/>
                <w:sz w:val="16"/>
              </w:rPr>
              <w:t>Revenue manager action</w:t>
            </w:r>
          </w:p>
        </w:tc>
      </w:tr>
      <w:tr>
        <w:tc>
          <w:tcPr>
            <w:tcW w:type="dxa" w:w="2088"/>
            <w:vAlign w:val="top"/>
          </w:tcPr>
          <w:p>
            <w:pPr>
              <w:spacing w:after="0"/>
            </w:pPr>
            <w:r/>
            <w:r>
              <w:rPr>
                <w:rFonts w:ascii="Arial" w:hAnsi="Arial" w:eastAsia="Arial"/>
                <w:b w:val="0"/>
                <w:sz w:val="16"/>
              </w:rPr>
              <w:t>Split fee</w:t>
            </w:r>
          </w:p>
        </w:tc>
        <w:tc>
          <w:tcPr>
            <w:tcW w:type="dxa" w:w="4608"/>
            <w:vAlign w:val="top"/>
          </w:tcPr>
          <w:p>
            <w:pPr>
              <w:spacing w:after="0"/>
            </w:pPr>
            <w:r/>
            <w:r>
              <w:rPr>
                <w:rFonts w:ascii="Arial" w:hAnsi="Arial" w:eastAsia="Arial"/>
                <w:b w:val="0"/>
                <w:sz w:val="16"/>
              </w:rPr>
              <w:t>Host-set price may be lower than guest total because guest service fee is added.</w:t>
            </w:r>
          </w:p>
        </w:tc>
        <w:tc>
          <w:tcPr>
            <w:tcW w:type="dxa" w:w="3816"/>
            <w:vAlign w:val="top"/>
          </w:tcPr>
          <w:p>
            <w:pPr>
              <w:spacing w:after="0"/>
            </w:pPr>
            <w:r/>
            <w:r>
              <w:rPr>
                <w:rFonts w:ascii="Arial" w:hAnsi="Arial" w:eastAsia="Arial"/>
                <w:b w:val="0"/>
                <w:sz w:val="16"/>
              </w:rPr>
              <w:t>Compare guest-visible total; do not benchmark only host payout rate.</w:t>
            </w:r>
          </w:p>
        </w:tc>
      </w:tr>
      <w:tr>
        <w:tc>
          <w:tcPr>
            <w:tcW w:type="dxa" w:w="2088"/>
            <w:vAlign w:val="top"/>
          </w:tcPr>
          <w:p>
            <w:pPr>
              <w:spacing w:after="0"/>
            </w:pPr>
            <w:r/>
            <w:r>
              <w:rPr>
                <w:rFonts w:ascii="Arial" w:hAnsi="Arial" w:eastAsia="Arial"/>
                <w:b w:val="0"/>
                <w:sz w:val="16"/>
              </w:rPr>
              <w:t>Single fee</w:t>
            </w:r>
          </w:p>
        </w:tc>
        <w:tc>
          <w:tcPr>
            <w:tcW w:type="dxa" w:w="4608"/>
            <w:vAlign w:val="top"/>
          </w:tcPr>
          <w:p>
            <w:pPr>
              <w:spacing w:after="0"/>
            </w:pPr>
            <w:r/>
            <w:r>
              <w:rPr>
                <w:rFonts w:ascii="Arial" w:hAnsi="Arial" w:eastAsia="Arial"/>
                <w:b w:val="0"/>
                <w:sz w:val="16"/>
              </w:rPr>
              <w:t>Host-set price may equal guest price before taxes, but payout is reduced by host service fee.</w:t>
            </w:r>
          </w:p>
        </w:tc>
        <w:tc>
          <w:tcPr>
            <w:tcW w:type="dxa" w:w="3816"/>
            <w:vAlign w:val="top"/>
          </w:tcPr>
          <w:p>
            <w:pPr>
              <w:spacing w:after="0"/>
            </w:pPr>
            <w:r/>
            <w:r>
              <w:rPr>
                <w:rFonts w:ascii="Arial" w:hAnsi="Arial" w:eastAsia="Arial"/>
                <w:b w:val="0"/>
                <w:sz w:val="16"/>
              </w:rPr>
              <w:t>Increase host-set price if needed to maintain payout, but verify conversion after total price display.</w:t>
            </w:r>
          </w:p>
        </w:tc>
      </w:tr>
      <w:tr>
        <w:tc>
          <w:tcPr>
            <w:tcW w:type="dxa" w:w="2088"/>
            <w:vAlign w:val="top"/>
          </w:tcPr>
          <w:p>
            <w:pPr>
              <w:spacing w:after="0"/>
            </w:pPr>
            <w:r/>
            <w:r>
              <w:rPr>
                <w:rFonts w:ascii="Arial" w:hAnsi="Arial" w:eastAsia="Arial"/>
                <w:b w:val="0"/>
                <w:sz w:val="16"/>
              </w:rPr>
              <w:t>Multi-channel</w:t>
            </w:r>
          </w:p>
        </w:tc>
        <w:tc>
          <w:tcPr>
            <w:tcW w:type="dxa" w:w="4608"/>
            <w:vAlign w:val="top"/>
          </w:tcPr>
          <w:p>
            <w:pPr>
              <w:spacing w:after="0"/>
            </w:pPr>
            <w:r/>
            <w:r>
              <w:rPr>
                <w:rFonts w:ascii="Arial" w:hAnsi="Arial" w:eastAsia="Arial"/>
                <w:b w:val="0"/>
                <w:sz w:val="16"/>
              </w:rPr>
              <w:t>Airbnb, Vrbo, direct booking, Booking.com, and PMS fees differ.</w:t>
            </w:r>
          </w:p>
        </w:tc>
        <w:tc>
          <w:tcPr>
            <w:tcW w:type="dxa" w:w="3816"/>
            <w:vAlign w:val="top"/>
          </w:tcPr>
          <w:p>
            <w:pPr>
              <w:spacing w:after="0"/>
            </w:pPr>
            <w:r/>
            <w:r>
              <w:rPr>
                <w:rFonts w:ascii="Arial" w:hAnsi="Arial" w:eastAsia="Arial"/>
                <w:b w:val="0"/>
                <w:sz w:val="16"/>
              </w:rPr>
              <w:t>Maintain channel parity strategy and net revenue reporting.</w:t>
            </w:r>
          </w:p>
        </w:tc>
      </w:tr>
    </w:tbl>
    <w:p>
      <w:pPr>
        <w:pStyle w:val="Small"/>
      </w:pPr>
    </w:p>
    <w:p>
      <w:pPr>
        <w:pStyle w:val="Heading2"/>
      </w:pPr>
      <w:r>
        <w:t>12.4 Net payout model</w:t>
      </w:r>
    </w:p>
    <w:p>
      <w:pPr>
        <w:pStyle w:val="Callout"/>
      </w:pPr>
      <w:r>
        <w:rPr>
          <w:b/>
        </w:rPr>
        <w:t>Net payout per stay = guest-visible total before taxes - platform/OTA service fee - cleaning labor not reimbursed - supplies - utilities - payment/processing costs - manager/owner share adjustments - risk reserve.</w:t>
      </w:r>
    </w:p>
    <w:p>
      <w:r>
        <w:t>For professional portfolios, report both guest revenue and payout revenue. PriceLabs and other industry sources emphasize that in a post all-in pricing and service-fee-shift environment, operators need to understand payout revenue rather than only ADR [I6]. Owner reporting should show whether a rate change increases guest revenue, net payout, or both. A rate increase that reduces conversion may lower payout even if ADR rises.</w:t>
      </w:r>
    </w:p>
    <w:p>
      <w:r>
        <w:br w:type="page"/>
      </w:r>
    </w:p>
    <w:p>
      <w:pPr>
        <w:pStyle w:val="Heading1"/>
      </w:pPr>
      <w:r>
        <w:t>13. Reviews, Ratings, and Value-for-Money Pricing</w:t>
      </w:r>
    </w:p>
    <w:p>
      <w:pPr>
        <w:pStyle w:val="Heading2"/>
      </w:pPr>
      <w:r>
        <w:t>13.1 Reviews are pricing capital</w:t>
      </w:r>
    </w:p>
    <w:p>
      <w:r>
        <w:t>Airbnb reviews are not only reputation markers; they are pricing inputs. US-region research indicates that negative review content can have a larger effect on Airbnb prices than positive content, especially for lower-priced listings, and that facility and location topics matter strongly [A4]. Value-for-money research also indicates that higher prices can worsen ratings when perceived value is weak [A5].</w:t>
      </w:r>
    </w:p>
    <w:p>
      <w:r>
        <w:t>A host should therefore set a review-adjusted rate. A well-reviewed property can move above the median. A property with repeated complaints about cleanliness, noise, inaccurate photos, uncomfortable beds, or poor communication should not maintain a premium until the issue is fixed.</w:t>
      </w:r>
    </w:p>
    <w:tbl>
      <w:tblPr>
        <w:tblStyle w:val="TableGrid"/>
        <w:tblW w:type="auto" w:w="0"/>
        <w:jc w:val="center"/>
        <w:tblLook w:firstColumn="1" w:firstRow="1" w:lastColumn="0" w:lastRow="0" w:noHBand="0" w:noVBand="1" w:val="04A0"/>
      </w:tblPr>
      <w:tblGrid>
        <w:gridCol w:w="5112"/>
        <w:gridCol w:w="5112"/>
      </w:tblGrid>
      <w:tr>
        <w:tc>
          <w:tcPr>
            <w:tcW w:type="dxa" w:w="4464"/>
            <w:shd w:fill="1F4E79"/>
            <w:vAlign w:val="center"/>
          </w:tcPr>
          <w:p>
            <w:pPr>
              <w:spacing w:after="0"/>
            </w:pPr>
            <w:r/>
            <w:r>
              <w:rPr>
                <w:rFonts w:ascii="Arial" w:hAnsi="Arial" w:eastAsia="Arial"/>
                <w:b/>
                <w:color w:val="FFFFFF"/>
                <w:sz w:val="16"/>
              </w:rPr>
              <w:t>Review signal</w:t>
            </w:r>
          </w:p>
        </w:tc>
        <w:tc>
          <w:tcPr>
            <w:tcW w:type="dxa" w:w="6048"/>
            <w:shd w:fill="1F4E79"/>
            <w:vAlign w:val="center"/>
          </w:tcPr>
          <w:p>
            <w:pPr>
              <w:spacing w:after="0"/>
            </w:pPr>
            <w:r/>
            <w:r>
              <w:rPr>
                <w:rFonts w:ascii="Arial" w:hAnsi="Arial" w:eastAsia="Arial"/>
                <w:b/>
                <w:color w:val="FFFFFF"/>
                <w:sz w:val="16"/>
              </w:rPr>
              <w:t>Pricing response</w:t>
            </w:r>
          </w:p>
        </w:tc>
      </w:tr>
      <w:tr>
        <w:tc>
          <w:tcPr>
            <w:tcW w:type="dxa" w:w="4464"/>
            <w:vAlign w:val="top"/>
          </w:tcPr>
          <w:p>
            <w:pPr>
              <w:spacing w:after="0"/>
            </w:pPr>
            <w:r/>
            <w:r>
              <w:rPr>
                <w:rFonts w:ascii="Arial" w:hAnsi="Arial" w:eastAsia="Arial"/>
                <w:b w:val="0"/>
                <w:sz w:val="16"/>
              </w:rPr>
              <w:t>4.9+ average, strong recent cleanliness/location language</w:t>
            </w:r>
          </w:p>
        </w:tc>
        <w:tc>
          <w:tcPr>
            <w:tcW w:type="dxa" w:w="6048"/>
            <w:vAlign w:val="top"/>
          </w:tcPr>
          <w:p>
            <w:pPr>
              <w:spacing w:after="0"/>
            </w:pPr>
            <w:r/>
            <w:r>
              <w:rPr>
                <w:rFonts w:ascii="Arial" w:hAnsi="Arial" w:eastAsia="Arial"/>
                <w:b w:val="0"/>
                <w:sz w:val="16"/>
              </w:rPr>
              <w:t>Support 5-15% premium over comparable median if conversion remains healthy.</w:t>
            </w:r>
          </w:p>
        </w:tc>
      </w:tr>
      <w:tr>
        <w:tc>
          <w:tcPr>
            <w:tcW w:type="dxa" w:w="4464"/>
            <w:vAlign w:val="top"/>
          </w:tcPr>
          <w:p>
            <w:pPr>
              <w:spacing w:after="0"/>
            </w:pPr>
            <w:r/>
            <w:r>
              <w:rPr>
                <w:rFonts w:ascii="Arial" w:hAnsi="Arial" w:eastAsia="Arial"/>
                <w:b w:val="0"/>
                <w:sz w:val="16"/>
              </w:rPr>
              <w:t>4.7-4.8 average, stable but ordinary</w:t>
            </w:r>
          </w:p>
        </w:tc>
        <w:tc>
          <w:tcPr>
            <w:tcW w:type="dxa" w:w="6048"/>
            <w:vAlign w:val="top"/>
          </w:tcPr>
          <w:p>
            <w:pPr>
              <w:spacing w:after="0"/>
            </w:pPr>
            <w:r/>
            <w:r>
              <w:rPr>
                <w:rFonts w:ascii="Arial" w:hAnsi="Arial" w:eastAsia="Arial"/>
                <w:b w:val="0"/>
                <w:sz w:val="16"/>
              </w:rPr>
              <w:t>Price near comp-set median; improve product before premium.</w:t>
            </w:r>
          </w:p>
        </w:tc>
      </w:tr>
      <w:tr>
        <w:tc>
          <w:tcPr>
            <w:tcW w:type="dxa" w:w="4464"/>
            <w:vAlign w:val="top"/>
          </w:tcPr>
          <w:p>
            <w:pPr>
              <w:spacing w:after="0"/>
            </w:pPr>
            <w:r/>
            <w:r>
              <w:rPr>
                <w:rFonts w:ascii="Arial" w:hAnsi="Arial" w:eastAsia="Arial"/>
                <w:b w:val="0"/>
                <w:sz w:val="16"/>
              </w:rPr>
              <w:t>Below 4.7 or recent poor review</w:t>
            </w:r>
          </w:p>
        </w:tc>
        <w:tc>
          <w:tcPr>
            <w:tcW w:type="dxa" w:w="6048"/>
            <w:vAlign w:val="top"/>
          </w:tcPr>
          <w:p>
            <w:pPr>
              <w:spacing w:after="0"/>
            </w:pPr>
            <w:r/>
            <w:r>
              <w:rPr>
                <w:rFonts w:ascii="Arial" w:hAnsi="Arial" w:eastAsia="Arial"/>
                <w:b w:val="0"/>
                <w:sz w:val="16"/>
              </w:rPr>
              <w:t>Pause increases; consider 5-10% correction and fix issue.</w:t>
            </w:r>
          </w:p>
        </w:tc>
      </w:tr>
      <w:tr>
        <w:tc>
          <w:tcPr>
            <w:tcW w:type="dxa" w:w="4464"/>
            <w:vAlign w:val="top"/>
          </w:tcPr>
          <w:p>
            <w:pPr>
              <w:spacing w:after="0"/>
            </w:pPr>
            <w:r/>
            <w:r>
              <w:rPr>
                <w:rFonts w:ascii="Arial" w:hAnsi="Arial" w:eastAsia="Arial"/>
                <w:b w:val="0"/>
                <w:sz w:val="16"/>
              </w:rPr>
              <w:t>Repeated value complaints</w:t>
            </w:r>
          </w:p>
        </w:tc>
        <w:tc>
          <w:tcPr>
            <w:tcW w:type="dxa" w:w="6048"/>
            <w:vAlign w:val="top"/>
          </w:tcPr>
          <w:p>
            <w:pPr>
              <w:spacing w:after="0"/>
            </w:pPr>
            <w:r/>
            <w:r>
              <w:rPr>
                <w:rFonts w:ascii="Arial" w:hAnsi="Arial" w:eastAsia="Arial"/>
                <w:b w:val="0"/>
                <w:sz w:val="16"/>
              </w:rPr>
              <w:t>Lower total price or add amenities/service; review cleaning and fees.</w:t>
            </w:r>
          </w:p>
        </w:tc>
      </w:tr>
      <w:tr>
        <w:tc>
          <w:tcPr>
            <w:tcW w:type="dxa" w:w="4464"/>
            <w:vAlign w:val="top"/>
          </w:tcPr>
          <w:p>
            <w:pPr>
              <w:spacing w:after="0"/>
            </w:pPr>
            <w:r/>
            <w:r>
              <w:rPr>
                <w:rFonts w:ascii="Arial" w:hAnsi="Arial" w:eastAsia="Arial"/>
                <w:b w:val="0"/>
                <w:sz w:val="16"/>
              </w:rPr>
              <w:t>Repeated facility complaints</w:t>
            </w:r>
          </w:p>
        </w:tc>
        <w:tc>
          <w:tcPr>
            <w:tcW w:type="dxa" w:w="6048"/>
            <w:vAlign w:val="top"/>
          </w:tcPr>
          <w:p>
            <w:pPr>
              <w:spacing w:after="0"/>
            </w:pPr>
            <w:r/>
            <w:r>
              <w:rPr>
                <w:rFonts w:ascii="Arial" w:hAnsi="Arial" w:eastAsia="Arial"/>
                <w:b w:val="0"/>
                <w:sz w:val="16"/>
              </w:rPr>
              <w:t>Repair before rate push; price discount cannot fully offset product failure.</w:t>
            </w:r>
          </w:p>
        </w:tc>
      </w:tr>
      <w:tr>
        <w:tc>
          <w:tcPr>
            <w:tcW w:type="dxa" w:w="4464"/>
            <w:vAlign w:val="top"/>
          </w:tcPr>
          <w:p>
            <w:pPr>
              <w:spacing w:after="0"/>
            </w:pPr>
            <w:r/>
            <w:r>
              <w:rPr>
                <w:rFonts w:ascii="Arial" w:hAnsi="Arial" w:eastAsia="Arial"/>
                <w:b w:val="0"/>
                <w:sz w:val="16"/>
              </w:rPr>
              <w:t>Repeated location/noise complaints</w:t>
            </w:r>
          </w:p>
        </w:tc>
        <w:tc>
          <w:tcPr>
            <w:tcW w:type="dxa" w:w="6048"/>
            <w:vAlign w:val="top"/>
          </w:tcPr>
          <w:p>
            <w:pPr>
              <w:spacing w:after="0"/>
            </w:pPr>
            <w:r/>
            <w:r>
              <w:rPr>
                <w:rFonts w:ascii="Arial" w:hAnsi="Arial" w:eastAsia="Arial"/>
                <w:b w:val="0"/>
                <w:sz w:val="16"/>
              </w:rPr>
              <w:t>Improve disclosure and expectation setting; price accordingly.</w:t>
            </w:r>
          </w:p>
        </w:tc>
      </w:tr>
    </w:tbl>
    <w:p>
      <w:pPr>
        <w:pStyle w:val="Small"/>
      </w:pPr>
    </w:p>
    <w:p>
      <w:pPr>
        <w:pStyle w:val="Heading2"/>
      </w:pPr>
      <w:r>
        <w:t>13.2 Review recovery protocol</w:t>
      </w:r>
    </w:p>
    <w:p>
      <w:pPr>
        <w:pStyle w:val="ListNumber"/>
        <w:spacing w:after="40"/>
      </w:pPr>
      <w:r>
        <w:rPr>
          <w:rFonts w:ascii="Arial" w:hAnsi="Arial" w:eastAsia="Arial"/>
          <w:sz w:val="18"/>
        </w:rPr>
        <w:t>Classify the complaint: cleanliness, accuracy, facility, communication, noise, location, value, check-in, safety, or policy.</w:t>
      </w:r>
    </w:p>
    <w:p>
      <w:pPr>
        <w:pStyle w:val="ListNumber"/>
        <w:spacing w:after="40"/>
      </w:pPr>
      <w:r>
        <w:rPr>
          <w:rFonts w:ascii="Arial" w:hAnsi="Arial" w:eastAsia="Arial"/>
          <w:sz w:val="18"/>
        </w:rPr>
        <w:t>Fix operational failures before changing price. A lower rate does not solve a dirty property or inaccurate listing.</w:t>
      </w:r>
    </w:p>
    <w:p>
      <w:pPr>
        <w:pStyle w:val="ListNumber"/>
        <w:spacing w:after="40"/>
      </w:pPr>
      <w:r>
        <w:rPr>
          <w:rFonts w:ascii="Arial" w:hAnsi="Arial" w:eastAsia="Arial"/>
          <w:sz w:val="18"/>
        </w:rPr>
        <w:t>Update listing copy and photos if expectations were wrong. Price complaints are often expectation complaints.</w:t>
      </w:r>
    </w:p>
    <w:p>
      <w:pPr>
        <w:pStyle w:val="ListNumber"/>
        <w:spacing w:after="40"/>
      </w:pPr>
      <w:r>
        <w:rPr>
          <w:rFonts w:ascii="Arial" w:hAnsi="Arial" w:eastAsia="Arial"/>
          <w:sz w:val="18"/>
        </w:rPr>
        <w:t>Pause premium pricing on affected near-term dates if conversion drops.</w:t>
      </w:r>
    </w:p>
    <w:p>
      <w:pPr>
        <w:pStyle w:val="ListNumber"/>
        <w:spacing w:after="40"/>
      </w:pPr>
      <w:r>
        <w:rPr>
          <w:rFonts w:ascii="Arial" w:hAnsi="Arial" w:eastAsia="Arial"/>
          <w:sz w:val="18"/>
        </w:rPr>
        <w:t>Offer a targeted value correction for the next 3-5 bookings if the review score is at risk.</w:t>
      </w:r>
    </w:p>
    <w:p>
      <w:pPr>
        <w:pStyle w:val="ListNumber"/>
        <w:spacing w:after="40"/>
      </w:pPr>
      <w:r>
        <w:rPr>
          <w:rFonts w:ascii="Arial" w:hAnsi="Arial" w:eastAsia="Arial"/>
          <w:sz w:val="18"/>
        </w:rPr>
        <w:t>After three clean reviews, return to normal rate ladder gradually.</w:t>
      </w:r>
    </w:p>
    <w:p>
      <w:pPr>
        <w:pStyle w:val="Heading2"/>
      </w:pPr>
      <w:r>
        <w:t>13.3 Premium pricing and expectation management</w:t>
      </w:r>
    </w:p>
    <w:p>
      <w:r>
        <w:t>Premium pricing creates premium expectations. If the listing is in the top quartile of the comp set, the guest will compare it against the best alternatives. The property must be clean, accurate, well-equipped, and supported by fast communication. A premium rate can be rational for waterfront access, parking, pool, hot tub, ski-in/ski-out, luxury design, or rare capacity, but the listing must clearly show why the premium exists.</w:t>
      </w:r>
    </w:p>
    <w:p>
      <w:r>
        <w:t>Avoid “silent premiums.” A guest should understand before booking why the property costs more. Put premium value in the first photos and first paragraphs. Show the view, the pool, the dedicated workspace, the bunk room, the private beach path, the garage parking, or the chef kitchen. If the value is invisible, conversion will suffer and reviews may mention poor value.</w:t>
      </w:r>
    </w:p>
    <w:p>
      <w:r>
        <w:br w:type="page"/>
      </w:r>
    </w:p>
    <w:p>
      <w:pPr>
        <w:pStyle w:val="Heading1"/>
      </w:pPr>
      <w:r>
        <w:t>14. Cancellation Policies and Repricing After Cancellations</w:t>
      </w:r>
    </w:p>
    <w:p>
      <w:pPr>
        <w:pStyle w:val="Heading2"/>
      </w:pPr>
      <w:r>
        <w:t>14.1 Cancellation policies as pricing levers</w:t>
      </w:r>
    </w:p>
    <w:p>
      <w:r>
        <w:t>Airbnb standard cancellation policies for shorter stays include Flexible, Moderate, Limited, Firm, and certain stricter options for eligible hosts, with a 24-hour free cancellation period for shorter stays booked at least seven days before check-in [P7]. Hosts can also offer a non-refundable option at a discounted rate for shorter stays, subject to the platform rules [P7].</w:t>
      </w:r>
    </w:p>
    <w:p>
      <w:r>
        <w:t>Cancellation flexibility is a conversion tool, but it increases revenue risk. The correct policy depends on market demand, lead time, event value, property type, and replacement probability. A private room in a low-demand urban market may benefit from flexibility. A large beach house for July 4 should use firmer protection. A monthly stay requires separate long-stay cancellation logic and compliance review.</w:t>
      </w:r>
    </w:p>
    <w:tbl>
      <w:tblPr>
        <w:tblStyle w:val="TableGrid"/>
        <w:tblW w:type="auto" w:w="0"/>
        <w:jc w:val="center"/>
        <w:tblLook w:firstColumn="1" w:firstRow="1" w:lastColumn="0" w:lastRow="0" w:noHBand="0" w:noVBand="1" w:val="04A0"/>
      </w:tblPr>
      <w:tblGrid>
        <w:gridCol w:w="3408"/>
        <w:gridCol w:w="3408"/>
        <w:gridCol w:w="3408"/>
      </w:tblGrid>
      <w:tr>
        <w:tc>
          <w:tcPr>
            <w:tcW w:type="dxa" w:w="3456"/>
            <w:shd w:fill="1F4E79"/>
            <w:vAlign w:val="center"/>
          </w:tcPr>
          <w:p>
            <w:pPr>
              <w:spacing w:after="0"/>
            </w:pPr>
            <w:r/>
            <w:r>
              <w:rPr>
                <w:rFonts w:ascii="Arial" w:hAnsi="Arial" w:eastAsia="Arial"/>
                <w:b/>
                <w:color w:val="FFFFFF"/>
                <w:sz w:val="15"/>
              </w:rPr>
              <w:t>Demand / property context</w:t>
            </w:r>
          </w:p>
        </w:tc>
        <w:tc>
          <w:tcPr>
            <w:tcW w:type="dxa" w:w="3096"/>
            <w:shd w:fill="1F4E79"/>
            <w:vAlign w:val="center"/>
          </w:tcPr>
          <w:p>
            <w:pPr>
              <w:spacing w:after="0"/>
            </w:pPr>
            <w:r/>
            <w:r>
              <w:rPr>
                <w:rFonts w:ascii="Arial" w:hAnsi="Arial" w:eastAsia="Arial"/>
                <w:b/>
                <w:color w:val="FFFFFF"/>
                <w:sz w:val="15"/>
              </w:rPr>
              <w:t>Recommended cancellation posture</w:t>
            </w:r>
          </w:p>
        </w:tc>
        <w:tc>
          <w:tcPr>
            <w:tcW w:type="dxa" w:w="4104"/>
            <w:shd w:fill="1F4E79"/>
            <w:vAlign w:val="center"/>
          </w:tcPr>
          <w:p>
            <w:pPr>
              <w:spacing w:after="0"/>
            </w:pPr>
            <w:r/>
            <w:r>
              <w:rPr>
                <w:rFonts w:ascii="Arial" w:hAnsi="Arial" w:eastAsia="Arial"/>
                <w:b/>
                <w:color w:val="FFFFFF"/>
                <w:sz w:val="15"/>
              </w:rPr>
              <w:t>Price implication</w:t>
            </w:r>
          </w:p>
        </w:tc>
      </w:tr>
      <w:tr>
        <w:tc>
          <w:tcPr>
            <w:tcW w:type="dxa" w:w="3456"/>
            <w:vAlign w:val="top"/>
          </w:tcPr>
          <w:p>
            <w:pPr>
              <w:spacing w:after="0"/>
            </w:pPr>
            <w:r/>
            <w:r>
              <w:rPr>
                <w:rFonts w:ascii="Arial" w:hAnsi="Arial" w:eastAsia="Arial"/>
                <w:b w:val="0"/>
                <w:sz w:val="15"/>
              </w:rPr>
              <w:t>Low season / flexible urban stays</w:t>
            </w:r>
          </w:p>
        </w:tc>
        <w:tc>
          <w:tcPr>
            <w:tcW w:type="dxa" w:w="3096"/>
            <w:vAlign w:val="top"/>
          </w:tcPr>
          <w:p>
            <w:pPr>
              <w:spacing w:after="0"/>
            </w:pPr>
            <w:r/>
            <w:r>
              <w:rPr>
                <w:rFonts w:ascii="Arial" w:hAnsi="Arial" w:eastAsia="Arial"/>
                <w:b w:val="0"/>
                <w:sz w:val="15"/>
              </w:rPr>
              <w:t>Flexible or Moderate.</w:t>
            </w:r>
          </w:p>
        </w:tc>
        <w:tc>
          <w:tcPr>
            <w:tcW w:type="dxa" w:w="4104"/>
            <w:vAlign w:val="top"/>
          </w:tcPr>
          <w:p>
            <w:pPr>
              <w:spacing w:after="0"/>
            </w:pPr>
            <w:r/>
            <w:r>
              <w:rPr>
                <w:rFonts w:ascii="Arial" w:hAnsi="Arial" w:eastAsia="Arial"/>
                <w:b w:val="0"/>
                <w:sz w:val="15"/>
              </w:rPr>
              <w:t>No or low risk premium; use flexibility to support conversion.</w:t>
            </w:r>
          </w:p>
        </w:tc>
      </w:tr>
      <w:tr>
        <w:tc>
          <w:tcPr>
            <w:tcW w:type="dxa" w:w="3456"/>
            <w:vAlign w:val="top"/>
          </w:tcPr>
          <w:p>
            <w:pPr>
              <w:spacing w:after="0"/>
            </w:pPr>
            <w:r/>
            <w:r>
              <w:rPr>
                <w:rFonts w:ascii="Arial" w:hAnsi="Arial" w:eastAsia="Arial"/>
                <w:b w:val="0"/>
                <w:sz w:val="15"/>
              </w:rPr>
              <w:t>Normal family/leisure dates</w:t>
            </w:r>
          </w:p>
        </w:tc>
        <w:tc>
          <w:tcPr>
            <w:tcW w:type="dxa" w:w="3096"/>
            <w:vAlign w:val="top"/>
          </w:tcPr>
          <w:p>
            <w:pPr>
              <w:spacing w:after="0"/>
            </w:pPr>
            <w:r/>
            <w:r>
              <w:rPr>
                <w:rFonts w:ascii="Arial" w:hAnsi="Arial" w:eastAsia="Arial"/>
                <w:b w:val="0"/>
                <w:sz w:val="15"/>
              </w:rPr>
              <w:t>Moderate or Limited.</w:t>
            </w:r>
          </w:p>
        </w:tc>
        <w:tc>
          <w:tcPr>
            <w:tcW w:type="dxa" w:w="4104"/>
            <w:vAlign w:val="top"/>
          </w:tcPr>
          <w:p>
            <w:pPr>
              <w:spacing w:after="0"/>
            </w:pPr>
            <w:r/>
            <w:r>
              <w:rPr>
                <w:rFonts w:ascii="Arial" w:hAnsi="Arial" w:eastAsia="Arial"/>
                <w:b w:val="0"/>
                <w:sz w:val="15"/>
              </w:rPr>
              <w:t>Price at standard ladder; monitor cancellations.</w:t>
            </w:r>
          </w:p>
        </w:tc>
      </w:tr>
      <w:tr>
        <w:tc>
          <w:tcPr>
            <w:tcW w:type="dxa" w:w="3456"/>
            <w:vAlign w:val="top"/>
          </w:tcPr>
          <w:p>
            <w:pPr>
              <w:spacing w:after="0"/>
            </w:pPr>
            <w:r/>
            <w:r>
              <w:rPr>
                <w:rFonts w:ascii="Arial" w:hAnsi="Arial" w:eastAsia="Arial"/>
                <w:b w:val="0"/>
                <w:sz w:val="15"/>
              </w:rPr>
              <w:t>Peak summer / holidays</w:t>
            </w:r>
          </w:p>
        </w:tc>
        <w:tc>
          <w:tcPr>
            <w:tcW w:type="dxa" w:w="3096"/>
            <w:vAlign w:val="top"/>
          </w:tcPr>
          <w:p>
            <w:pPr>
              <w:spacing w:after="0"/>
            </w:pPr>
            <w:r/>
            <w:r>
              <w:rPr>
                <w:rFonts w:ascii="Arial" w:hAnsi="Arial" w:eastAsia="Arial"/>
                <w:b w:val="0"/>
                <w:sz w:val="15"/>
              </w:rPr>
              <w:t>Limited or Firm if available and appropriate.</w:t>
            </w:r>
          </w:p>
        </w:tc>
        <w:tc>
          <w:tcPr>
            <w:tcW w:type="dxa" w:w="4104"/>
            <w:vAlign w:val="top"/>
          </w:tcPr>
          <w:p>
            <w:pPr>
              <w:spacing w:after="0"/>
            </w:pPr>
            <w:r/>
            <w:r>
              <w:rPr>
                <w:rFonts w:ascii="Arial" w:hAnsi="Arial" w:eastAsia="Arial"/>
                <w:b w:val="0"/>
                <w:sz w:val="15"/>
              </w:rPr>
              <w:t>Maintain floors; add risk premium if policy is flexible.</w:t>
            </w:r>
          </w:p>
        </w:tc>
      </w:tr>
      <w:tr>
        <w:tc>
          <w:tcPr>
            <w:tcW w:type="dxa" w:w="3456"/>
            <w:vAlign w:val="top"/>
          </w:tcPr>
          <w:p>
            <w:pPr>
              <w:spacing w:after="0"/>
            </w:pPr>
            <w:r/>
            <w:r>
              <w:rPr>
                <w:rFonts w:ascii="Arial" w:hAnsi="Arial" w:eastAsia="Arial"/>
                <w:b w:val="0"/>
                <w:sz w:val="15"/>
              </w:rPr>
              <w:t>Major event / graduation / sports</w:t>
            </w:r>
          </w:p>
        </w:tc>
        <w:tc>
          <w:tcPr>
            <w:tcW w:type="dxa" w:w="3096"/>
            <w:vAlign w:val="top"/>
          </w:tcPr>
          <w:p>
            <w:pPr>
              <w:spacing w:after="0"/>
            </w:pPr>
            <w:r/>
            <w:r>
              <w:rPr>
                <w:rFonts w:ascii="Arial" w:hAnsi="Arial" w:eastAsia="Arial"/>
                <w:b w:val="0"/>
                <w:sz w:val="15"/>
              </w:rPr>
              <w:t>Firm or stricter eligible option.</w:t>
            </w:r>
          </w:p>
        </w:tc>
        <w:tc>
          <w:tcPr>
            <w:tcW w:type="dxa" w:w="4104"/>
            <w:vAlign w:val="top"/>
          </w:tcPr>
          <w:p>
            <w:pPr>
              <w:spacing w:after="0"/>
            </w:pPr>
            <w:r/>
            <w:r>
              <w:rPr>
                <w:rFonts w:ascii="Arial" w:hAnsi="Arial" w:eastAsia="Arial"/>
                <w:b w:val="0"/>
                <w:sz w:val="15"/>
              </w:rPr>
              <w:t>Rate should include replacement risk; avoid deep non-refundable discounts unless strategic.</w:t>
            </w:r>
          </w:p>
        </w:tc>
      </w:tr>
      <w:tr>
        <w:tc>
          <w:tcPr>
            <w:tcW w:type="dxa" w:w="3456"/>
            <w:vAlign w:val="top"/>
          </w:tcPr>
          <w:p>
            <w:pPr>
              <w:spacing w:after="0"/>
            </w:pPr>
            <w:r/>
            <w:r>
              <w:rPr>
                <w:rFonts w:ascii="Arial" w:hAnsi="Arial" w:eastAsia="Arial"/>
                <w:b w:val="0"/>
                <w:sz w:val="15"/>
              </w:rPr>
              <w:t>Monthly stays</w:t>
            </w:r>
          </w:p>
        </w:tc>
        <w:tc>
          <w:tcPr>
            <w:tcW w:type="dxa" w:w="3096"/>
            <w:vAlign w:val="top"/>
          </w:tcPr>
          <w:p>
            <w:pPr>
              <w:spacing w:after="0"/>
            </w:pPr>
            <w:r/>
            <w:r>
              <w:rPr>
                <w:rFonts w:ascii="Arial" w:hAnsi="Arial" w:eastAsia="Arial"/>
                <w:b w:val="0"/>
                <w:sz w:val="15"/>
              </w:rPr>
              <w:t>Long-term cancellation policy.</w:t>
            </w:r>
          </w:p>
        </w:tc>
        <w:tc>
          <w:tcPr>
            <w:tcW w:type="dxa" w:w="4104"/>
            <w:vAlign w:val="top"/>
          </w:tcPr>
          <w:p>
            <w:pPr>
              <w:spacing w:after="0"/>
            </w:pPr>
            <w:r/>
            <w:r>
              <w:rPr>
                <w:rFonts w:ascii="Arial" w:hAnsi="Arial" w:eastAsia="Arial"/>
                <w:b w:val="0"/>
                <w:sz w:val="15"/>
              </w:rPr>
              <w:t>Monthly rate should account for lower turnover and higher displacement risk.</w:t>
            </w:r>
          </w:p>
        </w:tc>
      </w:tr>
    </w:tbl>
    <w:p>
      <w:pPr>
        <w:pStyle w:val="Small"/>
      </w:pPr>
    </w:p>
    <w:p>
      <w:pPr>
        <w:pStyle w:val="Heading2"/>
      </w:pPr>
      <w:r>
        <w:t>14.2 Repricing after cancellation</w:t>
      </w:r>
    </w:p>
    <w:p>
      <w:r>
        <w:t>When a booking cancels, the replacement price should be based on current market conditions, not the original booked rate. A cancellation can be an opportunity if compression has increased, or a loss-control situation if demand has weakened. PriceLabs’ 2026 revenue-management guidance emphasizes a bottom-up strategy: hand-pick current comps, check which competitors are sold out, and reprice based on the real market at the time of cancellation [I6].</w:t>
      </w:r>
    </w:p>
    <w:p>
      <w:pPr>
        <w:pStyle w:val="ListNumber"/>
        <w:spacing w:after="40"/>
      </w:pPr>
      <w:r>
        <w:rPr>
          <w:rFonts w:ascii="Arial" w:hAnsi="Arial" w:eastAsia="Arial"/>
          <w:sz w:val="18"/>
        </w:rPr>
        <w:t>Identify date value: ordinary, weekend, holiday, event, peak-season week, or gap.</w:t>
      </w:r>
    </w:p>
    <w:p>
      <w:pPr>
        <w:pStyle w:val="ListNumber"/>
        <w:spacing w:after="40"/>
      </w:pPr>
      <w:r>
        <w:rPr>
          <w:rFonts w:ascii="Arial" w:hAnsi="Arial" w:eastAsia="Arial"/>
          <w:sz w:val="18"/>
        </w:rPr>
        <w:t>Check current true comp availability and guest-visible total price.</w:t>
      </w:r>
    </w:p>
    <w:p>
      <w:pPr>
        <w:pStyle w:val="ListNumber"/>
        <w:spacing w:after="40"/>
      </w:pPr>
      <w:r>
        <w:rPr>
          <w:rFonts w:ascii="Arial" w:hAnsi="Arial" w:eastAsia="Arial"/>
          <w:sz w:val="18"/>
        </w:rPr>
        <w:t>Check lead time and replacement probability.</w:t>
      </w:r>
    </w:p>
    <w:p>
      <w:pPr>
        <w:pStyle w:val="ListNumber"/>
        <w:spacing w:after="40"/>
      </w:pPr>
      <w:r>
        <w:rPr>
          <w:rFonts w:ascii="Arial" w:hAnsi="Arial" w:eastAsia="Arial"/>
          <w:sz w:val="18"/>
        </w:rPr>
        <w:t>If comps are sold out or very limited, hold or raise 5-20% over original rate.</w:t>
      </w:r>
    </w:p>
    <w:p>
      <w:pPr>
        <w:pStyle w:val="ListNumber"/>
        <w:spacing w:after="40"/>
      </w:pPr>
      <w:r>
        <w:rPr>
          <w:rFonts w:ascii="Arial" w:hAnsi="Arial" w:eastAsia="Arial"/>
          <w:sz w:val="18"/>
        </w:rPr>
        <w:t>If comps are widely available, reprice to the 45th-60th percentile and relax minimum stay.</w:t>
      </w:r>
    </w:p>
    <w:p>
      <w:pPr>
        <w:pStyle w:val="ListNumber"/>
        <w:spacing w:after="40"/>
      </w:pPr>
      <w:r>
        <w:rPr>
          <w:rFonts w:ascii="Arial" w:hAnsi="Arial" w:eastAsia="Arial"/>
          <w:sz w:val="18"/>
        </w:rPr>
        <w:t>If lead time is under seven days and the date is not compressed, use a gap-fill discount above the variable floor.</w:t>
      </w:r>
    </w:p>
    <w:p>
      <w:pPr>
        <w:pStyle w:val="ListNumber"/>
        <w:spacing w:after="40"/>
      </w:pPr>
      <w:r>
        <w:rPr>
          <w:rFonts w:ascii="Arial" w:hAnsi="Arial" w:eastAsia="Arial"/>
          <w:sz w:val="18"/>
        </w:rPr>
        <w:t>Record the reason for cancellation and whether policy changes are needed.</w:t>
      </w:r>
    </w:p>
    <w:p>
      <w:pPr>
        <w:pStyle w:val="Heading2"/>
      </w:pPr>
      <w:r>
        <w:t>14.3 Non-refundable discounts</w:t>
      </w:r>
    </w:p>
    <w:p>
      <w:r>
        <w:t>Non-refundable discounts can be useful in high-cancellation segments, but they must be priced carefully. A 5-10% non-refundable discount may attract committed guests and reduce cancellation risk. However, too large a discount can undercut revenue and create customer-service friction. Use non-refundable discounts for stable normal dates, not necessarily for peak dates where demand is strong enough without discounting.</w:t>
      </w:r>
    </w:p>
    <w:p>
      <w:r>
        <w:br w:type="page"/>
      </w:r>
    </w:p>
    <w:p>
      <w:pPr>
        <w:pStyle w:val="Heading1"/>
      </w:pPr>
      <w:r>
        <w:t>15. US Regional Pricing Playbooks</w:t>
      </w:r>
    </w:p>
    <w:p>
      <w:r>
        <w:t>The following regional guidance is a practical framework. Actual pricing should always be verified against local comp sets, laws, taxes, hotel alternatives, and event calendars.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shd w:fill="1F4E79"/>
            <w:vAlign w:val="center"/>
          </w:tcPr>
          <w:p>
            <w:pPr>
              <w:spacing w:after="0"/>
            </w:pPr>
            <w:r/>
            <w:r>
              <w:rPr>
                <w:rFonts w:ascii="Arial" w:hAnsi="Arial" w:eastAsia="Arial"/>
                <w:b/>
                <w:color w:val="FFFFFF"/>
                <w:sz w:val="14"/>
              </w:rPr>
              <w:t>Region</w:t>
            </w:r>
          </w:p>
        </w:tc>
        <w:tc>
          <w:tcPr>
            <w:tcW w:type="dxa" w:w="3168"/>
            <w:shd w:fill="1F4E79"/>
            <w:vAlign w:val="center"/>
          </w:tcPr>
          <w:p>
            <w:pPr>
              <w:spacing w:after="0"/>
            </w:pPr>
            <w:r/>
            <w:r>
              <w:rPr>
                <w:rFonts w:ascii="Arial" w:hAnsi="Arial" w:eastAsia="Arial"/>
                <w:b/>
                <w:color w:val="FFFFFF"/>
                <w:sz w:val="14"/>
              </w:rPr>
              <w:t>Demand profile</w:t>
            </w:r>
          </w:p>
        </w:tc>
        <w:tc>
          <w:tcPr>
            <w:tcW w:type="dxa" w:w="3672"/>
            <w:shd w:fill="1F4E79"/>
            <w:vAlign w:val="center"/>
          </w:tcPr>
          <w:p>
            <w:pPr>
              <w:spacing w:after="0"/>
            </w:pPr>
            <w:r/>
            <w:r>
              <w:rPr>
                <w:rFonts w:ascii="Arial" w:hAnsi="Arial" w:eastAsia="Arial"/>
                <w:b/>
                <w:color w:val="FFFFFF"/>
                <w:sz w:val="14"/>
              </w:rPr>
              <w:t>Pricing strategy</w:t>
            </w:r>
          </w:p>
        </w:tc>
        <w:tc>
          <w:tcPr>
            <w:tcW w:type="dxa" w:w="1944"/>
            <w:shd w:fill="1F4E79"/>
            <w:vAlign w:val="center"/>
          </w:tcPr>
          <w:p>
            <w:pPr>
              <w:spacing w:after="0"/>
            </w:pPr>
            <w:r/>
            <w:r>
              <w:rPr>
                <w:rFonts w:ascii="Arial" w:hAnsi="Arial" w:eastAsia="Arial"/>
                <w:b/>
                <w:color w:val="FFFFFF"/>
                <w:sz w:val="14"/>
              </w:rPr>
              <w:t>Risk control</w:t>
            </w:r>
          </w:p>
        </w:tc>
      </w:tr>
      <w:tr>
        <w:tc>
          <w:tcPr>
            <w:tcW w:type="dxa" w:w="2232"/>
            <w:vAlign w:val="top"/>
          </w:tcPr>
          <w:p>
            <w:pPr>
              <w:spacing w:after="0"/>
            </w:pPr>
            <w:r/>
            <w:r>
              <w:rPr>
                <w:rFonts w:ascii="Arial" w:hAnsi="Arial" w:eastAsia="Arial"/>
                <w:b w:val="0"/>
                <w:sz w:val="14"/>
              </w:rPr>
              <w:t>Northeast urban: NYC/Boston/DC/Philadelphia</w:t>
            </w:r>
          </w:p>
        </w:tc>
        <w:tc>
          <w:tcPr>
            <w:tcW w:type="dxa" w:w="3168"/>
            <w:vAlign w:val="top"/>
          </w:tcPr>
          <w:p>
            <w:pPr>
              <w:spacing w:after="0"/>
            </w:pPr>
            <w:r/>
            <w:r>
              <w:rPr>
                <w:rFonts w:ascii="Arial" w:hAnsi="Arial" w:eastAsia="Arial"/>
                <w:b w:val="0"/>
                <w:sz w:val="14"/>
              </w:rPr>
              <w:t>Business, events, weekends, international/domestic leisure; heavy regulation in some cities.</w:t>
            </w:r>
          </w:p>
        </w:tc>
        <w:tc>
          <w:tcPr>
            <w:tcW w:type="dxa" w:w="3672"/>
            <w:vAlign w:val="top"/>
          </w:tcPr>
          <w:p>
            <w:pPr>
              <w:spacing w:after="0"/>
            </w:pPr>
            <w:r/>
            <w:r>
              <w:rPr>
                <w:rFonts w:ascii="Arial" w:hAnsi="Arial" w:eastAsia="Arial"/>
                <w:b w:val="0"/>
                <w:sz w:val="14"/>
              </w:rPr>
              <w:t>Hotel comp price; compliance gate; event-driven midweek; monthly strategy where STR rules restrict stays.</w:t>
            </w:r>
          </w:p>
        </w:tc>
        <w:tc>
          <w:tcPr>
            <w:tcW w:type="dxa" w:w="1944"/>
            <w:vAlign w:val="top"/>
          </w:tcPr>
          <w:p>
            <w:pPr>
              <w:spacing w:after="0"/>
            </w:pPr>
            <w:r/>
            <w:r>
              <w:rPr>
                <w:rFonts w:ascii="Arial" w:hAnsi="Arial" w:eastAsia="Arial"/>
                <w:b w:val="0"/>
                <w:sz w:val="14"/>
              </w:rPr>
              <w:t>Do not assume legality or short-stay availability; compare to hotels and legal listings.</w:t>
            </w:r>
          </w:p>
        </w:tc>
      </w:tr>
      <w:tr>
        <w:tc>
          <w:tcPr>
            <w:tcW w:type="dxa" w:w="2232"/>
            <w:vAlign w:val="top"/>
          </w:tcPr>
          <w:p>
            <w:pPr>
              <w:spacing w:after="0"/>
            </w:pPr>
            <w:r/>
            <w:r>
              <w:rPr>
                <w:rFonts w:ascii="Arial" w:hAnsi="Arial" w:eastAsia="Arial"/>
                <w:b w:val="0"/>
                <w:sz w:val="14"/>
              </w:rPr>
              <w:t>New England coast and lake</w:t>
            </w:r>
          </w:p>
        </w:tc>
        <w:tc>
          <w:tcPr>
            <w:tcW w:type="dxa" w:w="3168"/>
            <w:vAlign w:val="top"/>
          </w:tcPr>
          <w:p>
            <w:pPr>
              <w:spacing w:after="0"/>
            </w:pPr>
            <w:r/>
            <w:r>
              <w:rPr>
                <w:rFonts w:ascii="Arial" w:hAnsi="Arial" w:eastAsia="Arial"/>
                <w:b w:val="0"/>
                <w:sz w:val="14"/>
              </w:rPr>
              <w:t>Summer family trips, fall foliage, holiday weekends.</w:t>
            </w:r>
          </w:p>
        </w:tc>
        <w:tc>
          <w:tcPr>
            <w:tcW w:type="dxa" w:w="3672"/>
            <w:vAlign w:val="top"/>
          </w:tcPr>
          <w:p>
            <w:pPr>
              <w:spacing w:after="0"/>
            </w:pPr>
            <w:r/>
            <w:r>
              <w:rPr>
                <w:rFonts w:ascii="Arial" w:hAnsi="Arial" w:eastAsia="Arial"/>
                <w:b w:val="0"/>
                <w:sz w:val="14"/>
              </w:rPr>
              <w:t>High summer floors, weekly/min-stay controls, water/view premiums, shoulder weekend packages.</w:t>
            </w:r>
          </w:p>
        </w:tc>
        <w:tc>
          <w:tcPr>
            <w:tcW w:type="dxa" w:w="1944"/>
            <w:vAlign w:val="top"/>
          </w:tcPr>
          <w:p>
            <w:pPr>
              <w:spacing w:after="0"/>
            </w:pPr>
            <w:r/>
            <w:r>
              <w:rPr>
                <w:rFonts w:ascii="Arial" w:hAnsi="Arial" w:eastAsia="Arial"/>
                <w:b w:val="0"/>
                <w:sz w:val="14"/>
              </w:rPr>
              <w:t>Avoid cutting summer too early; open shoulder gaps late.</w:t>
            </w:r>
          </w:p>
        </w:tc>
      </w:tr>
      <w:tr>
        <w:tc>
          <w:tcPr>
            <w:tcW w:type="dxa" w:w="2232"/>
            <w:vAlign w:val="top"/>
          </w:tcPr>
          <w:p>
            <w:pPr>
              <w:spacing w:after="0"/>
            </w:pPr>
            <w:r/>
            <w:r>
              <w:rPr>
                <w:rFonts w:ascii="Arial" w:hAnsi="Arial" w:eastAsia="Arial"/>
                <w:b w:val="0"/>
                <w:sz w:val="14"/>
              </w:rPr>
              <w:t>Southeast coast and Carolinas/Georgia</w:t>
            </w:r>
          </w:p>
        </w:tc>
        <w:tc>
          <w:tcPr>
            <w:tcW w:type="dxa" w:w="3168"/>
            <w:vAlign w:val="top"/>
          </w:tcPr>
          <w:p>
            <w:pPr>
              <w:spacing w:after="0"/>
            </w:pPr>
            <w:r/>
            <w:r>
              <w:rPr>
                <w:rFonts w:ascii="Arial" w:hAnsi="Arial" w:eastAsia="Arial"/>
                <w:b w:val="0"/>
                <w:sz w:val="14"/>
              </w:rPr>
              <w:t>Beach, golf, family, weddings, snowbird shoulder demand.</w:t>
            </w:r>
          </w:p>
        </w:tc>
        <w:tc>
          <w:tcPr>
            <w:tcW w:type="dxa" w:w="3672"/>
            <w:vAlign w:val="top"/>
          </w:tcPr>
          <w:p>
            <w:pPr>
              <w:spacing w:after="0"/>
            </w:pPr>
            <w:r/>
            <w:r>
              <w:rPr>
                <w:rFonts w:ascii="Arial" w:hAnsi="Arial" w:eastAsia="Arial"/>
                <w:b w:val="0"/>
                <w:sz w:val="14"/>
              </w:rPr>
              <w:t>Spring/summer premiums, hurricane-season caution, group-home value, pet-friendly premiums.</w:t>
            </w:r>
          </w:p>
        </w:tc>
        <w:tc>
          <w:tcPr>
            <w:tcW w:type="dxa" w:w="1944"/>
            <w:vAlign w:val="top"/>
          </w:tcPr>
          <w:p>
            <w:pPr>
              <w:spacing w:after="0"/>
            </w:pPr>
            <w:r/>
            <w:r>
              <w:rPr>
                <w:rFonts w:ascii="Arial" w:hAnsi="Arial" w:eastAsia="Arial"/>
                <w:b w:val="0"/>
                <w:sz w:val="14"/>
              </w:rPr>
              <w:t>Storm risk, insurance, and cancellation messaging matter.</w:t>
            </w:r>
          </w:p>
        </w:tc>
      </w:tr>
      <w:tr>
        <w:tc>
          <w:tcPr>
            <w:tcW w:type="dxa" w:w="2232"/>
            <w:vAlign w:val="top"/>
          </w:tcPr>
          <w:p>
            <w:pPr>
              <w:spacing w:after="0"/>
            </w:pPr>
            <w:r/>
            <w:r>
              <w:rPr>
                <w:rFonts w:ascii="Arial" w:hAnsi="Arial" w:eastAsia="Arial"/>
                <w:b w:val="0"/>
                <w:sz w:val="14"/>
              </w:rPr>
              <w:t>Florida and Gulf Coast</w:t>
            </w:r>
          </w:p>
        </w:tc>
        <w:tc>
          <w:tcPr>
            <w:tcW w:type="dxa" w:w="3168"/>
            <w:vAlign w:val="top"/>
          </w:tcPr>
          <w:p>
            <w:pPr>
              <w:spacing w:after="0"/>
            </w:pPr>
            <w:r/>
            <w:r>
              <w:rPr>
                <w:rFonts w:ascii="Arial" w:hAnsi="Arial" w:eastAsia="Arial"/>
                <w:b w:val="0"/>
                <w:sz w:val="14"/>
              </w:rPr>
              <w:t>Winter snowbirds, spring break, family summer, event cities, hurricane season.</w:t>
            </w:r>
          </w:p>
        </w:tc>
        <w:tc>
          <w:tcPr>
            <w:tcW w:type="dxa" w:w="3672"/>
            <w:vAlign w:val="top"/>
          </w:tcPr>
          <w:p>
            <w:pPr>
              <w:spacing w:after="0"/>
            </w:pPr>
            <w:r/>
            <w:r>
              <w:rPr>
                <w:rFonts w:ascii="Arial" w:hAnsi="Arial" w:eastAsia="Arial"/>
                <w:b w:val="0"/>
                <w:sz w:val="14"/>
              </w:rPr>
              <w:t>School-break premiums, monthly snowbird rates, pool/waterfront premiums, transparent cleaning fees.</w:t>
            </w:r>
          </w:p>
        </w:tc>
        <w:tc>
          <w:tcPr>
            <w:tcW w:type="dxa" w:w="1944"/>
            <w:vAlign w:val="top"/>
          </w:tcPr>
          <w:p>
            <w:pPr>
              <w:spacing w:after="0"/>
            </w:pPr>
            <w:r/>
            <w:r>
              <w:rPr>
                <w:rFonts w:ascii="Arial" w:hAnsi="Arial" w:eastAsia="Arial"/>
                <w:b w:val="0"/>
                <w:sz w:val="14"/>
              </w:rPr>
              <w:t>High competition in theme-park and condo markets; regulate fees and total price.</w:t>
            </w:r>
          </w:p>
        </w:tc>
      </w:tr>
      <w:tr>
        <w:tc>
          <w:tcPr>
            <w:tcW w:type="dxa" w:w="2232"/>
            <w:vAlign w:val="top"/>
          </w:tcPr>
          <w:p>
            <w:pPr>
              <w:spacing w:after="0"/>
            </w:pPr>
            <w:r/>
            <w:r>
              <w:rPr>
                <w:rFonts w:ascii="Arial" w:hAnsi="Arial" w:eastAsia="Arial"/>
                <w:b w:val="0"/>
                <w:sz w:val="14"/>
              </w:rPr>
              <w:t>Mountain West ski/outdoor</w:t>
            </w:r>
          </w:p>
        </w:tc>
        <w:tc>
          <w:tcPr>
            <w:tcW w:type="dxa" w:w="3168"/>
            <w:vAlign w:val="top"/>
          </w:tcPr>
          <w:p>
            <w:pPr>
              <w:spacing w:after="0"/>
            </w:pPr>
            <w:r/>
            <w:r>
              <w:rPr>
                <w:rFonts w:ascii="Arial" w:hAnsi="Arial" w:eastAsia="Arial"/>
                <w:b w:val="0"/>
                <w:sz w:val="14"/>
              </w:rPr>
              <w:t>Ski winter, summer outdoors, shoulder mud season.</w:t>
            </w:r>
          </w:p>
        </w:tc>
        <w:tc>
          <w:tcPr>
            <w:tcW w:type="dxa" w:w="3672"/>
            <w:vAlign w:val="top"/>
          </w:tcPr>
          <w:p>
            <w:pPr>
              <w:spacing w:after="0"/>
            </w:pPr>
            <w:r/>
            <w:r>
              <w:rPr>
                <w:rFonts w:ascii="Arial" w:hAnsi="Arial" w:eastAsia="Arial"/>
                <w:b w:val="0"/>
                <w:sz w:val="14"/>
              </w:rPr>
              <w:t>Dual peak calendar, hot tub/fireplace/ski access premiums, weather-aware min stays.</w:t>
            </w:r>
          </w:p>
        </w:tc>
        <w:tc>
          <w:tcPr>
            <w:tcW w:type="dxa" w:w="1944"/>
            <w:vAlign w:val="top"/>
          </w:tcPr>
          <w:p>
            <w:pPr>
              <w:spacing w:after="0"/>
            </w:pPr>
            <w:r/>
            <w:r>
              <w:rPr>
                <w:rFonts w:ascii="Arial" w:hAnsi="Arial" w:eastAsia="Arial"/>
                <w:b w:val="0"/>
                <w:sz w:val="14"/>
              </w:rPr>
              <w:t>Road/weather closures and shoulder vacancy require flexible rules.</w:t>
            </w:r>
          </w:p>
        </w:tc>
      </w:tr>
      <w:tr>
        <w:tc>
          <w:tcPr>
            <w:tcW w:type="dxa" w:w="2232"/>
            <w:vAlign w:val="top"/>
          </w:tcPr>
          <w:p>
            <w:pPr>
              <w:spacing w:after="0"/>
            </w:pPr>
            <w:r/>
            <w:r>
              <w:rPr>
                <w:rFonts w:ascii="Arial" w:hAnsi="Arial" w:eastAsia="Arial"/>
                <w:b w:val="0"/>
                <w:sz w:val="14"/>
              </w:rPr>
              <w:t>Southwest/desert</w:t>
            </w:r>
          </w:p>
        </w:tc>
        <w:tc>
          <w:tcPr>
            <w:tcW w:type="dxa" w:w="3168"/>
            <w:vAlign w:val="top"/>
          </w:tcPr>
          <w:p>
            <w:pPr>
              <w:spacing w:after="0"/>
            </w:pPr>
            <w:r/>
            <w:r>
              <w:rPr>
                <w:rFonts w:ascii="Arial" w:hAnsi="Arial" w:eastAsia="Arial"/>
                <w:b w:val="0"/>
                <w:sz w:val="14"/>
              </w:rPr>
              <w:t>Winter/spring high season, festivals, golf, wellness, summer heat low season.</w:t>
            </w:r>
          </w:p>
        </w:tc>
        <w:tc>
          <w:tcPr>
            <w:tcW w:type="dxa" w:w="3672"/>
            <w:vAlign w:val="top"/>
          </w:tcPr>
          <w:p>
            <w:pPr>
              <w:spacing w:after="0"/>
            </w:pPr>
            <w:r/>
            <w:r>
              <w:rPr>
                <w:rFonts w:ascii="Arial" w:hAnsi="Arial" w:eastAsia="Arial"/>
                <w:b w:val="0"/>
                <w:sz w:val="14"/>
              </w:rPr>
              <w:t>High Jan-Apr floors, festival premiums, summer monthly/discount strategy.</w:t>
            </w:r>
          </w:p>
        </w:tc>
        <w:tc>
          <w:tcPr>
            <w:tcW w:type="dxa" w:w="1944"/>
            <w:vAlign w:val="top"/>
          </w:tcPr>
          <w:p>
            <w:pPr>
              <w:spacing w:after="0"/>
            </w:pPr>
            <w:r/>
            <w:r>
              <w:rPr>
                <w:rFonts w:ascii="Arial" w:hAnsi="Arial" w:eastAsia="Arial"/>
                <w:b w:val="0"/>
                <w:sz w:val="14"/>
              </w:rPr>
              <w:t>Do not overprice summer; use pools/shade/AC as differentiators.</w:t>
            </w:r>
          </w:p>
        </w:tc>
      </w:tr>
      <w:tr>
        <w:tc>
          <w:tcPr>
            <w:tcW w:type="dxa" w:w="2232"/>
            <w:vAlign w:val="top"/>
          </w:tcPr>
          <w:p>
            <w:pPr>
              <w:spacing w:after="0"/>
            </w:pPr>
            <w:r/>
            <w:r>
              <w:rPr>
                <w:rFonts w:ascii="Arial" w:hAnsi="Arial" w:eastAsia="Arial"/>
                <w:b w:val="0"/>
                <w:sz w:val="14"/>
              </w:rPr>
              <w:t>California coast and metro</w:t>
            </w:r>
          </w:p>
        </w:tc>
        <w:tc>
          <w:tcPr>
            <w:tcW w:type="dxa" w:w="3168"/>
            <w:vAlign w:val="top"/>
          </w:tcPr>
          <w:p>
            <w:pPr>
              <w:spacing w:after="0"/>
            </w:pPr>
            <w:r/>
            <w:r>
              <w:rPr>
                <w:rFonts w:ascii="Arial" w:hAnsi="Arial" w:eastAsia="Arial"/>
                <w:b w:val="0"/>
                <w:sz w:val="14"/>
              </w:rPr>
              <w:t>High domestic/inbound leisure, business, events, strict local regulation.</w:t>
            </w:r>
          </w:p>
        </w:tc>
        <w:tc>
          <w:tcPr>
            <w:tcW w:type="dxa" w:w="3672"/>
            <w:vAlign w:val="top"/>
          </w:tcPr>
          <w:p>
            <w:pPr>
              <w:spacing w:after="0"/>
            </w:pPr>
            <w:r/>
            <w:r>
              <w:rPr>
                <w:rFonts w:ascii="Arial" w:hAnsi="Arial" w:eastAsia="Arial"/>
                <w:b w:val="0"/>
                <w:sz w:val="14"/>
              </w:rPr>
              <w:t>Compliance first, total-price clarity, parking/view/beach premiums, monthly options in regulated cities.</w:t>
            </w:r>
          </w:p>
        </w:tc>
        <w:tc>
          <w:tcPr>
            <w:tcW w:type="dxa" w:w="1944"/>
            <w:vAlign w:val="top"/>
          </w:tcPr>
          <w:p>
            <w:pPr>
              <w:spacing w:after="0"/>
            </w:pPr>
            <w:r/>
            <w:r>
              <w:rPr>
                <w:rFonts w:ascii="Arial" w:hAnsi="Arial" w:eastAsia="Arial"/>
                <w:b w:val="0"/>
                <w:sz w:val="14"/>
              </w:rPr>
              <w:t>Labor/cleaning costs and regulation can change unit economics.</w:t>
            </w:r>
          </w:p>
        </w:tc>
      </w:tr>
      <w:tr>
        <w:tc>
          <w:tcPr>
            <w:tcW w:type="dxa" w:w="2232"/>
            <w:vAlign w:val="top"/>
          </w:tcPr>
          <w:p>
            <w:pPr>
              <w:spacing w:after="0"/>
            </w:pPr>
            <w:r/>
            <w:r>
              <w:rPr>
                <w:rFonts w:ascii="Arial" w:hAnsi="Arial" w:eastAsia="Arial"/>
                <w:b w:val="0"/>
                <w:sz w:val="14"/>
              </w:rPr>
              <w:t>Pacific Northwest</w:t>
            </w:r>
          </w:p>
        </w:tc>
        <w:tc>
          <w:tcPr>
            <w:tcW w:type="dxa" w:w="3168"/>
            <w:vAlign w:val="top"/>
          </w:tcPr>
          <w:p>
            <w:pPr>
              <w:spacing w:after="0"/>
            </w:pPr>
            <w:r/>
            <w:r>
              <w:rPr>
                <w:rFonts w:ascii="Arial" w:hAnsi="Arial" w:eastAsia="Arial"/>
                <w:b w:val="0"/>
                <w:sz w:val="14"/>
              </w:rPr>
              <w:t>Summer leisure, urban weekends, outdoor recreation, shoulder rain season.</w:t>
            </w:r>
          </w:p>
        </w:tc>
        <w:tc>
          <w:tcPr>
            <w:tcW w:type="dxa" w:w="3672"/>
            <w:vAlign w:val="top"/>
          </w:tcPr>
          <w:p>
            <w:pPr>
              <w:spacing w:after="0"/>
            </w:pPr>
            <w:r/>
            <w:r>
              <w:rPr>
                <w:rFonts w:ascii="Arial" w:hAnsi="Arial" w:eastAsia="Arial"/>
                <w:b w:val="0"/>
                <w:sz w:val="14"/>
              </w:rPr>
              <w:t>Summer premiums, workspace and pet-friendly value, festival/weekend pricing.</w:t>
            </w:r>
          </w:p>
        </w:tc>
        <w:tc>
          <w:tcPr>
            <w:tcW w:type="dxa" w:w="1944"/>
            <w:vAlign w:val="top"/>
          </w:tcPr>
          <w:p>
            <w:pPr>
              <w:spacing w:after="0"/>
            </w:pPr>
            <w:r/>
            <w:r>
              <w:rPr>
                <w:rFonts w:ascii="Arial" w:hAnsi="Arial" w:eastAsia="Arial"/>
                <w:b w:val="0"/>
                <w:sz w:val="14"/>
              </w:rPr>
              <w:t>Shoulder/low-season discounts and minimum-stay relaxation.</w:t>
            </w:r>
          </w:p>
        </w:tc>
      </w:tr>
      <w:tr>
        <w:tc>
          <w:tcPr>
            <w:tcW w:type="dxa" w:w="2232"/>
            <w:vAlign w:val="top"/>
          </w:tcPr>
          <w:p>
            <w:pPr>
              <w:spacing w:after="0"/>
            </w:pPr>
            <w:r/>
            <w:r>
              <w:rPr>
                <w:rFonts w:ascii="Arial" w:hAnsi="Arial" w:eastAsia="Arial"/>
                <w:b w:val="0"/>
                <w:sz w:val="14"/>
              </w:rPr>
              <w:t>Midwest and Great Lakes</w:t>
            </w:r>
          </w:p>
        </w:tc>
        <w:tc>
          <w:tcPr>
            <w:tcW w:type="dxa" w:w="3168"/>
            <w:vAlign w:val="top"/>
          </w:tcPr>
          <w:p>
            <w:pPr>
              <w:spacing w:after="0"/>
            </w:pPr>
            <w:r/>
            <w:r>
              <w:rPr>
                <w:rFonts w:ascii="Arial" w:hAnsi="Arial" w:eastAsia="Arial"/>
                <w:b w:val="0"/>
                <w:sz w:val="14"/>
              </w:rPr>
              <w:t>Summer lake trips, college sports, festivals, family visits.</w:t>
            </w:r>
          </w:p>
        </w:tc>
        <w:tc>
          <w:tcPr>
            <w:tcW w:type="dxa" w:w="3672"/>
            <w:vAlign w:val="top"/>
          </w:tcPr>
          <w:p>
            <w:pPr>
              <w:spacing w:after="0"/>
            </w:pPr>
            <w:r/>
            <w:r>
              <w:rPr>
                <w:rFonts w:ascii="Arial" w:hAnsi="Arial" w:eastAsia="Arial"/>
                <w:b w:val="0"/>
                <w:sz w:val="14"/>
              </w:rPr>
              <w:t>Event calendar, lakefront premiums, modest base ADR with strong holiday peaks.</w:t>
            </w:r>
          </w:p>
        </w:tc>
        <w:tc>
          <w:tcPr>
            <w:tcW w:type="dxa" w:w="1944"/>
            <w:vAlign w:val="top"/>
          </w:tcPr>
          <w:p>
            <w:pPr>
              <w:spacing w:after="0"/>
            </w:pPr>
            <w:r/>
            <w:r>
              <w:rPr>
                <w:rFonts w:ascii="Arial" w:hAnsi="Arial" w:eastAsia="Arial"/>
                <w:b w:val="0"/>
                <w:sz w:val="14"/>
              </w:rPr>
              <w:t>Sparse comp data; do not miss graduations/game days.</w:t>
            </w:r>
          </w:p>
        </w:tc>
      </w:tr>
      <w:tr>
        <w:tc>
          <w:tcPr>
            <w:tcW w:type="dxa" w:w="2232"/>
            <w:vAlign w:val="top"/>
          </w:tcPr>
          <w:p>
            <w:pPr>
              <w:spacing w:after="0"/>
            </w:pPr>
            <w:r/>
            <w:r>
              <w:rPr>
                <w:rFonts w:ascii="Arial" w:hAnsi="Arial" w:eastAsia="Arial"/>
                <w:b w:val="0"/>
                <w:sz w:val="14"/>
              </w:rPr>
              <w:t>Texas/South Central</w:t>
            </w:r>
          </w:p>
        </w:tc>
        <w:tc>
          <w:tcPr>
            <w:tcW w:type="dxa" w:w="3168"/>
            <w:vAlign w:val="top"/>
          </w:tcPr>
          <w:p>
            <w:pPr>
              <w:spacing w:after="0"/>
            </w:pPr>
            <w:r/>
            <w:r>
              <w:rPr>
                <w:rFonts w:ascii="Arial" w:hAnsi="Arial" w:eastAsia="Arial"/>
                <w:b w:val="0"/>
                <w:sz w:val="14"/>
              </w:rPr>
              <w:t>Austin events, Dallas/Houston business, sports, family, suburban growth.</w:t>
            </w:r>
          </w:p>
        </w:tc>
        <w:tc>
          <w:tcPr>
            <w:tcW w:type="dxa" w:w="3672"/>
            <w:vAlign w:val="top"/>
          </w:tcPr>
          <w:p>
            <w:pPr>
              <w:spacing w:after="0"/>
            </w:pPr>
            <w:r/>
            <w:r>
              <w:rPr>
                <w:rFonts w:ascii="Arial" w:hAnsi="Arial" w:eastAsia="Arial"/>
                <w:b w:val="0"/>
                <w:sz w:val="14"/>
              </w:rPr>
              <w:t>Event premiums, suburban group value, pet/parking, business-week strategy.</w:t>
            </w:r>
          </w:p>
        </w:tc>
        <w:tc>
          <w:tcPr>
            <w:tcW w:type="dxa" w:w="1944"/>
            <w:vAlign w:val="top"/>
          </w:tcPr>
          <w:p>
            <w:pPr>
              <w:spacing w:after="0"/>
            </w:pPr>
            <w:r/>
            <w:r>
              <w:rPr>
                <w:rFonts w:ascii="Arial" w:hAnsi="Arial" w:eastAsia="Arial"/>
                <w:b w:val="0"/>
                <w:sz w:val="14"/>
              </w:rPr>
              <w:t>Supply growth and oversaturation in some metros; comp-set discipline needed.</w:t>
            </w:r>
          </w:p>
        </w:tc>
      </w:tr>
      <w:tr>
        <w:tc>
          <w:tcPr>
            <w:tcW w:type="dxa" w:w="2232"/>
            <w:vAlign w:val="top"/>
          </w:tcPr>
          <w:p>
            <w:pPr>
              <w:spacing w:after="0"/>
            </w:pPr>
            <w:r/>
            <w:r>
              <w:rPr>
                <w:rFonts w:ascii="Arial" w:hAnsi="Arial" w:eastAsia="Arial"/>
                <w:b w:val="0"/>
                <w:sz w:val="14"/>
              </w:rPr>
              <w:t>Hawaii and Alaska</w:t>
            </w:r>
          </w:p>
        </w:tc>
        <w:tc>
          <w:tcPr>
            <w:tcW w:type="dxa" w:w="3168"/>
            <w:vAlign w:val="top"/>
          </w:tcPr>
          <w:p>
            <w:pPr>
              <w:spacing w:after="0"/>
            </w:pPr>
            <w:r/>
            <w:r>
              <w:rPr>
                <w:rFonts w:ascii="Arial" w:hAnsi="Arial" w:eastAsia="Arial"/>
                <w:b w:val="0"/>
                <w:sz w:val="14"/>
              </w:rPr>
              <w:t>High-trip-cost leisure, longer stays, strong seasonality, regulation-sensitive.</w:t>
            </w:r>
          </w:p>
        </w:tc>
        <w:tc>
          <w:tcPr>
            <w:tcW w:type="dxa" w:w="3672"/>
            <w:vAlign w:val="top"/>
          </w:tcPr>
          <w:p>
            <w:pPr>
              <w:spacing w:after="0"/>
            </w:pPr>
            <w:r/>
            <w:r>
              <w:rPr>
                <w:rFonts w:ascii="Arial" w:hAnsi="Arial" w:eastAsia="Arial"/>
                <w:b w:val="0"/>
                <w:sz w:val="14"/>
              </w:rPr>
              <w:t>Longer booking windows, premium view/location, higher cleaning/operations, policy clarity.</w:t>
            </w:r>
          </w:p>
        </w:tc>
        <w:tc>
          <w:tcPr>
            <w:tcW w:type="dxa" w:w="1944"/>
            <w:vAlign w:val="top"/>
          </w:tcPr>
          <w:p>
            <w:pPr>
              <w:spacing w:after="0"/>
            </w:pPr>
            <w:r/>
            <w:r>
              <w:rPr>
                <w:rFonts w:ascii="Arial" w:hAnsi="Arial" w:eastAsia="Arial"/>
                <w:b w:val="0"/>
                <w:sz w:val="14"/>
              </w:rPr>
              <w:t>Regulation and travel disruption; do not rely on last-minute replacement demand.</w:t>
            </w:r>
          </w:p>
        </w:tc>
      </w:tr>
    </w:tbl>
    <w:p>
      <w:pPr>
        <w:pStyle w:val="Small"/>
      </w:pPr>
    </w:p>
    <w:p>
      <w:pPr>
        <w:pStyle w:val="Heading2"/>
      </w:pPr>
      <w:r>
        <w:t>15.1 Urban regulated markets</w:t>
      </w:r>
    </w:p>
    <w:p>
      <w:r>
        <w:t>Urban markets require a compliance-first pricing sequence. Before pricing, verify whether the stay length, host-presence requirement, registration, taxes, HOA rules, and platform registration are compliant. New York City’s Local Law 18 sharply reduced Airbnb listings according to multiple reports, and Airbnb’s own analysis reported a more than 90% drop in listings after implementation [N7]. In such markets, short-stay pricing may be irrelevant if the product cannot legally operate as a short-term rental.</w:t>
      </w:r>
    </w:p>
    <w:p>
      <w:r>
        <w:t>If compliant, urban pricing should compare with hotels. For a studio or one-bedroom, a hotel room may be the closest substitute. For two- and three-bedroom apartments, compare to hotel suites or multiple hotel rooms. Urban operators should build event calendars around conventions, concerts, sports, graduations, and holiday travel, but must test whether those events actually compress the local STR comp set.</w:t>
      </w:r>
    </w:p>
    <w:p>
      <w:pPr>
        <w:pStyle w:val="Heading2"/>
      </w:pPr>
      <w:r>
        <w:t>15.2 Coastal and lake markets</w:t>
      </w:r>
    </w:p>
    <w:p>
      <w:r>
        <w:t>Coastal and lake markets are often the clearest examples of seasonality. High-season weeks can generate a disproportionate share of annual revenue. Protect them with high floors, longer minimum stays, and early pricing discipline. If the market traditionally books late, do not discount simply because the calendar is not full 90 days out. The cost of selling a premium summer week too cheaply is often greater than the cost of waiting.</w:t>
      </w:r>
    </w:p>
    <w:p>
      <w:r>
        <w:t>In shoulder seasons, the strategy reverses: relax minimum stays, encourage weekend getaways, market pet-friendly and remote-work amenities, and use price to attract regional drive-market demand. Weekly discounts should be reduced or removed in peak weeks and reintroduced in shoulder periods.</w:t>
      </w:r>
    </w:p>
    <w:p>
      <w:pPr>
        <w:pStyle w:val="Heading2"/>
      </w:pPr>
      <w:r>
        <w:t>15.3 Mountain and ski markets</w:t>
      </w:r>
    </w:p>
    <w:p>
      <w:r>
        <w:t>Mountain markets have multiple demand curves. Winter ski weeks, holiday periods, and snow conditions matter. Summer outdoor demand can also be strong, but shoulder seasons may be weak. Amenity premiums are powerful: hot tubs, fireplaces, gear storage, ski-in/ski-out access, mountain views, EV charging, and reliable snow access. Pricing should include weather and road risk. During uncertain snow periods, avoid overly aggressive non-refundable rates unless demand is proven.</w:t>
      </w:r>
    </w:p>
    <w:p>
      <w:pPr>
        <w:pStyle w:val="Heading2"/>
      </w:pPr>
      <w:r>
        <w:t>15.4 Theme-park and family resort markets</w:t>
      </w:r>
    </w:p>
    <w:p>
      <w:r>
        <w:t>Theme-park markets are high-volume and competitive. Families compare capacity, bedrooms, kid-friendly amenities, kitchen, laundry, parking, pool access, and total price against hotels and other STRs. School breaks, holidays, and major park events justify premiums. In ordinary periods, conversion depends on value and clarity. Cleaning fees must be carefully amortized because families often search fixed trip lengths and compare all-in totals.</w:t>
      </w:r>
    </w:p>
    <w:p>
      <w:pPr>
        <w:pStyle w:val="Heading2"/>
      </w:pPr>
      <w:r>
        <w:t>15.5 Suburban and small-city markets</w:t>
      </w:r>
    </w:p>
    <w:p>
      <w:r>
        <w:t>Suburban markets benefit from family visits, relocations, sports tournaments, medical travel, and group value. They may be less glamorous but can be resilient when domestic travelers seek regional and lower-cost trips. U.S. Travel’s forecast that travelers may shift toward shorter-duration and lower-cost regional trips supports this segment [I5]. Price by convenience, parking, bedrooms, pet policy, workspace, and proximity to local anchors rather than by broad metropolitan averages.</w:t>
      </w:r>
    </w:p>
    <w:p>
      <w:r>
        <w:br w:type="page"/>
      </w:r>
    </w:p>
    <w:p>
      <w:pPr>
        <w:pStyle w:val="Heading1"/>
      </w:pPr>
      <w:r>
        <w:t>16. Event, Holiday, and Compression Pricing</w:t>
      </w:r>
    </w:p>
    <w:p>
      <w:pPr>
        <w:pStyle w:val="Heading2"/>
      </w:pPr>
      <w:r>
        <w:t>16.1 Event pricing framework</w:t>
      </w:r>
    </w:p>
    <w:p>
      <w:r>
        <w:t>Event pricing should be evidence-based. A popular event does not automatically create a sellout market. True event compression requires incremental demand that exceeds available lodging supply in the relevant geography. World Cup 2026 coverage demonstrates both sides: short-term rental demand surged in markets such as Miami on match dates [N3], while some hotel operators reported weaker-than-expected bookings in several host cities and warned about inflated expectations [N4].</w:t>
      </w:r>
    </w:p>
    <w:p>
      <w:pPr>
        <w:pStyle w:val="ListNumber"/>
        <w:spacing w:after="40"/>
      </w:pPr>
      <w:r>
        <w:rPr>
          <w:rFonts w:ascii="Arial" w:hAnsi="Arial" w:eastAsia="Arial"/>
          <w:sz w:val="18"/>
        </w:rPr>
        <w:t>Identify the event: date, duration, venue, expected attendance, visitor origin, and whether guests need lodging.</w:t>
      </w:r>
    </w:p>
    <w:p>
      <w:pPr>
        <w:pStyle w:val="ListNumber"/>
        <w:spacing w:after="40"/>
      </w:pPr>
      <w:r>
        <w:rPr>
          <w:rFonts w:ascii="Arial" w:hAnsi="Arial" w:eastAsia="Arial"/>
          <w:sz w:val="18"/>
        </w:rPr>
        <w:t>Map the radius. A stadium event may affect nearby neighborhoods more than the whole metro; a festival may affect a broader drive radius.</w:t>
      </w:r>
    </w:p>
    <w:p>
      <w:pPr>
        <w:pStyle w:val="ListNumber"/>
        <w:spacing w:after="40"/>
      </w:pPr>
      <w:r>
        <w:rPr>
          <w:rFonts w:ascii="Arial" w:hAnsi="Arial" w:eastAsia="Arial"/>
          <w:sz w:val="18"/>
        </w:rPr>
        <w:t>Check comp availability and hotel rates for the exact dates and trip lengths.</w:t>
      </w:r>
    </w:p>
    <w:p>
      <w:pPr>
        <w:pStyle w:val="ListNumber"/>
        <w:spacing w:after="40"/>
      </w:pPr>
      <w:r>
        <w:rPr>
          <w:rFonts w:ascii="Arial" w:hAnsi="Arial" w:eastAsia="Arial"/>
          <w:sz w:val="18"/>
        </w:rPr>
        <w:t>Separate listing prices from booked prices. High advertised prices do not prove demand.</w:t>
      </w:r>
    </w:p>
    <w:p>
      <w:pPr>
        <w:pStyle w:val="ListNumber"/>
        <w:spacing w:after="40"/>
      </w:pPr>
      <w:r>
        <w:rPr>
          <w:rFonts w:ascii="Arial" w:hAnsi="Arial" w:eastAsia="Arial"/>
          <w:sz w:val="18"/>
        </w:rPr>
        <w:t>Set event floor, event premium, and minimum stay. Do not rely solely on ADR increase.</w:t>
      </w:r>
    </w:p>
    <w:p>
      <w:pPr>
        <w:pStyle w:val="ListNumber"/>
        <w:spacing w:after="40"/>
      </w:pPr>
      <w:r>
        <w:rPr>
          <w:rFonts w:ascii="Arial" w:hAnsi="Arial" w:eastAsia="Arial"/>
          <w:sz w:val="18"/>
        </w:rPr>
        <w:t>Monitor pickup weekly, then twice weekly inside 30 days.</w:t>
      </w:r>
    </w:p>
    <w:p>
      <w:pPr>
        <w:pStyle w:val="ListNumber"/>
        <w:spacing w:after="40"/>
      </w:pPr>
      <w:r>
        <w:rPr>
          <w:rFonts w:ascii="Arial" w:hAnsi="Arial" w:eastAsia="Arial"/>
          <w:sz w:val="18"/>
        </w:rPr>
        <w:t>If pickup is weak and supply remains high, reduce premium early enough to convert, but preserve floor if demand is likely late.</w:t>
      </w:r>
    </w:p>
    <w:p>
      <w:pPr>
        <w:pStyle w:val="Heading2"/>
      </w:pPr>
      <w:r>
        <w:t>16.2 Event premium tiers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shd w:fill="1F4E79"/>
            <w:vAlign w:val="center"/>
          </w:tcPr>
          <w:p>
            <w:pPr>
              <w:spacing w:after="0"/>
            </w:pPr>
            <w:r/>
            <w:r>
              <w:rPr>
                <w:rFonts w:ascii="Arial" w:hAnsi="Arial" w:eastAsia="Arial"/>
                <w:b/>
                <w:color w:val="FFFFFF"/>
                <w:sz w:val="15"/>
              </w:rPr>
              <w:t>Event tier</w:t>
            </w:r>
          </w:p>
        </w:tc>
        <w:tc>
          <w:tcPr>
            <w:tcW w:type="dxa" w:w="4176"/>
            <w:shd w:fill="1F4E79"/>
            <w:vAlign w:val="center"/>
          </w:tcPr>
          <w:p>
            <w:pPr>
              <w:spacing w:after="0"/>
            </w:pPr>
            <w:r/>
            <w:r>
              <w:rPr>
                <w:rFonts w:ascii="Arial" w:hAnsi="Arial" w:eastAsia="Arial"/>
                <w:b/>
                <w:color w:val="FFFFFF"/>
                <w:sz w:val="15"/>
              </w:rPr>
              <w:t>Examples</w:t>
            </w:r>
          </w:p>
        </w:tc>
        <w:tc>
          <w:tcPr>
            <w:tcW w:type="dxa" w:w="2448"/>
            <w:shd w:fill="1F4E79"/>
            <w:vAlign w:val="center"/>
          </w:tcPr>
          <w:p>
            <w:pPr>
              <w:spacing w:after="0"/>
            </w:pPr>
            <w:r/>
            <w:r>
              <w:rPr>
                <w:rFonts w:ascii="Arial" w:hAnsi="Arial" w:eastAsia="Arial"/>
                <w:b/>
                <w:color w:val="FFFFFF"/>
                <w:sz w:val="15"/>
              </w:rPr>
              <w:t>Premium vs base</w:t>
            </w:r>
          </w:p>
        </w:tc>
        <w:tc>
          <w:tcPr>
            <w:tcW w:type="dxa" w:w="2232"/>
            <w:shd w:fill="1F4E79"/>
            <w:vAlign w:val="center"/>
          </w:tcPr>
          <w:p>
            <w:pPr>
              <w:spacing w:after="0"/>
            </w:pPr>
            <w:r/>
            <w:r>
              <w:rPr>
                <w:rFonts w:ascii="Arial" w:hAnsi="Arial" w:eastAsia="Arial"/>
                <w:b/>
                <w:color w:val="FFFFFF"/>
                <w:sz w:val="15"/>
              </w:rPr>
              <w:t>Minimum stay</w:t>
            </w:r>
          </w:p>
        </w:tc>
      </w:tr>
      <w:tr>
        <w:tc>
          <w:tcPr>
            <w:tcW w:type="dxa" w:w="1800"/>
            <w:vAlign w:val="top"/>
          </w:tcPr>
          <w:p>
            <w:pPr>
              <w:spacing w:after="0"/>
            </w:pPr>
            <w:r/>
            <w:r>
              <w:rPr>
                <w:rFonts w:ascii="Arial" w:hAnsi="Arial" w:eastAsia="Arial"/>
                <w:b w:val="0"/>
                <w:sz w:val="15"/>
              </w:rPr>
              <w:t>Tier 1 local event</w:t>
            </w:r>
          </w:p>
        </w:tc>
        <w:tc>
          <w:tcPr>
            <w:tcW w:type="dxa" w:w="4176"/>
            <w:vAlign w:val="top"/>
          </w:tcPr>
          <w:p>
            <w:pPr>
              <w:spacing w:after="0"/>
            </w:pPr>
            <w:r/>
            <w:r>
              <w:rPr>
                <w:rFonts w:ascii="Arial" w:hAnsi="Arial" w:eastAsia="Arial"/>
                <w:b w:val="0"/>
                <w:sz w:val="15"/>
              </w:rPr>
              <w:t>Small festival, local tournament, concert.</w:t>
            </w:r>
          </w:p>
        </w:tc>
        <w:tc>
          <w:tcPr>
            <w:tcW w:type="dxa" w:w="2448"/>
            <w:vAlign w:val="top"/>
          </w:tcPr>
          <w:p>
            <w:pPr>
              <w:spacing w:after="0"/>
            </w:pPr>
            <w:r/>
            <w:r>
              <w:rPr>
                <w:rFonts w:ascii="Arial" w:hAnsi="Arial" w:eastAsia="Arial"/>
                <w:b w:val="0"/>
                <w:sz w:val="15"/>
              </w:rPr>
              <w:t>+10% to +30%</w:t>
            </w:r>
          </w:p>
        </w:tc>
        <w:tc>
          <w:tcPr>
            <w:tcW w:type="dxa" w:w="2232"/>
            <w:vAlign w:val="top"/>
          </w:tcPr>
          <w:p>
            <w:pPr>
              <w:spacing w:after="0"/>
            </w:pPr>
            <w:r/>
            <w:r>
              <w:rPr>
                <w:rFonts w:ascii="Arial" w:hAnsi="Arial" w:eastAsia="Arial"/>
                <w:b w:val="0"/>
                <w:sz w:val="15"/>
              </w:rPr>
              <w:t>Normal or +1 night if weekend.</w:t>
            </w:r>
          </w:p>
        </w:tc>
      </w:tr>
      <w:tr>
        <w:tc>
          <w:tcPr>
            <w:tcW w:type="dxa" w:w="1800"/>
            <w:vAlign w:val="top"/>
          </w:tcPr>
          <w:p>
            <w:pPr>
              <w:spacing w:after="0"/>
            </w:pPr>
            <w:r/>
            <w:r>
              <w:rPr>
                <w:rFonts w:ascii="Arial" w:hAnsi="Arial" w:eastAsia="Arial"/>
                <w:b w:val="0"/>
                <w:sz w:val="15"/>
              </w:rPr>
              <w:t>Tier 2 regional event</w:t>
            </w:r>
          </w:p>
        </w:tc>
        <w:tc>
          <w:tcPr>
            <w:tcW w:type="dxa" w:w="4176"/>
            <w:vAlign w:val="top"/>
          </w:tcPr>
          <w:p>
            <w:pPr>
              <w:spacing w:after="0"/>
            </w:pPr>
            <w:r/>
            <w:r>
              <w:rPr>
                <w:rFonts w:ascii="Arial" w:hAnsi="Arial" w:eastAsia="Arial"/>
                <w:b w:val="0"/>
                <w:sz w:val="15"/>
              </w:rPr>
              <w:t>College football rivalry, graduation, medium convention, marathon.</w:t>
            </w:r>
          </w:p>
        </w:tc>
        <w:tc>
          <w:tcPr>
            <w:tcW w:type="dxa" w:w="2448"/>
            <w:vAlign w:val="top"/>
          </w:tcPr>
          <w:p>
            <w:pPr>
              <w:spacing w:after="0"/>
            </w:pPr>
            <w:r/>
            <w:r>
              <w:rPr>
                <w:rFonts w:ascii="Arial" w:hAnsi="Arial" w:eastAsia="Arial"/>
                <w:b w:val="0"/>
                <w:sz w:val="15"/>
              </w:rPr>
              <w:t>+25% to +75%</w:t>
            </w:r>
          </w:p>
        </w:tc>
        <w:tc>
          <w:tcPr>
            <w:tcW w:type="dxa" w:w="2232"/>
            <w:vAlign w:val="top"/>
          </w:tcPr>
          <w:p>
            <w:pPr>
              <w:spacing w:after="0"/>
            </w:pPr>
            <w:r/>
            <w:r>
              <w:rPr>
                <w:rFonts w:ascii="Arial" w:hAnsi="Arial" w:eastAsia="Arial"/>
                <w:b w:val="0"/>
                <w:sz w:val="15"/>
              </w:rPr>
              <w:t>2-3 nights.</w:t>
            </w:r>
          </w:p>
        </w:tc>
      </w:tr>
      <w:tr>
        <w:tc>
          <w:tcPr>
            <w:tcW w:type="dxa" w:w="1800"/>
            <w:vAlign w:val="top"/>
          </w:tcPr>
          <w:p>
            <w:pPr>
              <w:spacing w:after="0"/>
            </w:pPr>
            <w:r/>
            <w:r>
              <w:rPr>
                <w:rFonts w:ascii="Arial" w:hAnsi="Arial" w:eastAsia="Arial"/>
                <w:b w:val="0"/>
                <w:sz w:val="15"/>
              </w:rPr>
              <w:t>Tier 3 national event</w:t>
            </w:r>
          </w:p>
        </w:tc>
        <w:tc>
          <w:tcPr>
            <w:tcW w:type="dxa" w:w="4176"/>
            <w:vAlign w:val="top"/>
          </w:tcPr>
          <w:p>
            <w:pPr>
              <w:spacing w:after="0"/>
            </w:pPr>
            <w:r/>
            <w:r>
              <w:rPr>
                <w:rFonts w:ascii="Arial" w:hAnsi="Arial" w:eastAsia="Arial"/>
                <w:b w:val="0"/>
                <w:sz w:val="15"/>
              </w:rPr>
              <w:t>Major festival, championship game, high-profile concert residency.</w:t>
            </w:r>
          </w:p>
        </w:tc>
        <w:tc>
          <w:tcPr>
            <w:tcW w:type="dxa" w:w="2448"/>
            <w:vAlign w:val="top"/>
          </w:tcPr>
          <w:p>
            <w:pPr>
              <w:spacing w:after="0"/>
            </w:pPr>
            <w:r/>
            <w:r>
              <w:rPr>
                <w:rFonts w:ascii="Arial" w:hAnsi="Arial" w:eastAsia="Arial"/>
                <w:b w:val="0"/>
                <w:sz w:val="15"/>
              </w:rPr>
              <w:t>+50% to +150%</w:t>
            </w:r>
          </w:p>
        </w:tc>
        <w:tc>
          <w:tcPr>
            <w:tcW w:type="dxa" w:w="2232"/>
            <w:vAlign w:val="top"/>
          </w:tcPr>
          <w:p>
            <w:pPr>
              <w:spacing w:after="0"/>
            </w:pPr>
            <w:r/>
            <w:r>
              <w:rPr>
                <w:rFonts w:ascii="Arial" w:hAnsi="Arial" w:eastAsia="Arial"/>
                <w:b w:val="0"/>
                <w:sz w:val="15"/>
              </w:rPr>
              <w:t>3-4 nights.</w:t>
            </w:r>
          </w:p>
        </w:tc>
      </w:tr>
      <w:tr>
        <w:tc>
          <w:tcPr>
            <w:tcW w:type="dxa" w:w="1800"/>
            <w:vAlign w:val="top"/>
          </w:tcPr>
          <w:p>
            <w:pPr>
              <w:spacing w:after="0"/>
            </w:pPr>
            <w:r/>
            <w:r>
              <w:rPr>
                <w:rFonts w:ascii="Arial" w:hAnsi="Arial" w:eastAsia="Arial"/>
                <w:b w:val="0"/>
                <w:sz w:val="15"/>
              </w:rPr>
              <w:t>Tier 4 mega-event</w:t>
            </w:r>
          </w:p>
        </w:tc>
        <w:tc>
          <w:tcPr>
            <w:tcW w:type="dxa" w:w="4176"/>
            <w:vAlign w:val="top"/>
          </w:tcPr>
          <w:p>
            <w:pPr>
              <w:spacing w:after="0"/>
            </w:pPr>
            <w:r/>
            <w:r>
              <w:rPr>
                <w:rFonts w:ascii="Arial" w:hAnsi="Arial" w:eastAsia="Arial"/>
                <w:b w:val="0"/>
                <w:sz w:val="15"/>
              </w:rPr>
              <w:t>World Cup match, Super Bowl, Olympics-related demand, major championship.</w:t>
            </w:r>
          </w:p>
        </w:tc>
        <w:tc>
          <w:tcPr>
            <w:tcW w:type="dxa" w:w="2448"/>
            <w:vAlign w:val="top"/>
          </w:tcPr>
          <w:p>
            <w:pPr>
              <w:spacing w:after="0"/>
            </w:pPr>
            <w:r/>
            <w:r>
              <w:rPr>
                <w:rFonts w:ascii="Arial" w:hAnsi="Arial" w:eastAsia="Arial"/>
                <w:b w:val="0"/>
                <w:sz w:val="15"/>
              </w:rPr>
              <w:t>+100% to +300%+ if compression proven.</w:t>
            </w:r>
          </w:p>
        </w:tc>
        <w:tc>
          <w:tcPr>
            <w:tcW w:type="dxa" w:w="2232"/>
            <w:vAlign w:val="top"/>
          </w:tcPr>
          <w:p>
            <w:pPr>
              <w:spacing w:after="0"/>
            </w:pPr>
            <w:r/>
            <w:r>
              <w:rPr>
                <w:rFonts w:ascii="Arial" w:hAnsi="Arial" w:eastAsia="Arial"/>
                <w:b w:val="0"/>
                <w:sz w:val="15"/>
              </w:rPr>
              <w:t>3-7 nights depending event and market.</w:t>
            </w:r>
          </w:p>
        </w:tc>
      </w:tr>
    </w:tbl>
    <w:p>
      <w:pPr>
        <w:pStyle w:val="Small"/>
      </w:pPr>
    </w:p>
    <w:p>
      <w:pPr>
        <w:pStyle w:val="Heading2"/>
      </w:pPr>
      <w:r>
        <w:t>16.3 Holiday strategy</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F4E79"/>
            <w:vAlign w:val="center"/>
          </w:tcPr>
          <w:p>
            <w:pPr>
              <w:spacing w:after="0"/>
            </w:pPr>
            <w:r/>
            <w:r>
              <w:rPr>
                <w:rFonts w:ascii="Arial" w:hAnsi="Arial" w:eastAsia="Arial"/>
                <w:b/>
                <w:color w:val="FFFFFF"/>
                <w:sz w:val="15"/>
              </w:rPr>
              <w:t>Holiday / period</w:t>
            </w:r>
          </w:p>
        </w:tc>
        <w:tc>
          <w:tcPr>
            <w:tcW w:type="dxa" w:w="5040"/>
            <w:shd w:fill="1F4E79"/>
            <w:vAlign w:val="center"/>
          </w:tcPr>
          <w:p>
            <w:pPr>
              <w:spacing w:after="0"/>
            </w:pPr>
            <w:r/>
            <w:r>
              <w:rPr>
                <w:rFonts w:ascii="Arial" w:hAnsi="Arial" w:eastAsia="Arial"/>
                <w:b/>
                <w:color w:val="FFFFFF"/>
                <w:sz w:val="15"/>
              </w:rPr>
              <w:t>Pricing action</w:t>
            </w:r>
          </w:p>
        </w:tc>
        <w:tc>
          <w:tcPr>
            <w:tcW w:type="dxa" w:w="2736"/>
            <w:shd w:fill="1F4E79"/>
            <w:vAlign w:val="center"/>
          </w:tcPr>
          <w:p>
            <w:pPr>
              <w:spacing w:after="0"/>
            </w:pPr>
            <w:r/>
            <w:r>
              <w:rPr>
                <w:rFonts w:ascii="Arial" w:hAnsi="Arial" w:eastAsia="Arial"/>
                <w:b/>
                <w:color w:val="FFFFFF"/>
                <w:sz w:val="15"/>
              </w:rPr>
              <w:t>LOS action</w:t>
            </w:r>
          </w:p>
        </w:tc>
      </w:tr>
      <w:tr>
        <w:tc>
          <w:tcPr>
            <w:tcW w:type="dxa" w:w="2880"/>
            <w:vAlign w:val="top"/>
          </w:tcPr>
          <w:p>
            <w:pPr>
              <w:spacing w:after="0"/>
            </w:pPr>
            <w:r/>
            <w:r>
              <w:rPr>
                <w:rFonts w:ascii="Arial" w:hAnsi="Arial" w:eastAsia="Arial"/>
                <w:b w:val="0"/>
                <w:sz w:val="15"/>
              </w:rPr>
              <w:t>New Year period</w:t>
            </w:r>
          </w:p>
        </w:tc>
        <w:tc>
          <w:tcPr>
            <w:tcW w:type="dxa" w:w="5040"/>
            <w:vAlign w:val="top"/>
          </w:tcPr>
          <w:p>
            <w:pPr>
              <w:spacing w:after="0"/>
            </w:pPr>
            <w:r/>
            <w:r>
              <w:rPr>
                <w:rFonts w:ascii="Arial" w:hAnsi="Arial" w:eastAsia="Arial"/>
                <w:b w:val="0"/>
                <w:sz w:val="15"/>
              </w:rPr>
              <w:t>High event/party risk; premium if destination demand strong.</w:t>
            </w:r>
          </w:p>
        </w:tc>
        <w:tc>
          <w:tcPr>
            <w:tcW w:type="dxa" w:w="2736"/>
            <w:vAlign w:val="top"/>
          </w:tcPr>
          <w:p>
            <w:pPr>
              <w:spacing w:after="0"/>
            </w:pPr>
            <w:r/>
            <w:r>
              <w:rPr>
                <w:rFonts w:ascii="Arial" w:hAnsi="Arial" w:eastAsia="Arial"/>
                <w:b w:val="0"/>
                <w:sz w:val="15"/>
              </w:rPr>
              <w:t>2-4 night min; strict house rules and guest screening.</w:t>
            </w:r>
          </w:p>
        </w:tc>
      </w:tr>
      <w:tr>
        <w:tc>
          <w:tcPr>
            <w:tcW w:type="dxa" w:w="2880"/>
            <w:vAlign w:val="top"/>
          </w:tcPr>
          <w:p>
            <w:pPr>
              <w:spacing w:after="0"/>
            </w:pPr>
            <w:r/>
            <w:r>
              <w:rPr>
                <w:rFonts w:ascii="Arial" w:hAnsi="Arial" w:eastAsia="Arial"/>
                <w:b w:val="0"/>
                <w:sz w:val="15"/>
              </w:rPr>
              <w:t>Presidents Day / winter breaks</w:t>
            </w:r>
          </w:p>
        </w:tc>
        <w:tc>
          <w:tcPr>
            <w:tcW w:type="dxa" w:w="5040"/>
            <w:vAlign w:val="top"/>
          </w:tcPr>
          <w:p>
            <w:pPr>
              <w:spacing w:after="0"/>
            </w:pPr>
            <w:r/>
            <w:r>
              <w:rPr>
                <w:rFonts w:ascii="Arial" w:hAnsi="Arial" w:eastAsia="Arial"/>
                <w:b w:val="0"/>
                <w:sz w:val="15"/>
              </w:rPr>
              <w:t>Ski, desert, and warm-weather premium.</w:t>
            </w:r>
          </w:p>
        </w:tc>
        <w:tc>
          <w:tcPr>
            <w:tcW w:type="dxa" w:w="2736"/>
            <w:vAlign w:val="top"/>
          </w:tcPr>
          <w:p>
            <w:pPr>
              <w:spacing w:after="0"/>
            </w:pPr>
            <w:r/>
            <w:r>
              <w:rPr>
                <w:rFonts w:ascii="Arial" w:hAnsi="Arial" w:eastAsia="Arial"/>
                <w:b w:val="0"/>
                <w:sz w:val="15"/>
              </w:rPr>
              <w:t>3-5 night min in ski/resort markets.</w:t>
            </w:r>
          </w:p>
        </w:tc>
      </w:tr>
      <w:tr>
        <w:tc>
          <w:tcPr>
            <w:tcW w:type="dxa" w:w="2880"/>
            <w:vAlign w:val="top"/>
          </w:tcPr>
          <w:p>
            <w:pPr>
              <w:spacing w:after="0"/>
            </w:pPr>
            <w:r/>
            <w:r>
              <w:rPr>
                <w:rFonts w:ascii="Arial" w:hAnsi="Arial" w:eastAsia="Arial"/>
                <w:b w:val="0"/>
                <w:sz w:val="15"/>
              </w:rPr>
              <w:t>Spring break</w:t>
            </w:r>
          </w:p>
        </w:tc>
        <w:tc>
          <w:tcPr>
            <w:tcW w:type="dxa" w:w="5040"/>
            <w:vAlign w:val="top"/>
          </w:tcPr>
          <w:p>
            <w:pPr>
              <w:spacing w:after="0"/>
            </w:pPr>
            <w:r/>
            <w:r>
              <w:rPr>
                <w:rFonts w:ascii="Arial" w:hAnsi="Arial" w:eastAsia="Arial"/>
                <w:b w:val="0"/>
                <w:sz w:val="15"/>
              </w:rPr>
              <w:t>Family/theme-park/beach premium; risk controls for party markets.</w:t>
            </w:r>
          </w:p>
        </w:tc>
        <w:tc>
          <w:tcPr>
            <w:tcW w:type="dxa" w:w="2736"/>
            <w:vAlign w:val="top"/>
          </w:tcPr>
          <w:p>
            <w:pPr>
              <w:spacing w:after="0"/>
            </w:pPr>
            <w:r/>
            <w:r>
              <w:rPr>
                <w:rFonts w:ascii="Arial" w:hAnsi="Arial" w:eastAsia="Arial"/>
                <w:b w:val="0"/>
                <w:sz w:val="15"/>
              </w:rPr>
              <w:t>3-7 night min depending market.</w:t>
            </w:r>
          </w:p>
        </w:tc>
      </w:tr>
      <w:tr>
        <w:tc>
          <w:tcPr>
            <w:tcW w:type="dxa" w:w="2880"/>
            <w:vAlign w:val="top"/>
          </w:tcPr>
          <w:p>
            <w:pPr>
              <w:spacing w:after="0"/>
            </w:pPr>
            <w:r/>
            <w:r>
              <w:rPr>
                <w:rFonts w:ascii="Arial" w:hAnsi="Arial" w:eastAsia="Arial"/>
                <w:b w:val="0"/>
                <w:sz w:val="15"/>
              </w:rPr>
              <w:t>Memorial Day</w:t>
            </w:r>
          </w:p>
        </w:tc>
        <w:tc>
          <w:tcPr>
            <w:tcW w:type="dxa" w:w="5040"/>
            <w:vAlign w:val="top"/>
          </w:tcPr>
          <w:p>
            <w:pPr>
              <w:spacing w:after="0"/>
            </w:pPr>
            <w:r/>
            <w:r>
              <w:rPr>
                <w:rFonts w:ascii="Arial" w:hAnsi="Arial" w:eastAsia="Arial"/>
                <w:b w:val="0"/>
                <w:sz w:val="15"/>
              </w:rPr>
              <w:t>Summer kickoff; protect rate in outdoor/coastal markets.</w:t>
            </w:r>
          </w:p>
        </w:tc>
        <w:tc>
          <w:tcPr>
            <w:tcW w:type="dxa" w:w="2736"/>
            <w:vAlign w:val="top"/>
          </w:tcPr>
          <w:p>
            <w:pPr>
              <w:spacing w:after="0"/>
            </w:pPr>
            <w:r/>
            <w:r>
              <w:rPr>
                <w:rFonts w:ascii="Arial" w:hAnsi="Arial" w:eastAsia="Arial"/>
                <w:b w:val="0"/>
                <w:sz w:val="15"/>
              </w:rPr>
              <w:t>3 nights common.</w:t>
            </w:r>
          </w:p>
        </w:tc>
      </w:tr>
      <w:tr>
        <w:tc>
          <w:tcPr>
            <w:tcW w:type="dxa" w:w="2880"/>
            <w:vAlign w:val="top"/>
          </w:tcPr>
          <w:p>
            <w:pPr>
              <w:spacing w:after="0"/>
            </w:pPr>
            <w:r/>
            <w:r>
              <w:rPr>
                <w:rFonts w:ascii="Arial" w:hAnsi="Arial" w:eastAsia="Arial"/>
                <w:b w:val="0"/>
                <w:sz w:val="15"/>
              </w:rPr>
              <w:t>July 4</w:t>
            </w:r>
          </w:p>
        </w:tc>
        <w:tc>
          <w:tcPr>
            <w:tcW w:type="dxa" w:w="5040"/>
            <w:vAlign w:val="top"/>
          </w:tcPr>
          <w:p>
            <w:pPr>
              <w:spacing w:after="0"/>
            </w:pPr>
            <w:r/>
            <w:r>
              <w:rPr>
                <w:rFonts w:ascii="Arial" w:hAnsi="Arial" w:eastAsia="Arial"/>
                <w:b w:val="0"/>
                <w:sz w:val="15"/>
              </w:rPr>
              <w:t>Peak summer holiday; strong premium in lake/beach/city fireworks markets.</w:t>
            </w:r>
          </w:p>
        </w:tc>
        <w:tc>
          <w:tcPr>
            <w:tcW w:type="dxa" w:w="2736"/>
            <w:vAlign w:val="top"/>
          </w:tcPr>
          <w:p>
            <w:pPr>
              <w:spacing w:after="0"/>
            </w:pPr>
            <w:r/>
            <w:r>
              <w:rPr>
                <w:rFonts w:ascii="Arial" w:hAnsi="Arial" w:eastAsia="Arial"/>
                <w:b w:val="0"/>
                <w:sz w:val="15"/>
              </w:rPr>
              <w:t>3-7 nights; no last-minute discount until compression assessed.</w:t>
            </w:r>
          </w:p>
        </w:tc>
      </w:tr>
      <w:tr>
        <w:tc>
          <w:tcPr>
            <w:tcW w:type="dxa" w:w="2880"/>
            <w:vAlign w:val="top"/>
          </w:tcPr>
          <w:p>
            <w:pPr>
              <w:spacing w:after="0"/>
            </w:pPr>
            <w:r/>
            <w:r>
              <w:rPr>
                <w:rFonts w:ascii="Arial" w:hAnsi="Arial" w:eastAsia="Arial"/>
                <w:b w:val="0"/>
                <w:sz w:val="15"/>
              </w:rPr>
              <w:t>Labor Day</w:t>
            </w:r>
          </w:p>
        </w:tc>
        <w:tc>
          <w:tcPr>
            <w:tcW w:type="dxa" w:w="5040"/>
            <w:vAlign w:val="top"/>
          </w:tcPr>
          <w:p>
            <w:pPr>
              <w:spacing w:after="0"/>
            </w:pPr>
            <w:r/>
            <w:r>
              <w:rPr>
                <w:rFonts w:ascii="Arial" w:hAnsi="Arial" w:eastAsia="Arial"/>
                <w:b w:val="0"/>
                <w:sz w:val="15"/>
              </w:rPr>
              <w:t>End-of-summer demand; strong in coastal/outdoor markets.</w:t>
            </w:r>
          </w:p>
        </w:tc>
        <w:tc>
          <w:tcPr>
            <w:tcW w:type="dxa" w:w="2736"/>
            <w:vAlign w:val="top"/>
          </w:tcPr>
          <w:p>
            <w:pPr>
              <w:spacing w:after="0"/>
            </w:pPr>
            <w:r/>
            <w:r>
              <w:rPr>
                <w:rFonts w:ascii="Arial" w:hAnsi="Arial" w:eastAsia="Arial"/>
                <w:b w:val="0"/>
                <w:sz w:val="15"/>
              </w:rPr>
              <w:t>3 nights; open gaps late.</w:t>
            </w:r>
          </w:p>
        </w:tc>
      </w:tr>
      <w:tr>
        <w:tc>
          <w:tcPr>
            <w:tcW w:type="dxa" w:w="2880"/>
            <w:vAlign w:val="top"/>
          </w:tcPr>
          <w:p>
            <w:pPr>
              <w:spacing w:after="0"/>
            </w:pPr>
            <w:r/>
            <w:r>
              <w:rPr>
                <w:rFonts w:ascii="Arial" w:hAnsi="Arial" w:eastAsia="Arial"/>
                <w:b w:val="0"/>
                <w:sz w:val="15"/>
              </w:rPr>
              <w:t>Thanksgiving</w:t>
            </w:r>
          </w:p>
        </w:tc>
        <w:tc>
          <w:tcPr>
            <w:tcW w:type="dxa" w:w="5040"/>
            <w:vAlign w:val="top"/>
          </w:tcPr>
          <w:p>
            <w:pPr>
              <w:spacing w:after="0"/>
            </w:pPr>
            <w:r/>
            <w:r>
              <w:rPr>
                <w:rFonts w:ascii="Arial" w:hAnsi="Arial" w:eastAsia="Arial"/>
                <w:b w:val="0"/>
                <w:sz w:val="15"/>
              </w:rPr>
              <w:t>Family travel; large homes perform well.</w:t>
            </w:r>
          </w:p>
        </w:tc>
        <w:tc>
          <w:tcPr>
            <w:tcW w:type="dxa" w:w="2736"/>
            <w:vAlign w:val="top"/>
          </w:tcPr>
          <w:p>
            <w:pPr>
              <w:spacing w:after="0"/>
            </w:pPr>
            <w:r/>
            <w:r>
              <w:rPr>
                <w:rFonts w:ascii="Arial" w:hAnsi="Arial" w:eastAsia="Arial"/>
                <w:b w:val="0"/>
                <w:sz w:val="15"/>
              </w:rPr>
              <w:t>3-5 nights; charge for capacity.</w:t>
            </w:r>
          </w:p>
        </w:tc>
      </w:tr>
      <w:tr>
        <w:tc>
          <w:tcPr>
            <w:tcW w:type="dxa" w:w="2880"/>
            <w:vAlign w:val="top"/>
          </w:tcPr>
          <w:p>
            <w:pPr>
              <w:spacing w:after="0"/>
            </w:pPr>
            <w:r/>
            <w:r>
              <w:rPr>
                <w:rFonts w:ascii="Arial" w:hAnsi="Arial" w:eastAsia="Arial"/>
                <w:b w:val="0"/>
                <w:sz w:val="15"/>
              </w:rPr>
              <w:t>Christmas/New Year</w:t>
            </w:r>
          </w:p>
        </w:tc>
        <w:tc>
          <w:tcPr>
            <w:tcW w:type="dxa" w:w="5040"/>
            <w:vAlign w:val="top"/>
          </w:tcPr>
          <w:p>
            <w:pPr>
              <w:spacing w:after="0"/>
            </w:pPr>
            <w:r/>
            <w:r>
              <w:rPr>
                <w:rFonts w:ascii="Arial" w:hAnsi="Arial" w:eastAsia="Arial"/>
                <w:b w:val="0"/>
                <w:sz w:val="15"/>
              </w:rPr>
              <w:t>Peak in ski, resort, family reunion, warm-weather markets.</w:t>
            </w:r>
          </w:p>
        </w:tc>
        <w:tc>
          <w:tcPr>
            <w:tcW w:type="dxa" w:w="2736"/>
            <w:vAlign w:val="top"/>
          </w:tcPr>
          <w:p>
            <w:pPr>
              <w:spacing w:after="0"/>
            </w:pPr>
            <w:r/>
            <w:r>
              <w:rPr>
                <w:rFonts w:ascii="Arial" w:hAnsi="Arial" w:eastAsia="Arial"/>
                <w:b w:val="0"/>
                <w:sz w:val="15"/>
              </w:rPr>
              <w:t>4-7 nights; strict floors and cancellation protection.</w:t>
            </w:r>
          </w:p>
        </w:tc>
      </w:tr>
    </w:tbl>
    <w:p>
      <w:pPr>
        <w:pStyle w:val="Small"/>
      </w:pPr>
    </w:p>
    <w:p>
      <w:pPr>
        <w:pStyle w:val="Heading2"/>
      </w:pPr>
      <w:r>
        <w:t>16.4 Event failure protocol</w:t>
      </w:r>
    </w:p>
    <w:p>
      <w:r>
        <w:t>When an event fails to compress demand, do not cling to wish prices. Use a staged reset. At 60 days, if comp availability is high, trim event premium by 10-20%. At 30 days, if pickup is still weak, reduce to the 60th-75th percentile and relax minimum stay. At 14 days, if inventory remains open, price to convert above floor. A late rate reset is better than an empty calendar, but an early panic discount can destroy upside. The art is to know which situation you are in.</w:t>
      </w:r>
    </w:p>
    <w:p>
      <w:r>
        <w:br w:type="page"/>
      </w:r>
    </w:p>
    <w:p>
      <w:pPr>
        <w:pStyle w:val="Heading1"/>
      </w:pPr>
      <w:r>
        <w:t>17. Scenario Playbook for Common Pricing Situations</w:t>
      </w:r>
    </w:p>
    <w:p>
      <w:pPr>
        <w:pStyle w:val="Heading2"/>
      </w:pPr>
      <w:r>
        <w:t>New listing with no reviews</w:t>
      </w:r>
    </w:p>
    <w:p>
      <w:r>
        <w:t>Use a launch price at the 40th-50th comp-set percentile, optionally Airbnb’s 20% first-three-bookings promotion if economics work [P8]. Avoid applying the launch discount to major event or peak holiday dates. Prioritize review velocity, then step up after three and ten strong reviews.</w:t>
      </w:r>
    </w:p>
    <w:p>
      <w:pPr>
        <w:pStyle w:val="Heading2"/>
      </w:pPr>
      <w:r>
        <w:t>High season still open 90 days out</w:t>
      </w:r>
    </w:p>
    <w:p>
      <w:r>
        <w:t>Do not automatically discount. Check the historical booking window, comp availability, hotel compression, and whether minimum stay is blocking searches. If market books late, hold floors and open reasonable availability.</w:t>
      </w:r>
    </w:p>
    <w:p>
      <w:pPr>
        <w:pStyle w:val="Heading2"/>
      </w:pPr>
      <w:r>
        <w:t>Low season weekday vacancy</w:t>
      </w:r>
    </w:p>
    <w:p>
      <w:r>
        <w:t>Reduce rate 10-20% below base, relax minimum stay, promote longer stays, and highlight workspace/pet/parking. Protect variable-cost and brand floors.</w:t>
      </w:r>
    </w:p>
    <w:p>
      <w:pPr>
        <w:pStyle w:val="Heading2"/>
      </w:pPr>
      <w:r>
        <w:t>One-night orphan gap</w:t>
      </w:r>
    </w:p>
    <w:p>
      <w:r>
        <w:t>If operations allow, open one-night stay at 70-90% of normal date rate above variable floor. For large homes or party-risk dates, consider leaving blocked or pricing higher.</w:t>
      </w:r>
    </w:p>
    <w:p>
      <w:pPr>
        <w:pStyle w:val="Heading2"/>
      </w:pPr>
      <w:r>
        <w:t>Major event announced</w:t>
      </w:r>
    </w:p>
    <w:p>
      <w:r>
        <w:t>Block automatic discounts, set event floor, check comp set and hotels, apply tiered premium, set min stay, and monitor pickup weekly. Avoid extreme pricing until compression is validated.</w:t>
      </w:r>
    </w:p>
    <w:p>
      <w:pPr>
        <w:pStyle w:val="Heading2"/>
      </w:pPr>
      <w:r>
        <w:t>Event demand underperforms</w:t>
      </w:r>
    </w:p>
    <w:p>
      <w:r>
        <w:t>Trim premium in stages; relax min stay; compare to actual available substitutes. Do not use stale event assumptions. Reprice from current market, not from hope.</w:t>
      </w:r>
    </w:p>
    <w:p>
      <w:pPr>
        <w:pStyle w:val="Heading2"/>
      </w:pPr>
      <w:r>
        <w:t>Last-minute cancellation on peak date</w:t>
      </w:r>
    </w:p>
    <w:p>
      <w:r>
        <w:t>Hand-check comp set. If substitutes are sold out, hold or raise. If substitutes remain, reprice to convert and reduce restrictions. Track cancellation reason.</w:t>
      </w:r>
    </w:p>
    <w:p>
      <w:pPr>
        <w:pStyle w:val="Heading2"/>
      </w:pPr>
      <w:r>
        <w:t>Bad review mentions cleanliness</w:t>
      </w:r>
    </w:p>
    <w:p>
      <w:r>
        <w:t>Fix operational issue immediately. Pause rate increases and consider temporary 5-10% value correction until new positive reviews offset the damage.</w:t>
      </w:r>
    </w:p>
    <w:p>
      <w:pPr>
        <w:pStyle w:val="Heading2"/>
      </w:pPr>
      <w:r>
        <w:t>Guest complaints about value</w:t>
      </w:r>
    </w:p>
    <w:p>
      <w:r>
        <w:t>Audit total price, cleaning fee, photos, amenities, and comp-set position. Higher prices can worsen ratings when perceived value is weak [A5].</w:t>
      </w:r>
    </w:p>
    <w:p>
      <w:pPr>
        <w:pStyle w:val="Heading2"/>
      </w:pPr>
      <w:r>
        <w:t>Cleaning fee hurts short-stay conversion</w:t>
      </w:r>
    </w:p>
    <w:p>
      <w:r>
        <w:t>Amortize cleaning fee by trip length. Consider lower short-stay cleaning fee if feasible, or move part of cost into nightly rate. Compare total price before taxes [P6].</w:t>
      </w:r>
    </w:p>
    <w:p>
      <w:pPr>
        <w:pStyle w:val="Heading2"/>
      </w:pPr>
      <w:r>
        <w:t>Market oversupply / weak conversion</w:t>
      </w:r>
    </w:p>
    <w:p>
      <w:r>
        <w:t>Refresh comp set, identify differentiation, lower position to 40th-55th percentile, use LOS flexibility, improve photos, and avoid broad permanent discounting without product changes.</w:t>
      </w:r>
    </w:p>
    <w:p>
      <w:pPr>
        <w:pStyle w:val="Heading2"/>
      </w:pPr>
      <w:r>
        <w:t>Regulatory change</w:t>
      </w:r>
    </w:p>
    <w:p>
      <w:r>
        <w:t>Pause new pricing assumptions. Verify legality, required licenses, stay-length rules, taxes, and platform registration. Update calendar and rates only after compliance path is clear.</w:t>
      </w:r>
    </w:p>
    <w:p>
      <w:pPr>
        <w:pStyle w:val="Heading2"/>
      </w:pPr>
      <w:r>
        <w:t>Service fee structure changes</w:t>
      </w:r>
    </w:p>
    <w:p>
      <w:r>
        <w:t>Recalculate guest total and host payout. If software-connected single-fee pricing applies, adjust host-set price only after checking conversion and comp total price [P5].</w:t>
      </w:r>
    </w:p>
    <w:p>
      <w:pPr>
        <w:pStyle w:val="Heading2"/>
      </w:pPr>
      <w:r>
        <w:t>Owner demands higher price than market supports</w:t>
      </w:r>
    </w:p>
    <w:p>
      <w:r>
        <w:t>Show comp-set total price, booking pace, and net payout. Explain RevPAR tradeoff. Set a test period, then adjust based on conversion evidence.</w:t>
      </w:r>
    </w:p>
    <w:p>
      <w:pPr>
        <w:pStyle w:val="Heading2"/>
      </w:pPr>
      <w:r>
        <w:t>Strong early pickup</w:t>
      </w:r>
    </w:p>
    <w:p>
      <w:r>
        <w:t>Raise remaining similar dates 5-15% and review whether base rate or season multiplier is too low. Strong pickup at low ADR often signals underpricing.</w:t>
      </w:r>
    </w:p>
    <w:p>
      <w:r>
        <w:br w:type="page"/>
      </w:r>
    </w:p>
    <w:p>
      <w:pPr>
        <w:pStyle w:val="Heading1"/>
      </w:pPr>
      <w:r>
        <w:t>18. Multi-Unit Portfolio Governance</w:t>
      </w:r>
    </w:p>
    <w:p>
      <w:pPr>
        <w:pStyle w:val="Heading2"/>
      </w:pPr>
      <w:r>
        <w:t>18.1 Why portfolios need governance</w:t>
      </w:r>
    </w:p>
    <w:p>
      <w:r>
        <w:t>Multi-unit operators can outperform because they develop routines and learn from multiple listings. Academic evidence suggests multi-unit hosts in major US markets generated stronger revenue outcomes through better price positioning and pricing practice [A2]. Governance prevents inconsistent discounting, owner pressure, algorithm drift, and unmanaged risk.</w:t>
      </w:r>
    </w:p>
    <w:tbl>
      <w:tblPr>
        <w:tblStyle w:val="TableGrid"/>
        <w:tblW w:type="auto" w:w="0"/>
        <w:jc w:val="center"/>
        <w:tblLook w:firstColumn="1" w:firstRow="1" w:lastColumn="0" w:lastRow="0" w:noHBand="0" w:noVBand="1" w:val="04A0"/>
      </w:tblPr>
      <w:tblGrid>
        <w:gridCol w:w="5112"/>
        <w:gridCol w:w="5112"/>
      </w:tblGrid>
      <w:tr>
        <w:tc>
          <w:tcPr>
            <w:tcW w:type="dxa" w:w="3024"/>
            <w:shd w:fill="1F4E79"/>
            <w:vAlign w:val="center"/>
          </w:tcPr>
          <w:p>
            <w:pPr>
              <w:spacing w:after="0"/>
            </w:pPr>
            <w:r/>
            <w:r>
              <w:rPr>
                <w:rFonts w:ascii="Arial" w:hAnsi="Arial" w:eastAsia="Arial"/>
                <w:b/>
                <w:color w:val="FFFFFF"/>
                <w:sz w:val="16"/>
              </w:rPr>
              <w:t>Governance item</w:t>
            </w:r>
          </w:p>
        </w:tc>
        <w:tc>
          <w:tcPr>
            <w:tcW w:type="dxa" w:w="7488"/>
            <w:shd w:fill="1F4E79"/>
            <w:vAlign w:val="center"/>
          </w:tcPr>
          <w:p>
            <w:pPr>
              <w:spacing w:after="0"/>
            </w:pPr>
            <w:r/>
            <w:r>
              <w:rPr>
                <w:rFonts w:ascii="Arial" w:hAnsi="Arial" w:eastAsia="Arial"/>
                <w:b/>
                <w:color w:val="FFFFFF"/>
                <w:sz w:val="16"/>
              </w:rPr>
              <w:t>Standard</w:t>
            </w:r>
          </w:p>
        </w:tc>
      </w:tr>
      <w:tr>
        <w:tc>
          <w:tcPr>
            <w:tcW w:type="dxa" w:w="3024"/>
            <w:vAlign w:val="top"/>
          </w:tcPr>
          <w:p>
            <w:pPr>
              <w:spacing w:after="0"/>
            </w:pPr>
            <w:r/>
            <w:r>
              <w:rPr>
                <w:rFonts w:ascii="Arial" w:hAnsi="Arial" w:eastAsia="Arial"/>
                <w:b w:val="0"/>
                <w:sz w:val="16"/>
              </w:rPr>
              <w:t>Pricing owner</w:t>
            </w:r>
          </w:p>
        </w:tc>
        <w:tc>
          <w:tcPr>
            <w:tcW w:type="dxa" w:w="7488"/>
            <w:vAlign w:val="top"/>
          </w:tcPr>
          <w:p>
            <w:pPr>
              <w:spacing w:after="0"/>
            </w:pPr>
            <w:r/>
            <w:r>
              <w:rPr>
                <w:rFonts w:ascii="Arial" w:hAnsi="Arial" w:eastAsia="Arial"/>
                <w:b w:val="0"/>
                <w:sz w:val="16"/>
              </w:rPr>
              <w:t>Assign one accountable revenue manager per market or portfolio.</w:t>
            </w:r>
          </w:p>
        </w:tc>
      </w:tr>
      <w:tr>
        <w:tc>
          <w:tcPr>
            <w:tcW w:type="dxa" w:w="3024"/>
            <w:vAlign w:val="top"/>
          </w:tcPr>
          <w:p>
            <w:pPr>
              <w:spacing w:after="0"/>
            </w:pPr>
            <w:r/>
            <w:r>
              <w:rPr>
                <w:rFonts w:ascii="Arial" w:hAnsi="Arial" w:eastAsia="Arial"/>
                <w:b w:val="0"/>
                <w:sz w:val="16"/>
              </w:rPr>
              <w:t>Rate floors</w:t>
            </w:r>
          </w:p>
        </w:tc>
        <w:tc>
          <w:tcPr>
            <w:tcW w:type="dxa" w:w="7488"/>
            <w:vAlign w:val="top"/>
          </w:tcPr>
          <w:p>
            <w:pPr>
              <w:spacing w:after="0"/>
            </w:pPr>
            <w:r/>
            <w:r>
              <w:rPr>
                <w:rFonts w:ascii="Arial" w:hAnsi="Arial" w:eastAsia="Arial"/>
                <w:b w:val="0"/>
                <w:sz w:val="16"/>
              </w:rPr>
              <w:t>Document variable, owner, and brand floors for each listing by season.</w:t>
            </w:r>
          </w:p>
        </w:tc>
      </w:tr>
      <w:tr>
        <w:tc>
          <w:tcPr>
            <w:tcW w:type="dxa" w:w="3024"/>
            <w:vAlign w:val="top"/>
          </w:tcPr>
          <w:p>
            <w:pPr>
              <w:spacing w:after="0"/>
            </w:pPr>
            <w:r/>
            <w:r>
              <w:rPr>
                <w:rFonts w:ascii="Arial" w:hAnsi="Arial" w:eastAsia="Arial"/>
                <w:b w:val="0"/>
                <w:sz w:val="16"/>
              </w:rPr>
              <w:t>Comp set</w:t>
            </w:r>
          </w:p>
        </w:tc>
        <w:tc>
          <w:tcPr>
            <w:tcW w:type="dxa" w:w="7488"/>
            <w:vAlign w:val="top"/>
          </w:tcPr>
          <w:p>
            <w:pPr>
              <w:spacing w:after="0"/>
            </w:pPr>
            <w:r/>
            <w:r>
              <w:rPr>
                <w:rFonts w:ascii="Arial" w:hAnsi="Arial" w:eastAsia="Arial"/>
                <w:b w:val="0"/>
                <w:sz w:val="16"/>
              </w:rPr>
              <w:t>Maintain 10-30 true comps per listing; refresh monthly or faster in peak season.</w:t>
            </w:r>
          </w:p>
        </w:tc>
      </w:tr>
      <w:tr>
        <w:tc>
          <w:tcPr>
            <w:tcW w:type="dxa" w:w="3024"/>
            <w:vAlign w:val="top"/>
          </w:tcPr>
          <w:p>
            <w:pPr>
              <w:spacing w:after="0"/>
            </w:pPr>
            <w:r/>
            <w:r>
              <w:rPr>
                <w:rFonts w:ascii="Arial" w:hAnsi="Arial" w:eastAsia="Arial"/>
                <w:b w:val="0"/>
                <w:sz w:val="16"/>
              </w:rPr>
              <w:t>Calendar audit</w:t>
            </w:r>
          </w:p>
        </w:tc>
        <w:tc>
          <w:tcPr>
            <w:tcW w:type="dxa" w:w="7488"/>
            <w:vAlign w:val="top"/>
          </w:tcPr>
          <w:p>
            <w:pPr>
              <w:spacing w:after="0"/>
            </w:pPr>
            <w:r/>
            <w:r>
              <w:rPr>
                <w:rFonts w:ascii="Arial" w:hAnsi="Arial" w:eastAsia="Arial"/>
                <w:b w:val="0"/>
                <w:sz w:val="16"/>
              </w:rPr>
              <w:t>Weekly review of open gaps, min-stay blocks, event dates, and owner blocks.</w:t>
            </w:r>
          </w:p>
        </w:tc>
      </w:tr>
      <w:tr>
        <w:tc>
          <w:tcPr>
            <w:tcW w:type="dxa" w:w="3024"/>
            <w:vAlign w:val="top"/>
          </w:tcPr>
          <w:p>
            <w:pPr>
              <w:spacing w:after="0"/>
            </w:pPr>
            <w:r/>
            <w:r>
              <w:rPr>
                <w:rFonts w:ascii="Arial" w:hAnsi="Arial" w:eastAsia="Arial"/>
                <w:b w:val="0"/>
                <w:sz w:val="16"/>
              </w:rPr>
              <w:t>Exception log</w:t>
            </w:r>
          </w:p>
        </w:tc>
        <w:tc>
          <w:tcPr>
            <w:tcW w:type="dxa" w:w="7488"/>
            <w:vAlign w:val="top"/>
          </w:tcPr>
          <w:p>
            <w:pPr>
              <w:spacing w:after="0"/>
            </w:pPr>
            <w:r/>
            <w:r>
              <w:rPr>
                <w:rFonts w:ascii="Arial" w:hAnsi="Arial" w:eastAsia="Arial"/>
                <w:b w:val="0"/>
                <w:sz w:val="16"/>
              </w:rPr>
              <w:t>Record manual overrides and why they were made.</w:t>
            </w:r>
          </w:p>
        </w:tc>
      </w:tr>
      <w:tr>
        <w:tc>
          <w:tcPr>
            <w:tcW w:type="dxa" w:w="3024"/>
            <w:vAlign w:val="top"/>
          </w:tcPr>
          <w:p>
            <w:pPr>
              <w:spacing w:after="0"/>
            </w:pPr>
            <w:r/>
            <w:r>
              <w:rPr>
                <w:rFonts w:ascii="Arial" w:hAnsi="Arial" w:eastAsia="Arial"/>
                <w:b w:val="0"/>
                <w:sz w:val="16"/>
              </w:rPr>
              <w:t>Owner reporting</w:t>
            </w:r>
          </w:p>
        </w:tc>
        <w:tc>
          <w:tcPr>
            <w:tcW w:type="dxa" w:w="7488"/>
            <w:vAlign w:val="top"/>
          </w:tcPr>
          <w:p>
            <w:pPr>
              <w:spacing w:after="0"/>
            </w:pPr>
            <w:r/>
            <w:r>
              <w:rPr>
                <w:rFonts w:ascii="Arial" w:hAnsi="Arial" w:eastAsia="Arial"/>
                <w:b w:val="0"/>
                <w:sz w:val="16"/>
              </w:rPr>
              <w:t>Report ADR, occupancy, RevPAR, payout revenue, pace, and comp-set position.</w:t>
            </w:r>
          </w:p>
        </w:tc>
      </w:tr>
      <w:tr>
        <w:tc>
          <w:tcPr>
            <w:tcW w:type="dxa" w:w="3024"/>
            <w:vAlign w:val="top"/>
          </w:tcPr>
          <w:p>
            <w:pPr>
              <w:spacing w:after="0"/>
            </w:pPr>
            <w:r/>
            <w:r>
              <w:rPr>
                <w:rFonts w:ascii="Arial" w:hAnsi="Arial" w:eastAsia="Arial"/>
                <w:b w:val="0"/>
                <w:sz w:val="16"/>
              </w:rPr>
              <w:t>Review integration</w:t>
            </w:r>
          </w:p>
        </w:tc>
        <w:tc>
          <w:tcPr>
            <w:tcW w:type="dxa" w:w="7488"/>
            <w:vAlign w:val="top"/>
          </w:tcPr>
          <w:p>
            <w:pPr>
              <w:spacing w:after="0"/>
            </w:pPr>
            <w:r/>
            <w:r>
              <w:rPr>
                <w:rFonts w:ascii="Arial" w:hAnsi="Arial" w:eastAsia="Arial"/>
                <w:b w:val="0"/>
                <w:sz w:val="16"/>
              </w:rPr>
              <w:t>Feed review issues into pricing and product improvement decisions.</w:t>
            </w:r>
          </w:p>
        </w:tc>
      </w:tr>
    </w:tbl>
    <w:p>
      <w:pPr>
        <w:pStyle w:val="Small"/>
      </w:pPr>
    </w:p>
    <w:p>
      <w:pPr>
        <w:pStyle w:val="Heading2"/>
      </w:pPr>
      <w:r>
        <w:t>18.2 Portfolio segmentation</w:t>
      </w:r>
    </w:p>
    <w:p>
      <w:r>
        <w:t>Segment the portfolio by market type, property type, quality tier, and owner objective. A luxury lakefront home and a budget urban studio should not share the same discount rules. A new listing needs a different rate plan from a mature listing. A 30+ night regulated urban listing should not be judged by the same occupancy target as a nightly vacation rental.</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center"/>
          </w:tcPr>
          <w:p>
            <w:pPr>
              <w:spacing w:after="0"/>
            </w:pPr>
            <w:r/>
            <w:r>
              <w:rPr>
                <w:rFonts w:ascii="Arial" w:hAnsi="Arial" w:eastAsia="Arial"/>
                <w:b/>
                <w:color w:val="FFFFFF"/>
                <w:sz w:val="16"/>
              </w:rPr>
              <w:t>Segment</w:t>
            </w:r>
          </w:p>
        </w:tc>
        <w:tc>
          <w:tcPr>
            <w:tcW w:type="dxa" w:w="7632"/>
            <w:shd w:fill="1F4E79"/>
            <w:vAlign w:val="center"/>
          </w:tcPr>
          <w:p>
            <w:pPr>
              <w:spacing w:after="0"/>
            </w:pPr>
            <w:r/>
            <w:r>
              <w:rPr>
                <w:rFonts w:ascii="Arial" w:hAnsi="Arial" w:eastAsia="Arial"/>
                <w:b/>
                <w:color w:val="FFFFFF"/>
                <w:sz w:val="16"/>
              </w:rPr>
              <w:t>Separate rules needed</w:t>
            </w:r>
          </w:p>
        </w:tc>
      </w:tr>
      <w:tr>
        <w:tc>
          <w:tcPr>
            <w:tcW w:type="dxa" w:w="2880"/>
            <w:vAlign w:val="top"/>
          </w:tcPr>
          <w:p>
            <w:pPr>
              <w:spacing w:after="0"/>
            </w:pPr>
            <w:r/>
            <w:r>
              <w:rPr>
                <w:rFonts w:ascii="Arial" w:hAnsi="Arial" w:eastAsia="Arial"/>
                <w:b w:val="0"/>
                <w:sz w:val="16"/>
              </w:rPr>
              <w:t>New vs mature listings</w:t>
            </w:r>
          </w:p>
        </w:tc>
        <w:tc>
          <w:tcPr>
            <w:tcW w:type="dxa" w:w="7632"/>
            <w:vAlign w:val="top"/>
          </w:tcPr>
          <w:p>
            <w:pPr>
              <w:spacing w:after="0"/>
            </w:pPr>
            <w:r/>
            <w:r>
              <w:rPr>
                <w:rFonts w:ascii="Arial" w:hAnsi="Arial" w:eastAsia="Arial"/>
                <w:b w:val="0"/>
                <w:sz w:val="16"/>
              </w:rPr>
              <w:t>Launch discounts, review thresholds, and base-rate step-up schedule.</w:t>
            </w:r>
          </w:p>
        </w:tc>
      </w:tr>
      <w:tr>
        <w:tc>
          <w:tcPr>
            <w:tcW w:type="dxa" w:w="2880"/>
            <w:vAlign w:val="top"/>
          </w:tcPr>
          <w:p>
            <w:pPr>
              <w:spacing w:after="0"/>
            </w:pPr>
            <w:r/>
            <w:r>
              <w:rPr>
                <w:rFonts w:ascii="Arial" w:hAnsi="Arial" w:eastAsia="Arial"/>
                <w:b w:val="0"/>
                <w:sz w:val="16"/>
              </w:rPr>
              <w:t>Urban vs resort</w:t>
            </w:r>
          </w:p>
        </w:tc>
        <w:tc>
          <w:tcPr>
            <w:tcW w:type="dxa" w:w="7632"/>
            <w:vAlign w:val="top"/>
          </w:tcPr>
          <w:p>
            <w:pPr>
              <w:spacing w:after="0"/>
            </w:pPr>
            <w:r/>
            <w:r>
              <w:rPr>
                <w:rFonts w:ascii="Arial" w:hAnsi="Arial" w:eastAsia="Arial"/>
                <w:b w:val="0"/>
                <w:sz w:val="16"/>
              </w:rPr>
              <w:t>Booking windows, day-of-week premiums, LOS rules, and hotel comps.</w:t>
            </w:r>
          </w:p>
        </w:tc>
      </w:tr>
      <w:tr>
        <w:tc>
          <w:tcPr>
            <w:tcW w:type="dxa" w:w="2880"/>
            <w:vAlign w:val="top"/>
          </w:tcPr>
          <w:p>
            <w:pPr>
              <w:spacing w:after="0"/>
            </w:pPr>
            <w:r/>
            <w:r>
              <w:rPr>
                <w:rFonts w:ascii="Arial" w:hAnsi="Arial" w:eastAsia="Arial"/>
                <w:b w:val="0"/>
                <w:sz w:val="16"/>
              </w:rPr>
              <w:t>Large homes vs small units</w:t>
            </w:r>
          </w:p>
        </w:tc>
        <w:tc>
          <w:tcPr>
            <w:tcW w:type="dxa" w:w="7632"/>
            <w:vAlign w:val="top"/>
          </w:tcPr>
          <w:p>
            <w:pPr>
              <w:spacing w:after="0"/>
            </w:pPr>
            <w:r/>
            <w:r>
              <w:rPr>
                <w:rFonts w:ascii="Arial" w:hAnsi="Arial" w:eastAsia="Arial"/>
                <w:b w:val="0"/>
                <w:sz w:val="16"/>
              </w:rPr>
              <w:t>Group value, party risk, cleaning cost, and event minimum stays.</w:t>
            </w:r>
          </w:p>
        </w:tc>
      </w:tr>
      <w:tr>
        <w:tc>
          <w:tcPr>
            <w:tcW w:type="dxa" w:w="2880"/>
            <w:vAlign w:val="top"/>
          </w:tcPr>
          <w:p>
            <w:pPr>
              <w:spacing w:after="0"/>
            </w:pPr>
            <w:r/>
            <w:r>
              <w:rPr>
                <w:rFonts w:ascii="Arial" w:hAnsi="Arial" w:eastAsia="Arial"/>
                <w:b w:val="0"/>
                <w:sz w:val="16"/>
              </w:rPr>
              <w:t>Luxury vs value</w:t>
            </w:r>
          </w:p>
        </w:tc>
        <w:tc>
          <w:tcPr>
            <w:tcW w:type="dxa" w:w="7632"/>
            <w:vAlign w:val="top"/>
          </w:tcPr>
          <w:p>
            <w:pPr>
              <w:spacing w:after="0"/>
            </w:pPr>
            <w:r/>
            <w:r>
              <w:rPr>
                <w:rFonts w:ascii="Arial" w:hAnsi="Arial" w:eastAsia="Arial"/>
                <w:b w:val="0"/>
                <w:sz w:val="16"/>
              </w:rPr>
              <w:t>Discount tolerance, service expectations, and brand floor.</w:t>
            </w:r>
          </w:p>
        </w:tc>
      </w:tr>
      <w:tr>
        <w:tc>
          <w:tcPr>
            <w:tcW w:type="dxa" w:w="2880"/>
            <w:vAlign w:val="top"/>
          </w:tcPr>
          <w:p>
            <w:pPr>
              <w:spacing w:after="0"/>
            </w:pPr>
            <w:r/>
            <w:r>
              <w:rPr>
                <w:rFonts w:ascii="Arial" w:hAnsi="Arial" w:eastAsia="Arial"/>
                <w:b w:val="0"/>
                <w:sz w:val="16"/>
              </w:rPr>
              <w:t>Monthly vs nightly</w:t>
            </w:r>
          </w:p>
        </w:tc>
        <w:tc>
          <w:tcPr>
            <w:tcW w:type="dxa" w:w="7632"/>
            <w:vAlign w:val="top"/>
          </w:tcPr>
          <w:p>
            <w:pPr>
              <w:spacing w:after="0"/>
            </w:pPr>
            <w:r/>
            <w:r>
              <w:rPr>
                <w:rFonts w:ascii="Arial" w:hAnsi="Arial" w:eastAsia="Arial"/>
                <w:b w:val="0"/>
                <w:sz w:val="16"/>
              </w:rPr>
              <w:t>Regulatory, cancellation, cash-flow, and utility rules.</w:t>
            </w:r>
          </w:p>
        </w:tc>
      </w:tr>
    </w:tbl>
    <w:p>
      <w:pPr>
        <w:pStyle w:val="Small"/>
      </w:pPr>
    </w:p>
    <w:p>
      <w:pPr>
        <w:pStyle w:val="Heading2"/>
      </w:pPr>
      <w:r>
        <w:t>18.3 Owner communication</w:t>
      </w:r>
    </w:p>
    <w:p>
      <w:r>
        <w:t>Owners often focus on ADR or a single high-price comp. The revenue manager should redirect discussion toward net revenue and probability of booking. Use screenshots or dashboards showing guest-visible total price, available competitors, booked pace, and net payout. When owner expectations are unrealistic, set a structured test: hold the owner-requested rate for a defined period, then adjust if inquiry/conversion remains weak.</w:t>
      </w:r>
    </w:p>
    <w:p>
      <w:r>
        <w:br w:type="page"/>
      </w:r>
    </w:p>
    <w:p>
      <w:pPr>
        <w:pStyle w:val="Heading1"/>
      </w:pPr>
      <w:r>
        <w:t>19. KPI Dashboard and Weekly Revenue Meeting SOP</w:t>
      </w:r>
    </w:p>
    <w:p>
      <w:pPr>
        <w:pStyle w:val="Heading2"/>
      </w:pPr>
      <w:r>
        <w:t>19.1 Core KPIs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9"/>
            <w:vAlign w:val="center"/>
          </w:tcPr>
          <w:p>
            <w:pPr>
              <w:spacing w:after="0"/>
            </w:pPr>
            <w:r/>
            <w:r>
              <w:rPr>
                <w:rFonts w:ascii="Arial" w:hAnsi="Arial" w:eastAsia="Arial"/>
                <w:b/>
                <w:color w:val="FFFFFF"/>
                <w:sz w:val="15"/>
              </w:rPr>
              <w:t>KPI</w:t>
            </w:r>
          </w:p>
        </w:tc>
        <w:tc>
          <w:tcPr>
            <w:tcW w:type="dxa" w:w="3672"/>
            <w:shd w:fill="1F4E79"/>
            <w:vAlign w:val="center"/>
          </w:tcPr>
          <w:p>
            <w:pPr>
              <w:spacing w:after="0"/>
            </w:pPr>
            <w:r/>
            <w:r>
              <w:rPr>
                <w:rFonts w:ascii="Arial" w:hAnsi="Arial" w:eastAsia="Arial"/>
                <w:b/>
                <w:color w:val="FFFFFF"/>
                <w:sz w:val="15"/>
              </w:rPr>
              <w:t>Definition</w:t>
            </w:r>
          </w:p>
        </w:tc>
        <w:tc>
          <w:tcPr>
            <w:tcW w:type="dxa" w:w="4464"/>
            <w:shd w:fill="1F4E79"/>
            <w:vAlign w:val="center"/>
          </w:tcPr>
          <w:p>
            <w:pPr>
              <w:spacing w:after="0"/>
            </w:pPr>
            <w:r/>
            <w:r>
              <w:rPr>
                <w:rFonts w:ascii="Arial" w:hAnsi="Arial" w:eastAsia="Arial"/>
                <w:b/>
                <w:color w:val="FFFFFF"/>
                <w:sz w:val="15"/>
              </w:rPr>
              <w:t>How to use</w:t>
            </w:r>
          </w:p>
        </w:tc>
      </w:tr>
      <w:tr>
        <w:tc>
          <w:tcPr>
            <w:tcW w:type="dxa" w:w="2304"/>
            <w:vAlign w:val="top"/>
          </w:tcPr>
          <w:p>
            <w:pPr>
              <w:spacing w:after="0"/>
            </w:pPr>
            <w:r/>
            <w:r>
              <w:rPr>
                <w:rFonts w:ascii="Arial" w:hAnsi="Arial" w:eastAsia="Arial"/>
                <w:b w:val="0"/>
                <w:sz w:val="15"/>
              </w:rPr>
              <w:t>ADR</w:t>
            </w:r>
          </w:p>
        </w:tc>
        <w:tc>
          <w:tcPr>
            <w:tcW w:type="dxa" w:w="3672"/>
            <w:vAlign w:val="top"/>
          </w:tcPr>
          <w:p>
            <w:pPr>
              <w:spacing w:after="0"/>
            </w:pPr>
            <w:r/>
            <w:r>
              <w:rPr>
                <w:rFonts w:ascii="Arial" w:hAnsi="Arial" w:eastAsia="Arial"/>
                <w:b w:val="0"/>
                <w:sz w:val="15"/>
              </w:rPr>
              <w:t>Average daily rate for booked nights.</w:t>
            </w:r>
          </w:p>
        </w:tc>
        <w:tc>
          <w:tcPr>
            <w:tcW w:type="dxa" w:w="4464"/>
            <w:vAlign w:val="top"/>
          </w:tcPr>
          <w:p>
            <w:pPr>
              <w:spacing w:after="0"/>
            </w:pPr>
            <w:r/>
            <w:r>
              <w:rPr>
                <w:rFonts w:ascii="Arial" w:hAnsi="Arial" w:eastAsia="Arial"/>
                <w:b w:val="0"/>
                <w:sz w:val="15"/>
              </w:rPr>
              <w:t>Monitor rate level, but never alone.</w:t>
            </w:r>
          </w:p>
        </w:tc>
      </w:tr>
      <w:tr>
        <w:tc>
          <w:tcPr>
            <w:tcW w:type="dxa" w:w="2304"/>
            <w:vAlign w:val="top"/>
          </w:tcPr>
          <w:p>
            <w:pPr>
              <w:spacing w:after="0"/>
            </w:pPr>
            <w:r/>
            <w:r>
              <w:rPr>
                <w:rFonts w:ascii="Arial" w:hAnsi="Arial" w:eastAsia="Arial"/>
                <w:b w:val="0"/>
                <w:sz w:val="15"/>
              </w:rPr>
              <w:t>Occupancy</w:t>
            </w:r>
          </w:p>
        </w:tc>
        <w:tc>
          <w:tcPr>
            <w:tcW w:type="dxa" w:w="3672"/>
            <w:vAlign w:val="top"/>
          </w:tcPr>
          <w:p>
            <w:pPr>
              <w:spacing w:after="0"/>
            </w:pPr>
            <w:r/>
            <w:r>
              <w:rPr>
                <w:rFonts w:ascii="Arial" w:hAnsi="Arial" w:eastAsia="Arial"/>
                <w:b w:val="0"/>
                <w:sz w:val="15"/>
              </w:rPr>
              <w:t>Booked nights / available nights.</w:t>
            </w:r>
          </w:p>
        </w:tc>
        <w:tc>
          <w:tcPr>
            <w:tcW w:type="dxa" w:w="4464"/>
            <w:vAlign w:val="top"/>
          </w:tcPr>
          <w:p>
            <w:pPr>
              <w:spacing w:after="0"/>
            </w:pPr>
            <w:r/>
            <w:r>
              <w:rPr>
                <w:rFonts w:ascii="Arial" w:hAnsi="Arial" w:eastAsia="Arial"/>
                <w:b w:val="0"/>
                <w:sz w:val="15"/>
              </w:rPr>
              <w:t>Detect under/overpricing and demand strength.</w:t>
            </w:r>
          </w:p>
        </w:tc>
      </w:tr>
      <w:tr>
        <w:tc>
          <w:tcPr>
            <w:tcW w:type="dxa" w:w="2304"/>
            <w:vAlign w:val="top"/>
          </w:tcPr>
          <w:p>
            <w:pPr>
              <w:spacing w:after="0"/>
            </w:pPr>
            <w:r/>
            <w:r>
              <w:rPr>
                <w:rFonts w:ascii="Arial" w:hAnsi="Arial" w:eastAsia="Arial"/>
                <w:b w:val="0"/>
                <w:sz w:val="15"/>
              </w:rPr>
              <w:t>RevPAN / RevPAR equivalent</w:t>
            </w:r>
          </w:p>
        </w:tc>
        <w:tc>
          <w:tcPr>
            <w:tcW w:type="dxa" w:w="3672"/>
            <w:vAlign w:val="top"/>
          </w:tcPr>
          <w:p>
            <w:pPr>
              <w:spacing w:after="0"/>
            </w:pPr>
            <w:r/>
            <w:r>
              <w:rPr>
                <w:rFonts w:ascii="Arial" w:hAnsi="Arial" w:eastAsia="Arial"/>
                <w:b w:val="0"/>
                <w:sz w:val="15"/>
              </w:rPr>
              <w:t>Revenue per available night.</w:t>
            </w:r>
          </w:p>
        </w:tc>
        <w:tc>
          <w:tcPr>
            <w:tcW w:type="dxa" w:w="4464"/>
            <w:vAlign w:val="top"/>
          </w:tcPr>
          <w:p>
            <w:pPr>
              <w:spacing w:after="0"/>
            </w:pPr>
            <w:r/>
            <w:r>
              <w:rPr>
                <w:rFonts w:ascii="Arial" w:hAnsi="Arial" w:eastAsia="Arial"/>
                <w:b w:val="0"/>
                <w:sz w:val="15"/>
              </w:rPr>
              <w:t>Primary comparison of rate and occupancy productivity.</w:t>
            </w:r>
          </w:p>
        </w:tc>
      </w:tr>
      <w:tr>
        <w:tc>
          <w:tcPr>
            <w:tcW w:type="dxa" w:w="2304"/>
            <w:vAlign w:val="top"/>
          </w:tcPr>
          <w:p>
            <w:pPr>
              <w:spacing w:after="0"/>
            </w:pPr>
            <w:r/>
            <w:r>
              <w:rPr>
                <w:rFonts w:ascii="Arial" w:hAnsi="Arial" w:eastAsia="Arial"/>
                <w:b w:val="0"/>
                <w:sz w:val="15"/>
              </w:rPr>
              <w:t>Net payout revenue</w:t>
            </w:r>
          </w:p>
        </w:tc>
        <w:tc>
          <w:tcPr>
            <w:tcW w:type="dxa" w:w="3672"/>
            <w:vAlign w:val="top"/>
          </w:tcPr>
          <w:p>
            <w:pPr>
              <w:spacing w:after="0"/>
            </w:pPr>
            <w:r/>
            <w:r>
              <w:rPr>
                <w:rFonts w:ascii="Arial" w:hAnsi="Arial" w:eastAsia="Arial"/>
                <w:b w:val="0"/>
                <w:sz w:val="15"/>
              </w:rPr>
              <w:t>Revenue after platform/service fees and variable costs.</w:t>
            </w:r>
          </w:p>
        </w:tc>
        <w:tc>
          <w:tcPr>
            <w:tcW w:type="dxa" w:w="4464"/>
            <w:vAlign w:val="top"/>
          </w:tcPr>
          <w:p>
            <w:pPr>
              <w:spacing w:after="0"/>
            </w:pPr>
            <w:r/>
            <w:r>
              <w:rPr>
                <w:rFonts w:ascii="Arial" w:hAnsi="Arial" w:eastAsia="Arial"/>
                <w:b w:val="0"/>
                <w:sz w:val="15"/>
              </w:rPr>
              <w:t>Owner and profitability reporting.</w:t>
            </w:r>
          </w:p>
        </w:tc>
      </w:tr>
      <w:tr>
        <w:tc>
          <w:tcPr>
            <w:tcW w:type="dxa" w:w="2304"/>
            <w:vAlign w:val="top"/>
          </w:tcPr>
          <w:p>
            <w:pPr>
              <w:spacing w:after="0"/>
            </w:pPr>
            <w:r/>
            <w:r>
              <w:rPr>
                <w:rFonts w:ascii="Arial" w:hAnsi="Arial" w:eastAsia="Arial"/>
                <w:b w:val="0"/>
                <w:sz w:val="15"/>
              </w:rPr>
              <w:t>Booking pace</w:t>
            </w:r>
          </w:p>
        </w:tc>
        <w:tc>
          <w:tcPr>
            <w:tcW w:type="dxa" w:w="3672"/>
            <w:vAlign w:val="top"/>
          </w:tcPr>
          <w:p>
            <w:pPr>
              <w:spacing w:after="0"/>
            </w:pPr>
            <w:r/>
            <w:r>
              <w:rPr>
                <w:rFonts w:ascii="Arial" w:hAnsi="Arial" w:eastAsia="Arial"/>
                <w:b w:val="0"/>
                <w:sz w:val="15"/>
              </w:rPr>
              <w:t>Future bookings vs benchmark curve.</w:t>
            </w:r>
          </w:p>
        </w:tc>
        <w:tc>
          <w:tcPr>
            <w:tcW w:type="dxa" w:w="4464"/>
            <w:vAlign w:val="top"/>
          </w:tcPr>
          <w:p>
            <w:pPr>
              <w:spacing w:after="0"/>
            </w:pPr>
            <w:r/>
            <w:r>
              <w:rPr>
                <w:rFonts w:ascii="Arial" w:hAnsi="Arial" w:eastAsia="Arial"/>
                <w:b w:val="0"/>
                <w:sz w:val="15"/>
              </w:rPr>
              <w:t>Decide whether to hold, raise, or discount.</w:t>
            </w:r>
          </w:p>
        </w:tc>
      </w:tr>
      <w:tr>
        <w:tc>
          <w:tcPr>
            <w:tcW w:type="dxa" w:w="2304"/>
            <w:vAlign w:val="top"/>
          </w:tcPr>
          <w:p>
            <w:pPr>
              <w:spacing w:after="0"/>
            </w:pPr>
            <w:r/>
            <w:r>
              <w:rPr>
                <w:rFonts w:ascii="Arial" w:hAnsi="Arial" w:eastAsia="Arial"/>
                <w:b w:val="0"/>
                <w:sz w:val="15"/>
              </w:rPr>
              <w:t>Lead time</w:t>
            </w:r>
          </w:p>
        </w:tc>
        <w:tc>
          <w:tcPr>
            <w:tcW w:type="dxa" w:w="3672"/>
            <w:vAlign w:val="top"/>
          </w:tcPr>
          <w:p>
            <w:pPr>
              <w:spacing w:after="0"/>
            </w:pPr>
            <w:r/>
            <w:r>
              <w:rPr>
                <w:rFonts w:ascii="Arial" w:hAnsi="Arial" w:eastAsia="Arial"/>
                <w:b w:val="0"/>
                <w:sz w:val="15"/>
              </w:rPr>
              <w:t>Days from booking to check-in.</w:t>
            </w:r>
          </w:p>
        </w:tc>
        <w:tc>
          <w:tcPr>
            <w:tcW w:type="dxa" w:w="4464"/>
            <w:vAlign w:val="top"/>
          </w:tcPr>
          <w:p>
            <w:pPr>
              <w:spacing w:after="0"/>
            </w:pPr>
            <w:r/>
            <w:r>
              <w:rPr>
                <w:rFonts w:ascii="Arial" w:hAnsi="Arial" w:eastAsia="Arial"/>
                <w:b w:val="0"/>
                <w:sz w:val="15"/>
              </w:rPr>
              <w:t>Calibrate early/last-minute rules.</w:t>
            </w:r>
          </w:p>
        </w:tc>
      </w:tr>
      <w:tr>
        <w:tc>
          <w:tcPr>
            <w:tcW w:type="dxa" w:w="2304"/>
            <w:vAlign w:val="top"/>
          </w:tcPr>
          <w:p>
            <w:pPr>
              <w:spacing w:after="0"/>
            </w:pPr>
            <w:r/>
            <w:r>
              <w:rPr>
                <w:rFonts w:ascii="Arial" w:hAnsi="Arial" w:eastAsia="Arial"/>
                <w:b w:val="0"/>
                <w:sz w:val="15"/>
              </w:rPr>
              <w:t>Length of stay</w:t>
            </w:r>
          </w:p>
        </w:tc>
        <w:tc>
          <w:tcPr>
            <w:tcW w:type="dxa" w:w="3672"/>
            <w:vAlign w:val="top"/>
          </w:tcPr>
          <w:p>
            <w:pPr>
              <w:spacing w:after="0"/>
            </w:pPr>
            <w:r/>
            <w:r>
              <w:rPr>
                <w:rFonts w:ascii="Arial" w:hAnsi="Arial" w:eastAsia="Arial"/>
                <w:b w:val="0"/>
                <w:sz w:val="15"/>
              </w:rPr>
              <w:t>Nights per booking.</w:t>
            </w:r>
          </w:p>
        </w:tc>
        <w:tc>
          <w:tcPr>
            <w:tcW w:type="dxa" w:w="4464"/>
            <w:vAlign w:val="top"/>
          </w:tcPr>
          <w:p>
            <w:pPr>
              <w:spacing w:after="0"/>
            </w:pPr>
            <w:r/>
            <w:r>
              <w:rPr>
                <w:rFonts w:ascii="Arial" w:hAnsi="Arial" w:eastAsia="Arial"/>
                <w:b w:val="0"/>
                <w:sz w:val="15"/>
              </w:rPr>
              <w:t>Adjust discounts and min-stay strategy.</w:t>
            </w:r>
          </w:p>
        </w:tc>
      </w:tr>
      <w:tr>
        <w:tc>
          <w:tcPr>
            <w:tcW w:type="dxa" w:w="2304"/>
            <w:vAlign w:val="top"/>
          </w:tcPr>
          <w:p>
            <w:pPr>
              <w:spacing w:after="0"/>
            </w:pPr>
            <w:r/>
            <w:r>
              <w:rPr>
                <w:rFonts w:ascii="Arial" w:hAnsi="Arial" w:eastAsia="Arial"/>
                <w:b w:val="0"/>
                <w:sz w:val="15"/>
              </w:rPr>
              <w:t>Cancellation rate</w:t>
            </w:r>
          </w:p>
        </w:tc>
        <w:tc>
          <w:tcPr>
            <w:tcW w:type="dxa" w:w="3672"/>
            <w:vAlign w:val="top"/>
          </w:tcPr>
          <w:p>
            <w:pPr>
              <w:spacing w:after="0"/>
            </w:pPr>
            <w:r/>
            <w:r>
              <w:rPr>
                <w:rFonts w:ascii="Arial" w:hAnsi="Arial" w:eastAsia="Arial"/>
                <w:b w:val="0"/>
                <w:sz w:val="15"/>
              </w:rPr>
              <w:t>Cancelled bookings / booked reservations.</w:t>
            </w:r>
          </w:p>
        </w:tc>
        <w:tc>
          <w:tcPr>
            <w:tcW w:type="dxa" w:w="4464"/>
            <w:vAlign w:val="top"/>
          </w:tcPr>
          <w:p>
            <w:pPr>
              <w:spacing w:after="0"/>
            </w:pPr>
            <w:r/>
            <w:r>
              <w:rPr>
                <w:rFonts w:ascii="Arial" w:hAnsi="Arial" w:eastAsia="Arial"/>
                <w:b w:val="0"/>
                <w:sz w:val="15"/>
              </w:rPr>
              <w:t>Set policy, risk premium, and remarketing actions.</w:t>
            </w:r>
          </w:p>
        </w:tc>
      </w:tr>
      <w:tr>
        <w:tc>
          <w:tcPr>
            <w:tcW w:type="dxa" w:w="2304"/>
            <w:vAlign w:val="top"/>
          </w:tcPr>
          <w:p>
            <w:pPr>
              <w:spacing w:after="0"/>
            </w:pPr>
            <w:r/>
            <w:r>
              <w:rPr>
                <w:rFonts w:ascii="Arial" w:hAnsi="Arial" w:eastAsia="Arial"/>
                <w:b w:val="0"/>
                <w:sz w:val="15"/>
              </w:rPr>
              <w:t>Conversion proxy</w:t>
            </w:r>
          </w:p>
        </w:tc>
        <w:tc>
          <w:tcPr>
            <w:tcW w:type="dxa" w:w="3672"/>
            <w:vAlign w:val="top"/>
          </w:tcPr>
          <w:p>
            <w:pPr>
              <w:spacing w:after="0"/>
            </w:pPr>
            <w:r/>
            <w:r>
              <w:rPr>
                <w:rFonts w:ascii="Arial" w:hAnsi="Arial" w:eastAsia="Arial"/>
                <w:b w:val="0"/>
                <w:sz w:val="15"/>
              </w:rPr>
              <w:t>Inquiries/views/bookings if available.</w:t>
            </w:r>
          </w:p>
        </w:tc>
        <w:tc>
          <w:tcPr>
            <w:tcW w:type="dxa" w:w="4464"/>
            <w:vAlign w:val="top"/>
          </w:tcPr>
          <w:p>
            <w:pPr>
              <w:spacing w:after="0"/>
            </w:pPr>
            <w:r/>
            <w:r>
              <w:rPr>
                <w:rFonts w:ascii="Arial" w:hAnsi="Arial" w:eastAsia="Arial"/>
                <w:b w:val="0"/>
                <w:sz w:val="15"/>
              </w:rPr>
              <w:t>Identify price or listing friction.</w:t>
            </w:r>
          </w:p>
        </w:tc>
      </w:tr>
      <w:tr>
        <w:tc>
          <w:tcPr>
            <w:tcW w:type="dxa" w:w="2304"/>
            <w:vAlign w:val="top"/>
          </w:tcPr>
          <w:p>
            <w:pPr>
              <w:spacing w:after="0"/>
            </w:pPr>
            <w:r/>
            <w:r>
              <w:rPr>
                <w:rFonts w:ascii="Arial" w:hAnsi="Arial" w:eastAsia="Arial"/>
                <w:b w:val="0"/>
                <w:sz w:val="15"/>
              </w:rPr>
              <w:t>Review score and topics</w:t>
            </w:r>
          </w:p>
        </w:tc>
        <w:tc>
          <w:tcPr>
            <w:tcW w:type="dxa" w:w="3672"/>
            <w:vAlign w:val="top"/>
          </w:tcPr>
          <w:p>
            <w:pPr>
              <w:spacing w:after="0"/>
            </w:pPr>
            <w:r/>
            <w:r>
              <w:rPr>
                <w:rFonts w:ascii="Arial" w:hAnsi="Arial" w:eastAsia="Arial"/>
                <w:b w:val="0"/>
                <w:sz w:val="15"/>
              </w:rPr>
              <w:t>Rating and language in reviews.</w:t>
            </w:r>
          </w:p>
        </w:tc>
        <w:tc>
          <w:tcPr>
            <w:tcW w:type="dxa" w:w="4464"/>
            <w:vAlign w:val="top"/>
          </w:tcPr>
          <w:p>
            <w:pPr>
              <w:spacing w:after="0"/>
            </w:pPr>
            <w:r/>
            <w:r>
              <w:rPr>
                <w:rFonts w:ascii="Arial" w:hAnsi="Arial" w:eastAsia="Arial"/>
                <w:b w:val="0"/>
                <w:sz w:val="15"/>
              </w:rPr>
              <w:t>Support premium or trigger correction.</w:t>
            </w:r>
          </w:p>
        </w:tc>
      </w:tr>
    </w:tbl>
    <w:p>
      <w:pPr>
        <w:pStyle w:val="Small"/>
      </w:pPr>
    </w:p>
    <w:p>
      <w:pPr>
        <w:pStyle w:val="Heading2"/>
      </w:pPr>
      <w:r>
        <w:t>19.2 Weekly revenue meeting agenda</w:t>
      </w:r>
    </w:p>
    <w:p>
      <w:pPr>
        <w:pStyle w:val="ListNumber"/>
        <w:spacing w:after="40"/>
      </w:pPr>
      <w:r>
        <w:rPr>
          <w:rFonts w:ascii="Arial" w:hAnsi="Arial" w:eastAsia="Arial"/>
          <w:sz w:val="18"/>
        </w:rPr>
        <w:t>Review market headlines: demand, events, weather, regulation, and travel indicators.</w:t>
      </w:r>
    </w:p>
    <w:p>
      <w:pPr>
        <w:pStyle w:val="ListNumber"/>
        <w:spacing w:after="40"/>
      </w:pPr>
      <w:r>
        <w:rPr>
          <w:rFonts w:ascii="Arial" w:hAnsi="Arial" w:eastAsia="Arial"/>
          <w:sz w:val="18"/>
        </w:rPr>
        <w:t>Review portfolio pace by arrival month and demand state.</w:t>
      </w:r>
    </w:p>
    <w:p>
      <w:pPr>
        <w:pStyle w:val="ListNumber"/>
        <w:spacing w:after="40"/>
      </w:pPr>
      <w:r>
        <w:rPr>
          <w:rFonts w:ascii="Arial" w:hAnsi="Arial" w:eastAsia="Arial"/>
          <w:sz w:val="18"/>
        </w:rPr>
        <w:t>Identify dates with high value and weak booking pace. Check comp set before discounting.</w:t>
      </w:r>
    </w:p>
    <w:p>
      <w:pPr>
        <w:pStyle w:val="ListNumber"/>
        <w:spacing w:after="40"/>
      </w:pPr>
      <w:r>
        <w:rPr>
          <w:rFonts w:ascii="Arial" w:hAnsi="Arial" w:eastAsia="Arial"/>
          <w:sz w:val="18"/>
        </w:rPr>
        <w:t>Identify dates booked too quickly or above target occupancy. Raise remaining dates as needed.</w:t>
      </w:r>
    </w:p>
    <w:p>
      <w:pPr>
        <w:pStyle w:val="ListNumber"/>
        <w:spacing w:after="40"/>
      </w:pPr>
      <w:r>
        <w:rPr>
          <w:rFonts w:ascii="Arial" w:hAnsi="Arial" w:eastAsia="Arial"/>
          <w:sz w:val="18"/>
        </w:rPr>
        <w:t>Audit gaps and minimum-stay blocks.</w:t>
      </w:r>
    </w:p>
    <w:p>
      <w:pPr>
        <w:pStyle w:val="ListNumber"/>
        <w:spacing w:after="40"/>
      </w:pPr>
      <w:r>
        <w:rPr>
          <w:rFonts w:ascii="Arial" w:hAnsi="Arial" w:eastAsia="Arial"/>
          <w:sz w:val="18"/>
        </w:rPr>
        <w:t>Review cancellations and reprice cancelled dates.</w:t>
      </w:r>
    </w:p>
    <w:p>
      <w:pPr>
        <w:pStyle w:val="ListNumber"/>
        <w:spacing w:after="40"/>
      </w:pPr>
      <w:r>
        <w:rPr>
          <w:rFonts w:ascii="Arial" w:hAnsi="Arial" w:eastAsia="Arial"/>
          <w:sz w:val="18"/>
        </w:rPr>
        <w:t>Review listings with recent negative reviews or low conversion.</w:t>
      </w:r>
    </w:p>
    <w:p>
      <w:pPr>
        <w:pStyle w:val="ListNumber"/>
        <w:spacing w:after="40"/>
      </w:pPr>
      <w:r>
        <w:rPr>
          <w:rFonts w:ascii="Arial" w:hAnsi="Arial" w:eastAsia="Arial"/>
          <w:sz w:val="18"/>
        </w:rPr>
        <w:t>Approve manual event pricing and caps.</w:t>
      </w:r>
    </w:p>
    <w:p>
      <w:pPr>
        <w:pStyle w:val="ListNumber"/>
        <w:spacing w:after="40"/>
      </w:pPr>
      <w:r>
        <w:rPr>
          <w:rFonts w:ascii="Arial" w:hAnsi="Arial" w:eastAsia="Arial"/>
          <w:sz w:val="18"/>
        </w:rPr>
        <w:t>Record actions, owner communications, and follow-up metrics.</w:t>
      </w:r>
    </w:p>
    <w:p>
      <w:pPr>
        <w:pStyle w:val="Heading2"/>
      </w:pPr>
      <w:r>
        <w:t>19.3 Red flags requiring manual review</w:t>
      </w:r>
    </w:p>
    <w:p>
      <w:pPr>
        <w:pStyle w:val="ListBullet"/>
        <w:spacing w:after="40"/>
      </w:pPr>
      <w:r>
        <w:rPr>
          <w:rFonts w:ascii="Arial" w:hAnsi="Arial" w:eastAsia="Arial"/>
          <w:sz w:val="18"/>
        </w:rPr>
        <w:t>Any rate more than 2.5 times the normal seasonal weekend rate.</w:t>
      </w:r>
    </w:p>
    <w:p>
      <w:pPr>
        <w:pStyle w:val="ListBullet"/>
        <w:spacing w:after="40"/>
      </w:pPr>
      <w:r>
        <w:rPr>
          <w:rFonts w:ascii="Arial" w:hAnsi="Arial" w:eastAsia="Arial"/>
          <w:sz w:val="18"/>
        </w:rPr>
        <w:t>Any discount deeper than 25% outside approved launch/gap-fill rules.</w:t>
      </w:r>
    </w:p>
    <w:p>
      <w:pPr>
        <w:pStyle w:val="ListBullet"/>
        <w:spacing w:after="40"/>
      </w:pPr>
      <w:r>
        <w:rPr>
          <w:rFonts w:ascii="Arial" w:hAnsi="Arial" w:eastAsia="Arial"/>
          <w:sz w:val="18"/>
        </w:rPr>
        <w:t>Any peak holiday still open inside 30 days.</w:t>
      </w:r>
    </w:p>
    <w:p>
      <w:pPr>
        <w:pStyle w:val="ListBullet"/>
        <w:spacing w:after="40"/>
      </w:pPr>
      <w:r>
        <w:rPr>
          <w:rFonts w:ascii="Arial" w:hAnsi="Arial" w:eastAsia="Arial"/>
          <w:sz w:val="18"/>
        </w:rPr>
        <w:t>Any high-value date blocked by a minimum stay that prevents normal trip searches.</w:t>
      </w:r>
    </w:p>
    <w:p>
      <w:pPr>
        <w:pStyle w:val="ListBullet"/>
        <w:spacing w:after="40"/>
      </w:pPr>
      <w:r>
        <w:rPr>
          <w:rFonts w:ascii="Arial" w:hAnsi="Arial" w:eastAsia="Arial"/>
          <w:sz w:val="18"/>
        </w:rPr>
        <w:t>Any listing below review-score threshold or with repeated cleanliness/value complaints.</w:t>
      </w:r>
    </w:p>
    <w:p>
      <w:pPr>
        <w:pStyle w:val="ListBullet"/>
        <w:spacing w:after="40"/>
      </w:pPr>
      <w:r>
        <w:rPr>
          <w:rFonts w:ascii="Arial" w:hAnsi="Arial" w:eastAsia="Arial"/>
          <w:sz w:val="18"/>
        </w:rPr>
        <w:t>Any regulatory notice, permit issue, HOA complaint, or tax collection change.</w:t>
      </w:r>
    </w:p>
    <w:p>
      <w:pPr>
        <w:pStyle w:val="ListBullet"/>
        <w:spacing w:after="40"/>
      </w:pPr>
      <w:r>
        <w:rPr>
          <w:rFonts w:ascii="Arial" w:hAnsi="Arial" w:eastAsia="Arial"/>
          <w:sz w:val="18"/>
        </w:rPr>
        <w:t>Any platform/service fee or channel integration change that affects payout.</w:t>
      </w:r>
    </w:p>
    <w:p>
      <w:r>
        <w:br w:type="page"/>
      </w:r>
    </w:p>
    <w:p>
      <w:pPr>
        <w:pStyle w:val="Heading1"/>
      </w:pPr>
      <w:r>
        <w:t>20. Implementation Roadmap</w:t>
      </w:r>
    </w:p>
    <w:p>
      <w:pPr>
        <w:pStyle w:val="Heading2"/>
      </w:pPr>
      <w:r>
        <w:t>20.1 First 30 days</w:t>
      </w:r>
    </w:p>
    <w:p>
      <w:pPr>
        <w:pStyle w:val="ListNumber"/>
        <w:spacing w:after="40"/>
      </w:pPr>
      <w:r>
        <w:rPr>
          <w:rFonts w:ascii="Arial" w:hAnsi="Arial" w:eastAsia="Arial"/>
          <w:sz w:val="18"/>
        </w:rPr>
        <w:t>Create a property scorecard for each listing.</w:t>
      </w:r>
    </w:p>
    <w:p>
      <w:pPr>
        <w:pStyle w:val="ListNumber"/>
        <w:spacing w:after="40"/>
      </w:pPr>
      <w:r>
        <w:rPr>
          <w:rFonts w:ascii="Arial" w:hAnsi="Arial" w:eastAsia="Arial"/>
          <w:sz w:val="18"/>
        </w:rPr>
        <w:t>Build true comp sets and record guest-visible total price for 2-night, 3-night, 7-night, and 28-night searches.</w:t>
      </w:r>
    </w:p>
    <w:p>
      <w:pPr>
        <w:pStyle w:val="ListNumber"/>
        <w:spacing w:after="40"/>
      </w:pPr>
      <w:r>
        <w:rPr>
          <w:rFonts w:ascii="Arial" w:hAnsi="Arial" w:eastAsia="Arial"/>
          <w:sz w:val="18"/>
        </w:rPr>
        <w:t>Define base rate, seasonal floors, and demand states.</w:t>
      </w:r>
    </w:p>
    <w:p>
      <w:pPr>
        <w:pStyle w:val="ListNumber"/>
        <w:spacing w:after="40"/>
      </w:pPr>
      <w:r>
        <w:rPr>
          <w:rFonts w:ascii="Arial" w:hAnsi="Arial" w:eastAsia="Arial"/>
          <w:sz w:val="18"/>
        </w:rPr>
        <w:t>Review cleaning fee and all-in price competitiveness.</w:t>
      </w:r>
    </w:p>
    <w:p>
      <w:pPr>
        <w:pStyle w:val="ListNumber"/>
        <w:spacing w:after="40"/>
      </w:pPr>
      <w:r>
        <w:rPr>
          <w:rFonts w:ascii="Arial" w:hAnsi="Arial" w:eastAsia="Arial"/>
          <w:sz w:val="18"/>
        </w:rPr>
        <w:t>Configure minimum stays by date type and gap rules.</w:t>
      </w:r>
    </w:p>
    <w:p>
      <w:pPr>
        <w:pStyle w:val="ListNumber"/>
        <w:spacing w:after="40"/>
      </w:pPr>
      <w:r>
        <w:rPr>
          <w:rFonts w:ascii="Arial" w:hAnsi="Arial" w:eastAsia="Arial"/>
          <w:sz w:val="18"/>
        </w:rPr>
        <w:t>Create event calendar for the next 12 months.</w:t>
      </w:r>
    </w:p>
    <w:p>
      <w:pPr>
        <w:pStyle w:val="ListNumber"/>
        <w:spacing w:after="40"/>
      </w:pPr>
      <w:r>
        <w:rPr>
          <w:rFonts w:ascii="Arial" w:hAnsi="Arial" w:eastAsia="Arial"/>
          <w:sz w:val="18"/>
        </w:rPr>
        <w:t>Set weekly revenue meeting cadence and reporting template.</w:t>
      </w:r>
    </w:p>
    <w:p>
      <w:pPr>
        <w:pStyle w:val="Heading2"/>
      </w:pPr>
      <w:r>
        <w:t>20.2 Days 31-60</w:t>
      </w:r>
    </w:p>
    <w:p>
      <w:pPr>
        <w:pStyle w:val="ListNumber"/>
        <w:spacing w:after="40"/>
      </w:pPr>
      <w:r>
        <w:rPr>
          <w:rFonts w:ascii="Arial" w:hAnsi="Arial" w:eastAsia="Arial"/>
          <w:sz w:val="18"/>
        </w:rPr>
        <w:t>Compare actual booking pace to the new rate plan.</w:t>
      </w:r>
    </w:p>
    <w:p>
      <w:pPr>
        <w:pStyle w:val="ListNumber"/>
        <w:spacing w:after="40"/>
      </w:pPr>
      <w:r>
        <w:rPr>
          <w:rFonts w:ascii="Arial" w:hAnsi="Arial" w:eastAsia="Arial"/>
          <w:sz w:val="18"/>
        </w:rPr>
        <w:t>Adjust comp sets after observing which listings appear in guest searches and which actually book.</w:t>
      </w:r>
    </w:p>
    <w:p>
      <w:pPr>
        <w:pStyle w:val="ListNumber"/>
        <w:spacing w:after="40"/>
      </w:pPr>
      <w:r>
        <w:rPr>
          <w:rFonts w:ascii="Arial" w:hAnsi="Arial" w:eastAsia="Arial"/>
          <w:sz w:val="18"/>
        </w:rPr>
        <w:t>Audit first revenue outcomes: ADR, occupancy, RevPAN, lead time, and review sentiment.</w:t>
      </w:r>
    </w:p>
    <w:p>
      <w:pPr>
        <w:pStyle w:val="ListNumber"/>
        <w:spacing w:after="40"/>
      </w:pPr>
      <w:r>
        <w:rPr>
          <w:rFonts w:ascii="Arial" w:hAnsi="Arial" w:eastAsia="Arial"/>
          <w:sz w:val="18"/>
        </w:rPr>
        <w:t>Calibrate weekend premiums and low-season discounts.</w:t>
      </w:r>
    </w:p>
    <w:p>
      <w:pPr>
        <w:pStyle w:val="ListNumber"/>
        <w:spacing w:after="40"/>
      </w:pPr>
      <w:r>
        <w:rPr>
          <w:rFonts w:ascii="Arial" w:hAnsi="Arial" w:eastAsia="Arial"/>
          <w:sz w:val="18"/>
        </w:rPr>
        <w:t>Review cancellation policy and remarketing process.</w:t>
      </w:r>
    </w:p>
    <w:p>
      <w:pPr>
        <w:pStyle w:val="ListNumber"/>
        <w:spacing w:after="40"/>
      </w:pPr>
      <w:r>
        <w:rPr>
          <w:rFonts w:ascii="Arial" w:hAnsi="Arial" w:eastAsia="Arial"/>
          <w:sz w:val="18"/>
        </w:rPr>
        <w:t>Create owner-facing explanation of pricing logic and floors.</w:t>
      </w:r>
    </w:p>
    <w:p>
      <w:pPr>
        <w:pStyle w:val="Heading2"/>
      </w:pPr>
      <w:r>
        <w:t>20.3 Days 61-90</w:t>
      </w:r>
    </w:p>
    <w:p>
      <w:pPr>
        <w:pStyle w:val="ListNumber"/>
        <w:spacing w:after="40"/>
      </w:pPr>
      <w:r>
        <w:rPr>
          <w:rFonts w:ascii="Arial" w:hAnsi="Arial" w:eastAsia="Arial"/>
          <w:sz w:val="18"/>
        </w:rPr>
        <w:t>Refine dynamic pricing software settings or manual rules.</w:t>
      </w:r>
    </w:p>
    <w:p>
      <w:pPr>
        <w:pStyle w:val="ListNumber"/>
        <w:spacing w:after="40"/>
      </w:pPr>
      <w:r>
        <w:rPr>
          <w:rFonts w:ascii="Arial" w:hAnsi="Arial" w:eastAsia="Arial"/>
          <w:sz w:val="18"/>
        </w:rPr>
        <w:t>Introduce market-specific SOPs for peak season, low season, holidays, and events.</w:t>
      </w:r>
    </w:p>
    <w:p>
      <w:pPr>
        <w:pStyle w:val="ListNumber"/>
        <w:spacing w:after="40"/>
      </w:pPr>
      <w:r>
        <w:rPr>
          <w:rFonts w:ascii="Arial" w:hAnsi="Arial" w:eastAsia="Arial"/>
          <w:sz w:val="18"/>
        </w:rPr>
        <w:t>Set manual review thresholds for extreme rates and discounts.</w:t>
      </w:r>
    </w:p>
    <w:p>
      <w:pPr>
        <w:pStyle w:val="ListNumber"/>
        <w:spacing w:after="40"/>
      </w:pPr>
      <w:r>
        <w:rPr>
          <w:rFonts w:ascii="Arial" w:hAnsi="Arial" w:eastAsia="Arial"/>
          <w:sz w:val="18"/>
        </w:rPr>
        <w:t>Update listing merchandising for premium value signals.</w:t>
      </w:r>
    </w:p>
    <w:p>
      <w:pPr>
        <w:pStyle w:val="ListNumber"/>
        <w:spacing w:after="40"/>
      </w:pPr>
      <w:r>
        <w:rPr>
          <w:rFonts w:ascii="Arial" w:hAnsi="Arial" w:eastAsia="Arial"/>
          <w:sz w:val="18"/>
        </w:rPr>
        <w:t>Benchmark portfolio against historical and market results.</w:t>
      </w:r>
    </w:p>
    <w:p>
      <w:pPr>
        <w:pStyle w:val="ListNumber"/>
        <w:spacing w:after="40"/>
      </w:pPr>
      <w:r>
        <w:rPr>
          <w:rFonts w:ascii="Arial" w:hAnsi="Arial" w:eastAsia="Arial"/>
          <w:sz w:val="18"/>
        </w:rPr>
        <w:t>Create quarterly strategy review: product upgrades, amenity ROI, and market expansion.</w:t>
      </w:r>
    </w:p>
    <w:p>
      <w:r>
        <w:br w:type="page"/>
      </w:r>
    </w:p>
    <w:p>
      <w:pPr>
        <w:pStyle w:val="Heading1"/>
      </w:pPr>
      <w:r>
        <w:t>21. Templates and Checklists</w:t>
      </w:r>
    </w:p>
    <w:p>
      <w:pPr>
        <w:pStyle w:val="Heading2"/>
      </w:pPr>
      <w:r>
        <w:t>21.1 Property pricing worksheet</w:t>
      </w:r>
    </w:p>
    <w:tbl>
      <w:tblPr>
        <w:tblStyle w:val="TableGrid"/>
        <w:tblW w:type="auto" w:w="0"/>
        <w:jc w:val="center"/>
        <w:tblLook w:firstColumn="1" w:firstRow="1" w:lastColumn="0" w:lastRow="0" w:noHBand="0" w:noVBand="1" w:val="04A0"/>
      </w:tblPr>
      <w:tblGrid>
        <w:gridCol w:w="5112"/>
        <w:gridCol w:w="5112"/>
      </w:tblGrid>
      <w:tr>
        <w:tc>
          <w:tcPr>
            <w:tcW w:type="dxa" w:w="4032"/>
            <w:shd w:fill="1F4E79"/>
            <w:vAlign w:val="center"/>
          </w:tcPr>
          <w:p>
            <w:pPr>
              <w:spacing w:after="0"/>
            </w:pPr>
            <w:r/>
            <w:r>
              <w:rPr>
                <w:rFonts w:ascii="Arial" w:hAnsi="Arial" w:eastAsia="Arial"/>
                <w:b/>
                <w:color w:val="FFFFFF"/>
                <w:sz w:val="16"/>
              </w:rPr>
              <w:t>Field</w:t>
            </w:r>
          </w:p>
        </w:tc>
        <w:tc>
          <w:tcPr>
            <w:tcW w:type="dxa" w:w="6480"/>
            <w:shd w:fill="1F4E79"/>
            <w:vAlign w:val="center"/>
          </w:tcPr>
          <w:p>
            <w:pPr>
              <w:spacing w:after="0"/>
            </w:pPr>
            <w:r/>
            <w:r>
              <w:rPr>
                <w:rFonts w:ascii="Arial" w:hAnsi="Arial" w:eastAsia="Arial"/>
                <w:b/>
                <w:color w:val="FFFFFF"/>
                <w:sz w:val="16"/>
              </w:rPr>
              <w:t>Input</w:t>
            </w:r>
          </w:p>
        </w:tc>
      </w:tr>
      <w:tr>
        <w:tc>
          <w:tcPr>
            <w:tcW w:type="dxa" w:w="4032"/>
            <w:vAlign w:val="top"/>
          </w:tcPr>
          <w:p>
            <w:pPr>
              <w:spacing w:after="0"/>
            </w:pPr>
            <w:r/>
            <w:r>
              <w:rPr>
                <w:rFonts w:ascii="Arial" w:hAnsi="Arial" w:eastAsia="Arial"/>
                <w:b w:val="0"/>
                <w:sz w:val="16"/>
              </w:rPr>
              <w:t>Listing name / ID</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Market / submarket</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Property type</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Bedrooms / bathrooms / beds / capacity</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Top amenities</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Regulation / permit status</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Primary guest segment</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True comp-set median total price: 2 nights</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True comp-set median total price: 3 nights</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True comp-set median total price: 7 nights</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Base rate</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Low-season floor</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Peak-season floor</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Event cap / manual review threshold</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Cleaning fee strategy</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Default min stay</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Cancellation policy</w:t>
            </w:r>
          </w:p>
        </w:tc>
        <w:tc>
          <w:tcPr>
            <w:tcW w:type="dxa" w:w="6480"/>
            <w:vAlign w:val="top"/>
          </w:tcPr>
          <w:p>
            <w:pPr>
              <w:spacing w:after="0"/>
            </w:pPr>
            <w:r/>
            <w:r>
              <w:rPr>
                <w:rFonts w:ascii="Arial" w:hAnsi="Arial" w:eastAsia="Arial"/>
                <w:b w:val="0"/>
                <w:sz w:val="16"/>
              </w:rPr>
            </w:r>
          </w:p>
        </w:tc>
      </w:tr>
      <w:tr>
        <w:tc>
          <w:tcPr>
            <w:tcW w:type="dxa" w:w="4032"/>
            <w:vAlign w:val="top"/>
          </w:tcPr>
          <w:p>
            <w:pPr>
              <w:spacing w:after="0"/>
            </w:pPr>
            <w:r/>
            <w:r>
              <w:rPr>
                <w:rFonts w:ascii="Arial" w:hAnsi="Arial" w:eastAsia="Arial"/>
                <w:b w:val="0"/>
                <w:sz w:val="16"/>
              </w:rPr>
              <w:t>Review score / key review issues</w:t>
            </w:r>
          </w:p>
        </w:tc>
        <w:tc>
          <w:tcPr>
            <w:tcW w:type="dxa" w:w="6480"/>
            <w:vAlign w:val="top"/>
          </w:tcPr>
          <w:p>
            <w:pPr>
              <w:spacing w:after="0"/>
            </w:pPr>
            <w:r/>
            <w:r>
              <w:rPr>
                <w:rFonts w:ascii="Arial" w:hAnsi="Arial" w:eastAsia="Arial"/>
                <w:b w:val="0"/>
                <w:sz w:val="16"/>
              </w:rPr>
            </w:r>
          </w:p>
        </w:tc>
      </w:tr>
    </w:tbl>
    <w:p>
      <w:pPr>
        <w:pStyle w:val="Small"/>
      </w:pPr>
    </w:p>
    <w:p>
      <w:pPr>
        <w:pStyle w:val="Heading2"/>
      </w:pPr>
      <w:r>
        <w:t>21.2 Event pricing worksheet</w:t>
      </w:r>
    </w:p>
    <w:tbl>
      <w:tblPr>
        <w:tblStyle w:val="TableGrid"/>
        <w:tblW w:type="auto" w:w="0"/>
        <w:jc w:val="center"/>
        <w:tblLook w:firstColumn="1" w:firstRow="1" w:lastColumn="0" w:lastRow="0" w:noHBand="0" w:noVBand="1" w:val="04A0"/>
      </w:tblPr>
      <w:tblGrid>
        <w:gridCol w:w="5112"/>
        <w:gridCol w:w="5112"/>
      </w:tblGrid>
      <w:tr>
        <w:tc>
          <w:tcPr>
            <w:tcW w:type="dxa" w:w="4320"/>
            <w:shd w:fill="1F4E79"/>
            <w:vAlign w:val="center"/>
          </w:tcPr>
          <w:p>
            <w:pPr>
              <w:spacing w:after="0"/>
            </w:pPr>
            <w:r/>
            <w:r>
              <w:rPr>
                <w:rFonts w:ascii="Arial" w:hAnsi="Arial" w:eastAsia="Arial"/>
                <w:b/>
                <w:color w:val="FFFFFF"/>
                <w:sz w:val="16"/>
              </w:rPr>
              <w:t>Question</w:t>
            </w:r>
          </w:p>
        </w:tc>
        <w:tc>
          <w:tcPr>
            <w:tcW w:type="dxa" w:w="6192"/>
            <w:shd w:fill="1F4E79"/>
            <w:vAlign w:val="center"/>
          </w:tcPr>
          <w:p>
            <w:pPr>
              <w:spacing w:after="0"/>
            </w:pPr>
            <w:r/>
            <w:r>
              <w:rPr>
                <w:rFonts w:ascii="Arial" w:hAnsi="Arial" w:eastAsia="Arial"/>
                <w:b/>
                <w:color w:val="FFFFFF"/>
                <w:sz w:val="16"/>
              </w:rPr>
              <w:t>Answer</w:t>
            </w:r>
          </w:p>
        </w:tc>
      </w:tr>
      <w:tr>
        <w:tc>
          <w:tcPr>
            <w:tcW w:type="dxa" w:w="4320"/>
            <w:vAlign w:val="top"/>
          </w:tcPr>
          <w:p>
            <w:pPr>
              <w:spacing w:after="0"/>
            </w:pPr>
            <w:r/>
            <w:r>
              <w:rPr>
                <w:rFonts w:ascii="Arial" w:hAnsi="Arial" w:eastAsia="Arial"/>
                <w:b w:val="0"/>
                <w:sz w:val="16"/>
              </w:rPr>
              <w:t>What is the event and exact date range?</w:t>
            </w:r>
          </w:p>
        </w:tc>
        <w:tc>
          <w:tcPr>
            <w:tcW w:type="dxa" w:w="6192"/>
            <w:vAlign w:val="top"/>
          </w:tcPr>
          <w:p>
            <w:pPr>
              <w:spacing w:after="0"/>
            </w:pPr>
            <w:r/>
            <w:r>
              <w:rPr>
                <w:rFonts w:ascii="Arial" w:hAnsi="Arial" w:eastAsia="Arial"/>
                <w:b w:val="0"/>
                <w:sz w:val="16"/>
              </w:rPr>
            </w:r>
          </w:p>
        </w:tc>
      </w:tr>
      <w:tr>
        <w:tc>
          <w:tcPr>
            <w:tcW w:type="dxa" w:w="4320"/>
            <w:vAlign w:val="top"/>
          </w:tcPr>
          <w:p>
            <w:pPr>
              <w:spacing w:after="0"/>
            </w:pPr>
            <w:r/>
            <w:r>
              <w:rPr>
                <w:rFonts w:ascii="Arial" w:hAnsi="Arial" w:eastAsia="Arial"/>
                <w:b w:val="0"/>
                <w:sz w:val="16"/>
              </w:rPr>
              <w:t>Expected visitor lodging demand?</w:t>
            </w:r>
          </w:p>
        </w:tc>
        <w:tc>
          <w:tcPr>
            <w:tcW w:type="dxa" w:w="6192"/>
            <w:vAlign w:val="top"/>
          </w:tcPr>
          <w:p>
            <w:pPr>
              <w:spacing w:after="0"/>
            </w:pPr>
            <w:r/>
            <w:r>
              <w:rPr>
                <w:rFonts w:ascii="Arial" w:hAnsi="Arial" w:eastAsia="Arial"/>
                <w:b w:val="0"/>
                <w:sz w:val="16"/>
              </w:rPr>
            </w:r>
          </w:p>
        </w:tc>
      </w:tr>
      <w:tr>
        <w:tc>
          <w:tcPr>
            <w:tcW w:type="dxa" w:w="4320"/>
            <w:vAlign w:val="top"/>
          </w:tcPr>
          <w:p>
            <w:pPr>
              <w:spacing w:after="0"/>
            </w:pPr>
            <w:r/>
            <w:r>
              <w:rPr>
                <w:rFonts w:ascii="Arial" w:hAnsi="Arial" w:eastAsia="Arial"/>
                <w:b w:val="0"/>
                <w:sz w:val="16"/>
              </w:rPr>
              <w:t>Relevant geographic radius?</w:t>
            </w:r>
          </w:p>
        </w:tc>
        <w:tc>
          <w:tcPr>
            <w:tcW w:type="dxa" w:w="6192"/>
            <w:vAlign w:val="top"/>
          </w:tcPr>
          <w:p>
            <w:pPr>
              <w:spacing w:after="0"/>
            </w:pPr>
            <w:r/>
            <w:r>
              <w:rPr>
                <w:rFonts w:ascii="Arial" w:hAnsi="Arial" w:eastAsia="Arial"/>
                <w:b w:val="0"/>
                <w:sz w:val="16"/>
              </w:rPr>
            </w:r>
          </w:p>
        </w:tc>
      </w:tr>
      <w:tr>
        <w:tc>
          <w:tcPr>
            <w:tcW w:type="dxa" w:w="4320"/>
            <w:vAlign w:val="top"/>
          </w:tcPr>
          <w:p>
            <w:pPr>
              <w:spacing w:after="0"/>
            </w:pPr>
            <w:r/>
            <w:r>
              <w:rPr>
                <w:rFonts w:ascii="Arial" w:hAnsi="Arial" w:eastAsia="Arial"/>
                <w:b w:val="0"/>
                <w:sz w:val="16"/>
              </w:rPr>
              <w:t>Hotel compression evidence?</w:t>
            </w:r>
          </w:p>
        </w:tc>
        <w:tc>
          <w:tcPr>
            <w:tcW w:type="dxa" w:w="6192"/>
            <w:vAlign w:val="top"/>
          </w:tcPr>
          <w:p>
            <w:pPr>
              <w:spacing w:after="0"/>
            </w:pPr>
            <w:r/>
            <w:r>
              <w:rPr>
                <w:rFonts w:ascii="Arial" w:hAnsi="Arial" w:eastAsia="Arial"/>
                <w:b w:val="0"/>
                <w:sz w:val="16"/>
              </w:rPr>
            </w:r>
          </w:p>
        </w:tc>
      </w:tr>
      <w:tr>
        <w:tc>
          <w:tcPr>
            <w:tcW w:type="dxa" w:w="4320"/>
            <w:vAlign w:val="top"/>
          </w:tcPr>
          <w:p>
            <w:pPr>
              <w:spacing w:after="0"/>
            </w:pPr>
            <w:r/>
            <w:r>
              <w:rPr>
                <w:rFonts w:ascii="Arial" w:hAnsi="Arial" w:eastAsia="Arial"/>
                <w:b w:val="0"/>
                <w:sz w:val="16"/>
              </w:rPr>
              <w:t>True Airbnb comp availability?</w:t>
            </w:r>
          </w:p>
        </w:tc>
        <w:tc>
          <w:tcPr>
            <w:tcW w:type="dxa" w:w="6192"/>
            <w:vAlign w:val="top"/>
          </w:tcPr>
          <w:p>
            <w:pPr>
              <w:spacing w:after="0"/>
            </w:pPr>
            <w:r/>
            <w:r>
              <w:rPr>
                <w:rFonts w:ascii="Arial" w:hAnsi="Arial" w:eastAsia="Arial"/>
                <w:b w:val="0"/>
                <w:sz w:val="16"/>
              </w:rPr>
            </w:r>
          </w:p>
        </w:tc>
      </w:tr>
      <w:tr>
        <w:tc>
          <w:tcPr>
            <w:tcW w:type="dxa" w:w="4320"/>
            <w:vAlign w:val="top"/>
          </w:tcPr>
          <w:p>
            <w:pPr>
              <w:spacing w:after="0"/>
            </w:pPr>
            <w:r/>
            <w:r>
              <w:rPr>
                <w:rFonts w:ascii="Arial" w:hAnsi="Arial" w:eastAsia="Arial"/>
                <w:b w:val="0"/>
                <w:sz w:val="16"/>
              </w:rPr>
              <w:t>Booked-rate evidence or only listing-price evidence?</w:t>
            </w:r>
          </w:p>
        </w:tc>
        <w:tc>
          <w:tcPr>
            <w:tcW w:type="dxa" w:w="6192"/>
            <w:vAlign w:val="top"/>
          </w:tcPr>
          <w:p>
            <w:pPr>
              <w:spacing w:after="0"/>
            </w:pPr>
            <w:r/>
            <w:r>
              <w:rPr>
                <w:rFonts w:ascii="Arial" w:hAnsi="Arial" w:eastAsia="Arial"/>
                <w:b w:val="0"/>
                <w:sz w:val="16"/>
              </w:rPr>
            </w:r>
          </w:p>
        </w:tc>
      </w:tr>
      <w:tr>
        <w:tc>
          <w:tcPr>
            <w:tcW w:type="dxa" w:w="4320"/>
            <w:vAlign w:val="top"/>
          </w:tcPr>
          <w:p>
            <w:pPr>
              <w:spacing w:after="0"/>
            </w:pPr>
            <w:r/>
            <w:r>
              <w:rPr>
                <w:rFonts w:ascii="Arial" w:hAnsi="Arial" w:eastAsia="Arial"/>
                <w:b w:val="0"/>
                <w:sz w:val="16"/>
              </w:rPr>
              <w:t>Recommended premium tier?</w:t>
            </w:r>
          </w:p>
        </w:tc>
        <w:tc>
          <w:tcPr>
            <w:tcW w:type="dxa" w:w="6192"/>
            <w:vAlign w:val="top"/>
          </w:tcPr>
          <w:p>
            <w:pPr>
              <w:spacing w:after="0"/>
            </w:pPr>
            <w:r/>
            <w:r>
              <w:rPr>
                <w:rFonts w:ascii="Arial" w:hAnsi="Arial" w:eastAsia="Arial"/>
                <w:b w:val="0"/>
                <w:sz w:val="16"/>
              </w:rPr>
            </w:r>
          </w:p>
        </w:tc>
      </w:tr>
      <w:tr>
        <w:tc>
          <w:tcPr>
            <w:tcW w:type="dxa" w:w="4320"/>
            <w:vAlign w:val="top"/>
          </w:tcPr>
          <w:p>
            <w:pPr>
              <w:spacing w:after="0"/>
            </w:pPr>
            <w:r/>
            <w:r>
              <w:rPr>
                <w:rFonts w:ascii="Arial" w:hAnsi="Arial" w:eastAsia="Arial"/>
                <w:b w:val="0"/>
                <w:sz w:val="16"/>
              </w:rPr>
              <w:t>Minimum stay rule?</w:t>
            </w:r>
          </w:p>
        </w:tc>
        <w:tc>
          <w:tcPr>
            <w:tcW w:type="dxa" w:w="6192"/>
            <w:vAlign w:val="top"/>
          </w:tcPr>
          <w:p>
            <w:pPr>
              <w:spacing w:after="0"/>
            </w:pPr>
            <w:r/>
            <w:r>
              <w:rPr>
                <w:rFonts w:ascii="Arial" w:hAnsi="Arial" w:eastAsia="Arial"/>
                <w:b w:val="0"/>
                <w:sz w:val="16"/>
              </w:rPr>
            </w:r>
          </w:p>
        </w:tc>
      </w:tr>
      <w:tr>
        <w:tc>
          <w:tcPr>
            <w:tcW w:type="dxa" w:w="4320"/>
            <w:vAlign w:val="top"/>
          </w:tcPr>
          <w:p>
            <w:pPr>
              <w:spacing w:after="0"/>
            </w:pPr>
            <w:r/>
            <w:r>
              <w:rPr>
                <w:rFonts w:ascii="Arial" w:hAnsi="Arial" w:eastAsia="Arial"/>
                <w:b w:val="0"/>
                <w:sz w:val="16"/>
              </w:rPr>
              <w:t>Cancellation policy / risk premium?</w:t>
            </w:r>
          </w:p>
        </w:tc>
        <w:tc>
          <w:tcPr>
            <w:tcW w:type="dxa" w:w="6192"/>
            <w:vAlign w:val="top"/>
          </w:tcPr>
          <w:p>
            <w:pPr>
              <w:spacing w:after="0"/>
            </w:pPr>
            <w:r/>
            <w:r>
              <w:rPr>
                <w:rFonts w:ascii="Arial" w:hAnsi="Arial" w:eastAsia="Arial"/>
                <w:b w:val="0"/>
                <w:sz w:val="16"/>
              </w:rPr>
            </w:r>
          </w:p>
        </w:tc>
      </w:tr>
      <w:tr>
        <w:tc>
          <w:tcPr>
            <w:tcW w:type="dxa" w:w="4320"/>
            <w:vAlign w:val="top"/>
          </w:tcPr>
          <w:p>
            <w:pPr>
              <w:spacing w:after="0"/>
            </w:pPr>
            <w:r/>
            <w:r>
              <w:rPr>
                <w:rFonts w:ascii="Arial" w:hAnsi="Arial" w:eastAsia="Arial"/>
                <w:b w:val="0"/>
                <w:sz w:val="16"/>
              </w:rPr>
              <w:t>Review date for next adjustment?</w:t>
            </w:r>
          </w:p>
        </w:tc>
        <w:tc>
          <w:tcPr>
            <w:tcW w:type="dxa" w:w="6192"/>
            <w:vAlign w:val="top"/>
          </w:tcPr>
          <w:p>
            <w:pPr>
              <w:spacing w:after="0"/>
            </w:pPr>
            <w:r/>
            <w:r>
              <w:rPr>
                <w:rFonts w:ascii="Arial" w:hAnsi="Arial" w:eastAsia="Arial"/>
                <w:b w:val="0"/>
                <w:sz w:val="16"/>
              </w:rPr>
            </w:r>
          </w:p>
        </w:tc>
      </w:tr>
    </w:tbl>
    <w:p>
      <w:pPr>
        <w:pStyle w:val="Small"/>
      </w:pPr>
    </w:p>
    <w:p>
      <w:pPr>
        <w:pStyle w:val="Heading2"/>
      </w:pPr>
      <w:r>
        <w:t>21.3 Weekly pricing checklist</w:t>
      </w:r>
    </w:p>
    <w:p>
      <w:pPr>
        <w:pStyle w:val="ListBullet"/>
        <w:spacing w:after="40"/>
      </w:pPr>
      <w:r>
        <w:rPr>
          <w:rFonts w:ascii="Arial" w:hAnsi="Arial" w:eastAsia="Arial"/>
          <w:sz w:val="18"/>
        </w:rPr>
        <w:t>Check open dates inside 14, 30, 60, and 120 days.</w:t>
      </w:r>
    </w:p>
    <w:p>
      <w:pPr>
        <w:pStyle w:val="ListBullet"/>
        <w:spacing w:after="40"/>
      </w:pPr>
      <w:r>
        <w:rPr>
          <w:rFonts w:ascii="Arial" w:hAnsi="Arial" w:eastAsia="Arial"/>
          <w:sz w:val="18"/>
        </w:rPr>
        <w:t>Review pace against benchmark, not raw occupancy alone.</w:t>
      </w:r>
    </w:p>
    <w:p>
      <w:pPr>
        <w:pStyle w:val="ListBullet"/>
        <w:spacing w:after="40"/>
      </w:pPr>
      <w:r>
        <w:rPr>
          <w:rFonts w:ascii="Arial" w:hAnsi="Arial" w:eastAsia="Arial"/>
          <w:sz w:val="18"/>
        </w:rPr>
        <w:t>Check total price against true comps for representative trip lengths.</w:t>
      </w:r>
    </w:p>
    <w:p>
      <w:pPr>
        <w:pStyle w:val="ListBullet"/>
        <w:spacing w:after="40"/>
      </w:pPr>
      <w:r>
        <w:rPr>
          <w:rFonts w:ascii="Arial" w:hAnsi="Arial" w:eastAsia="Arial"/>
          <w:sz w:val="18"/>
        </w:rPr>
        <w:t>Review minimum-stay blocks and orphan gaps.</w:t>
      </w:r>
    </w:p>
    <w:p>
      <w:pPr>
        <w:pStyle w:val="ListBullet"/>
        <w:spacing w:after="40"/>
      </w:pPr>
      <w:r>
        <w:rPr>
          <w:rFonts w:ascii="Arial" w:hAnsi="Arial" w:eastAsia="Arial"/>
          <w:sz w:val="18"/>
        </w:rPr>
        <w:t>Review event and holiday dates manually.</w:t>
      </w:r>
    </w:p>
    <w:p>
      <w:pPr>
        <w:pStyle w:val="ListBullet"/>
        <w:spacing w:after="40"/>
      </w:pPr>
      <w:r>
        <w:rPr>
          <w:rFonts w:ascii="Arial" w:hAnsi="Arial" w:eastAsia="Arial"/>
          <w:sz w:val="18"/>
        </w:rPr>
        <w:t>Audit cleaning fee and guest total for short stays.</w:t>
      </w:r>
    </w:p>
    <w:p>
      <w:pPr>
        <w:pStyle w:val="ListBullet"/>
        <w:spacing w:after="40"/>
      </w:pPr>
      <w:r>
        <w:rPr>
          <w:rFonts w:ascii="Arial" w:hAnsi="Arial" w:eastAsia="Arial"/>
          <w:sz w:val="18"/>
        </w:rPr>
        <w:t>Review cancellations and reprice based on current comp availability.</w:t>
      </w:r>
    </w:p>
    <w:p>
      <w:pPr>
        <w:pStyle w:val="ListBullet"/>
        <w:spacing w:after="40"/>
      </w:pPr>
      <w:r>
        <w:rPr>
          <w:rFonts w:ascii="Arial" w:hAnsi="Arial" w:eastAsia="Arial"/>
          <w:sz w:val="18"/>
        </w:rPr>
        <w:t>Adjust prices only after recording reason and expected outcome.</w:t>
      </w:r>
    </w:p>
    <w:p>
      <w:pPr>
        <w:pStyle w:val="ListBullet"/>
        <w:spacing w:after="40"/>
      </w:pPr>
      <w:r>
        <w:rPr>
          <w:rFonts w:ascii="Arial" w:hAnsi="Arial" w:eastAsia="Arial"/>
          <w:sz w:val="18"/>
        </w:rPr>
        <w:t>Update owner notes for material changes.</w:t>
      </w:r>
    </w:p>
    <w:p>
      <w:r>
        <w:br w:type="page"/>
      </w:r>
    </w:p>
    <w:p>
      <w:pPr>
        <w:pStyle w:val="Heading2"/>
      </w:pPr>
      <w:r>
        <w:t>21.4 Decision tree: hold, raise, discount, or relax restrictions</w:t>
      </w:r>
    </w:p>
    <w:tbl>
      <w:tblPr>
        <w:tblStyle w:val="TableGrid"/>
        <w:tblW w:type="auto" w:w="0"/>
        <w:jc w:val="center"/>
        <w:tblLook w:firstColumn="1" w:firstRow="1" w:lastColumn="0" w:lastRow="0" w:noHBand="0" w:noVBand="1" w:val="04A0"/>
      </w:tblPr>
      <w:tblGrid>
        <w:gridCol w:w="5112"/>
        <w:gridCol w:w="5112"/>
      </w:tblGrid>
      <w:tr>
        <w:tc>
          <w:tcPr>
            <w:tcW w:type="dxa" w:w="5184"/>
            <w:shd w:fill="1F4E79"/>
            <w:vAlign w:val="center"/>
          </w:tcPr>
          <w:p>
            <w:pPr>
              <w:spacing w:after="0"/>
            </w:pPr>
            <w:r/>
            <w:r>
              <w:rPr>
                <w:rFonts w:ascii="Arial" w:hAnsi="Arial" w:eastAsia="Arial"/>
                <w:b/>
                <w:color w:val="FFFFFF"/>
                <w:sz w:val="16"/>
              </w:rPr>
              <w:t>Condition</w:t>
            </w:r>
          </w:p>
        </w:tc>
        <w:tc>
          <w:tcPr>
            <w:tcW w:type="dxa" w:w="5328"/>
            <w:shd w:fill="1F4E79"/>
            <w:vAlign w:val="center"/>
          </w:tcPr>
          <w:p>
            <w:pPr>
              <w:spacing w:after="0"/>
            </w:pPr>
            <w:r/>
            <w:r>
              <w:rPr>
                <w:rFonts w:ascii="Arial" w:hAnsi="Arial" w:eastAsia="Arial"/>
                <w:b/>
                <w:color w:val="FFFFFF"/>
                <w:sz w:val="16"/>
              </w:rPr>
              <w:t>Primary action</w:t>
            </w:r>
          </w:p>
        </w:tc>
      </w:tr>
      <w:tr>
        <w:tc>
          <w:tcPr>
            <w:tcW w:type="dxa" w:w="5184"/>
            <w:vAlign w:val="top"/>
          </w:tcPr>
          <w:p>
            <w:pPr>
              <w:spacing w:after="0"/>
            </w:pPr>
            <w:r/>
            <w:r>
              <w:rPr>
                <w:rFonts w:ascii="Arial" w:hAnsi="Arial" w:eastAsia="Arial"/>
                <w:b w:val="0"/>
                <w:sz w:val="16"/>
              </w:rPr>
              <w:t>Ahead of pace and ADR is healthy</w:t>
            </w:r>
          </w:p>
        </w:tc>
        <w:tc>
          <w:tcPr>
            <w:tcW w:type="dxa" w:w="5328"/>
            <w:vAlign w:val="top"/>
          </w:tcPr>
          <w:p>
            <w:pPr>
              <w:spacing w:after="0"/>
            </w:pPr>
            <w:r/>
            <w:r>
              <w:rPr>
                <w:rFonts w:ascii="Arial" w:hAnsi="Arial" w:eastAsia="Arial"/>
                <w:b w:val="0"/>
                <w:sz w:val="16"/>
              </w:rPr>
              <w:t>Raise remaining comparable dates or hold premium.</w:t>
            </w:r>
          </w:p>
        </w:tc>
      </w:tr>
      <w:tr>
        <w:tc>
          <w:tcPr>
            <w:tcW w:type="dxa" w:w="5184"/>
            <w:vAlign w:val="top"/>
          </w:tcPr>
          <w:p>
            <w:pPr>
              <w:spacing w:after="0"/>
            </w:pPr>
            <w:r/>
            <w:r>
              <w:rPr>
                <w:rFonts w:ascii="Arial" w:hAnsi="Arial" w:eastAsia="Arial"/>
                <w:b w:val="0"/>
                <w:sz w:val="16"/>
              </w:rPr>
              <w:t>Ahead of pace but ADR below comp set</w:t>
            </w:r>
          </w:p>
        </w:tc>
        <w:tc>
          <w:tcPr>
            <w:tcW w:type="dxa" w:w="5328"/>
            <w:vAlign w:val="top"/>
          </w:tcPr>
          <w:p>
            <w:pPr>
              <w:spacing w:after="0"/>
            </w:pPr>
            <w:r/>
            <w:r>
              <w:rPr>
                <w:rFonts w:ascii="Arial" w:hAnsi="Arial" w:eastAsia="Arial"/>
                <w:b w:val="0"/>
                <w:sz w:val="16"/>
              </w:rPr>
              <w:t>Raise; likely underpriced.</w:t>
            </w:r>
          </w:p>
        </w:tc>
      </w:tr>
      <w:tr>
        <w:tc>
          <w:tcPr>
            <w:tcW w:type="dxa" w:w="5184"/>
            <w:vAlign w:val="top"/>
          </w:tcPr>
          <w:p>
            <w:pPr>
              <w:spacing w:after="0"/>
            </w:pPr>
            <w:r/>
            <w:r>
              <w:rPr>
                <w:rFonts w:ascii="Arial" w:hAnsi="Arial" w:eastAsia="Arial"/>
                <w:b w:val="0"/>
                <w:sz w:val="16"/>
              </w:rPr>
              <w:t>Behind pace but market books late</w:t>
            </w:r>
          </w:p>
        </w:tc>
        <w:tc>
          <w:tcPr>
            <w:tcW w:type="dxa" w:w="5328"/>
            <w:vAlign w:val="top"/>
          </w:tcPr>
          <w:p>
            <w:pPr>
              <w:spacing w:after="0"/>
            </w:pPr>
            <w:r/>
            <w:r>
              <w:rPr>
                <w:rFonts w:ascii="Arial" w:hAnsi="Arial" w:eastAsia="Arial"/>
                <w:b w:val="0"/>
                <w:sz w:val="16"/>
              </w:rPr>
              <w:t>Hold, monitor, and ensure availability is open.</w:t>
            </w:r>
          </w:p>
        </w:tc>
      </w:tr>
      <w:tr>
        <w:tc>
          <w:tcPr>
            <w:tcW w:type="dxa" w:w="5184"/>
            <w:vAlign w:val="top"/>
          </w:tcPr>
          <w:p>
            <w:pPr>
              <w:spacing w:after="0"/>
            </w:pPr>
            <w:r/>
            <w:r>
              <w:rPr>
                <w:rFonts w:ascii="Arial" w:hAnsi="Arial" w:eastAsia="Arial"/>
                <w:b w:val="0"/>
                <w:sz w:val="16"/>
              </w:rPr>
              <w:t>Behind pace and comps widely available</w:t>
            </w:r>
          </w:p>
        </w:tc>
        <w:tc>
          <w:tcPr>
            <w:tcW w:type="dxa" w:w="5328"/>
            <w:vAlign w:val="top"/>
          </w:tcPr>
          <w:p>
            <w:pPr>
              <w:spacing w:after="0"/>
            </w:pPr>
            <w:r/>
            <w:r>
              <w:rPr>
                <w:rFonts w:ascii="Arial" w:hAnsi="Arial" w:eastAsia="Arial"/>
                <w:b w:val="0"/>
                <w:sz w:val="16"/>
              </w:rPr>
              <w:t>Discount 5-15% and relax restrictions.</w:t>
            </w:r>
          </w:p>
        </w:tc>
      </w:tr>
      <w:tr>
        <w:tc>
          <w:tcPr>
            <w:tcW w:type="dxa" w:w="5184"/>
            <w:vAlign w:val="top"/>
          </w:tcPr>
          <w:p>
            <w:pPr>
              <w:spacing w:after="0"/>
            </w:pPr>
            <w:r/>
            <w:r>
              <w:rPr>
                <w:rFonts w:ascii="Arial" w:hAnsi="Arial" w:eastAsia="Arial"/>
                <w:b w:val="0"/>
                <w:sz w:val="16"/>
              </w:rPr>
              <w:t>High-demand date with many substitutes still open</w:t>
            </w:r>
          </w:p>
        </w:tc>
        <w:tc>
          <w:tcPr>
            <w:tcW w:type="dxa" w:w="5328"/>
            <w:vAlign w:val="top"/>
          </w:tcPr>
          <w:p>
            <w:pPr>
              <w:spacing w:after="0"/>
            </w:pPr>
            <w:r/>
            <w:r>
              <w:rPr>
                <w:rFonts w:ascii="Arial" w:hAnsi="Arial" w:eastAsia="Arial"/>
                <w:b w:val="0"/>
                <w:sz w:val="16"/>
              </w:rPr>
              <w:t>Reduce premium but protect floor.</w:t>
            </w:r>
          </w:p>
        </w:tc>
      </w:tr>
      <w:tr>
        <w:tc>
          <w:tcPr>
            <w:tcW w:type="dxa" w:w="5184"/>
            <w:vAlign w:val="top"/>
          </w:tcPr>
          <w:p>
            <w:pPr>
              <w:spacing w:after="0"/>
            </w:pPr>
            <w:r/>
            <w:r>
              <w:rPr>
                <w:rFonts w:ascii="Arial" w:hAnsi="Arial" w:eastAsia="Arial"/>
                <w:b w:val="0"/>
                <w:sz w:val="16"/>
              </w:rPr>
              <w:t>High-demand date with substitutes sold out</w:t>
            </w:r>
          </w:p>
        </w:tc>
        <w:tc>
          <w:tcPr>
            <w:tcW w:type="dxa" w:w="5328"/>
            <w:vAlign w:val="top"/>
          </w:tcPr>
          <w:p>
            <w:pPr>
              <w:spacing w:after="0"/>
            </w:pPr>
            <w:r/>
            <w:r>
              <w:rPr>
                <w:rFonts w:ascii="Arial" w:hAnsi="Arial" w:eastAsia="Arial"/>
                <w:b w:val="0"/>
                <w:sz w:val="16"/>
              </w:rPr>
              <w:t>Hold or raise; do not discount.</w:t>
            </w:r>
          </w:p>
        </w:tc>
      </w:tr>
      <w:tr>
        <w:tc>
          <w:tcPr>
            <w:tcW w:type="dxa" w:w="5184"/>
            <w:vAlign w:val="top"/>
          </w:tcPr>
          <w:p>
            <w:pPr>
              <w:spacing w:after="0"/>
            </w:pPr>
            <w:r/>
            <w:r>
              <w:rPr>
                <w:rFonts w:ascii="Arial" w:hAnsi="Arial" w:eastAsia="Arial"/>
                <w:b w:val="0"/>
                <w:sz w:val="16"/>
              </w:rPr>
              <w:t>Weak conversion despite inquiries</w:t>
            </w:r>
          </w:p>
        </w:tc>
        <w:tc>
          <w:tcPr>
            <w:tcW w:type="dxa" w:w="5328"/>
            <w:vAlign w:val="top"/>
          </w:tcPr>
          <w:p>
            <w:pPr>
              <w:spacing w:after="0"/>
            </w:pPr>
            <w:r/>
            <w:r>
              <w:rPr>
                <w:rFonts w:ascii="Arial" w:hAnsi="Arial" w:eastAsia="Arial"/>
                <w:b w:val="0"/>
                <w:sz w:val="16"/>
              </w:rPr>
              <w:t>Audit total price, fees, cancellation policy, and listing friction.</w:t>
            </w:r>
          </w:p>
        </w:tc>
      </w:tr>
      <w:tr>
        <w:tc>
          <w:tcPr>
            <w:tcW w:type="dxa" w:w="5184"/>
            <w:vAlign w:val="top"/>
          </w:tcPr>
          <w:p>
            <w:pPr>
              <w:spacing w:after="0"/>
            </w:pPr>
            <w:r/>
            <w:r>
              <w:rPr>
                <w:rFonts w:ascii="Arial" w:hAnsi="Arial" w:eastAsia="Arial"/>
                <w:b w:val="0"/>
                <w:sz w:val="16"/>
              </w:rPr>
              <w:t>No inquiries and high total price</w:t>
            </w:r>
          </w:p>
        </w:tc>
        <w:tc>
          <w:tcPr>
            <w:tcW w:type="dxa" w:w="5328"/>
            <w:vAlign w:val="top"/>
          </w:tcPr>
          <w:p>
            <w:pPr>
              <w:spacing w:after="0"/>
            </w:pPr>
            <w:r/>
            <w:r>
              <w:rPr>
                <w:rFonts w:ascii="Arial" w:hAnsi="Arial" w:eastAsia="Arial"/>
                <w:b w:val="0"/>
                <w:sz w:val="16"/>
              </w:rPr>
              <w:t>Reposition price and improve merchandising.</w:t>
            </w:r>
          </w:p>
        </w:tc>
      </w:tr>
    </w:tbl>
    <w:p>
      <w:pPr>
        <w:pStyle w:val="Small"/>
      </w:pPr>
    </w:p>
    <w:p>
      <w:r>
        <w:t>Use this decision tree as a governance control, not as a substitute for analysis. Before changing a rate, the revenue manager should validate the date against three reference points: true comp-set total price, booking pace versus expected pickup, and listing quality signals such as recent reviews and photo/content strength.</w:t>
      </w:r>
    </w:p>
    <w:p>
      <w:pPr>
        <w:pStyle w:val="ListBullet"/>
        <w:spacing w:after="40"/>
      </w:pPr>
      <w:r>
        <w:rPr>
          <w:rFonts w:ascii="Arial" w:hAnsi="Arial" w:eastAsia="Arial"/>
          <w:sz w:val="18"/>
        </w:rPr>
        <w:t>Document the reason for each material rate change, especially for event and holiday dates.</w:t>
      </w:r>
    </w:p>
    <w:p>
      <w:pPr>
        <w:pStyle w:val="ListBullet"/>
        <w:spacing w:after="40"/>
      </w:pPr>
      <w:r>
        <w:rPr>
          <w:rFonts w:ascii="Arial" w:hAnsi="Arial" w:eastAsia="Arial"/>
          <w:sz w:val="18"/>
        </w:rPr>
        <w:t>Separate price problems from merchandising problems; a listing with weak photos or restrictive rules may underperform even when the rate is competitive.</w:t>
      </w:r>
    </w:p>
    <w:p>
      <w:pPr>
        <w:pStyle w:val="ListBullet"/>
        <w:spacing w:after="40"/>
      </w:pPr>
      <w:r>
        <w:rPr>
          <w:rFonts w:ascii="Arial" w:hAnsi="Arial" w:eastAsia="Arial"/>
          <w:sz w:val="18"/>
        </w:rPr>
        <w:t>Do not relax minimum-stay restrictions until the revenue risk of vacant inventory exceeds the housekeeping and gap-night cost.</w:t>
      </w:r>
    </w:p>
    <w:p>
      <w:pPr>
        <w:pStyle w:val="ListBullet"/>
        <w:spacing w:after="40"/>
      </w:pPr>
      <w:r>
        <w:rPr>
          <w:rFonts w:ascii="Arial" w:hAnsi="Arial" w:eastAsia="Arial"/>
          <w:sz w:val="18"/>
        </w:rPr>
        <w:t>On high-compression dates, prioritize controlled availability and stay rules before applying large rate cuts.</w:t>
      </w:r>
    </w:p>
    <w:p>
      <w:r>
        <w:br w:type="page"/>
      </w:r>
    </w:p>
    <w:p>
      <w:pPr>
        <w:pStyle w:val="Heading1"/>
      </w:pPr>
      <w:r>
        <w:t>22. Source Matrix and Bibliography</w:t>
      </w:r>
    </w:p>
    <w:p>
      <w:pPr>
        <w:pStyle w:val="Heading2"/>
      </w:pPr>
      <w:r>
        <w:t>22.1 How to use the source matrix</w:t>
      </w:r>
    </w:p>
    <w:p>
      <w:r>
        <w:t>The manual uses bracketed source codes. Academic sources support the conceptual model: price determinants, dynamic pricing, reviews, value-for-money, host professionalization, and cancellation effects. Platform sources establish Airbnb-specific rules and tools. Industry sources provide US-market context and operational trends. News/regulatory sources provide current examples, legal context, and event-demand caution.</w:t>
      </w:r>
    </w:p>
    <w:tbl>
      <w:tblPr>
        <w:tblStyle w:val="TableGrid"/>
        <w:tblW w:type="auto" w:w="0"/>
        <w:jc w:val="center"/>
        <w:tblLook w:firstColumn="1" w:firstRow="1" w:lastColumn="0" w:lastRow="0" w:noHBand="0" w:noVBand="1" w:val="04A0"/>
      </w:tblPr>
      <w:tblGrid>
        <w:gridCol w:w="3408"/>
        <w:gridCol w:w="3408"/>
        <w:gridCol w:w="3408"/>
      </w:tblGrid>
      <w:tr>
        <w:tc>
          <w:tcPr>
            <w:tcW w:type="dxa" w:w="792"/>
            <w:shd w:fill="1F4E79"/>
            <w:vAlign w:val="center"/>
          </w:tcPr>
          <w:p>
            <w:pPr>
              <w:spacing w:after="0"/>
            </w:pPr>
            <w:r/>
            <w:r>
              <w:rPr>
                <w:rFonts w:ascii="Arial" w:hAnsi="Arial" w:eastAsia="Arial"/>
                <w:b/>
                <w:color w:val="FFFFFF"/>
                <w:sz w:val="13"/>
              </w:rPr>
              <w:t>Code</w:t>
            </w:r>
          </w:p>
        </w:tc>
        <w:tc>
          <w:tcPr>
            <w:tcW w:type="dxa" w:w="7416"/>
            <w:shd w:fill="1F4E79"/>
            <w:vAlign w:val="center"/>
          </w:tcPr>
          <w:p>
            <w:pPr>
              <w:spacing w:after="0"/>
            </w:pPr>
            <w:r/>
            <w:r>
              <w:rPr>
                <w:rFonts w:ascii="Arial" w:hAnsi="Arial" w:eastAsia="Arial"/>
                <w:b/>
                <w:color w:val="FFFFFF"/>
                <w:sz w:val="13"/>
              </w:rPr>
              <w:t>Source</w:t>
            </w:r>
          </w:p>
        </w:tc>
        <w:tc>
          <w:tcPr>
            <w:tcW w:type="dxa" w:w="2376"/>
            <w:shd w:fill="1F4E79"/>
            <w:vAlign w:val="center"/>
          </w:tcPr>
          <w:p>
            <w:pPr>
              <w:spacing w:after="0"/>
            </w:pPr>
            <w:r/>
            <w:r>
              <w:rPr>
                <w:rFonts w:ascii="Arial" w:hAnsi="Arial" w:eastAsia="Arial"/>
                <w:b/>
                <w:color w:val="FFFFFF"/>
                <w:sz w:val="13"/>
              </w:rPr>
              <w:t>URL</w:t>
            </w:r>
          </w:p>
        </w:tc>
      </w:tr>
      <w:tr>
        <w:tc>
          <w:tcPr>
            <w:tcW w:type="dxa" w:w="792"/>
            <w:vAlign w:val="top"/>
          </w:tcPr>
          <w:p>
            <w:pPr>
              <w:spacing w:after="0"/>
            </w:pPr>
            <w:r/>
            <w:r>
              <w:rPr>
                <w:rFonts w:ascii="Arial" w:hAnsi="Arial" w:eastAsia="Arial"/>
                <w:b w:val="0"/>
                <w:sz w:val="13"/>
              </w:rPr>
              <w:t>A1</w:t>
            </w:r>
          </w:p>
        </w:tc>
        <w:tc>
          <w:tcPr>
            <w:tcW w:type="dxa" w:w="7416"/>
            <w:vAlign w:val="top"/>
          </w:tcPr>
          <w:p>
            <w:pPr>
              <w:spacing w:after="0"/>
            </w:pPr>
            <w:r/>
            <w:r>
              <w:rPr>
                <w:rFonts w:ascii="Arial" w:hAnsi="Arial" w:eastAsia="Arial"/>
                <w:b w:val="0"/>
                <w:sz w:val="13"/>
              </w:rPr>
              <w:t>Wang &amp; Nicolau, 'Price determinants of sharing economy based accommodation rental: A study of listings from 33 cities on Airbnb.com,' International Journal of Hospitality Management, 2017.</w:t>
            </w:r>
          </w:p>
        </w:tc>
        <w:tc>
          <w:tcPr>
            <w:tcW w:type="dxa" w:w="2376"/>
            <w:vAlign w:val="top"/>
          </w:tcPr>
          <w:p>
            <w:pPr>
              <w:spacing w:after="0"/>
            </w:pPr>
            <w:r/>
            <w:r>
              <w:rPr>
                <w:rFonts w:ascii="Arial" w:hAnsi="Arial" w:eastAsia="Arial"/>
                <w:b w:val="0"/>
                <w:sz w:val="13"/>
              </w:rPr>
              <w:t>https://www.sciencedirect.com/science/article/abs/pii/S0278431916305618</w:t>
            </w:r>
          </w:p>
        </w:tc>
      </w:tr>
      <w:tr>
        <w:tc>
          <w:tcPr>
            <w:tcW w:type="dxa" w:w="792"/>
            <w:vAlign w:val="top"/>
          </w:tcPr>
          <w:p>
            <w:pPr>
              <w:spacing w:after="0"/>
            </w:pPr>
            <w:r/>
            <w:r>
              <w:rPr>
                <w:rFonts w:ascii="Arial" w:hAnsi="Arial" w:eastAsia="Arial"/>
                <w:b w:val="0"/>
                <w:sz w:val="13"/>
              </w:rPr>
              <w:t>A2</w:t>
            </w:r>
          </w:p>
        </w:tc>
        <w:tc>
          <w:tcPr>
            <w:tcW w:type="dxa" w:w="7416"/>
            <w:vAlign w:val="top"/>
          </w:tcPr>
          <w:p>
            <w:pPr>
              <w:spacing w:after="0"/>
            </w:pPr>
            <w:r/>
            <w:r>
              <w:rPr>
                <w:rFonts w:ascii="Arial" w:hAnsi="Arial" w:eastAsia="Arial"/>
                <w:b w:val="0"/>
                <w:sz w:val="13"/>
              </w:rPr>
              <w:t>Kwok &amp; Xie, 'Pricing strategies on Airbnb: Are multi-unit hosts revenue pros?', International Journal of Hospitality Management, 2019.</w:t>
            </w:r>
          </w:p>
        </w:tc>
        <w:tc>
          <w:tcPr>
            <w:tcW w:type="dxa" w:w="2376"/>
            <w:vAlign w:val="top"/>
          </w:tcPr>
          <w:p>
            <w:pPr>
              <w:spacing w:after="0"/>
            </w:pPr>
            <w:r/>
            <w:r>
              <w:rPr>
                <w:rFonts w:ascii="Arial" w:hAnsi="Arial" w:eastAsia="Arial"/>
                <w:b w:val="0"/>
                <w:sz w:val="13"/>
              </w:rPr>
              <w:t>https://www.sciencedirect.com/science/article/abs/pii/S0278431918303748</w:t>
            </w:r>
          </w:p>
        </w:tc>
      </w:tr>
      <w:tr>
        <w:tc>
          <w:tcPr>
            <w:tcW w:type="dxa" w:w="792"/>
            <w:vAlign w:val="top"/>
          </w:tcPr>
          <w:p>
            <w:pPr>
              <w:spacing w:after="0"/>
            </w:pPr>
            <w:r/>
            <w:r>
              <w:rPr>
                <w:rFonts w:ascii="Arial" w:hAnsi="Arial" w:eastAsia="Arial"/>
                <w:b w:val="0"/>
                <w:sz w:val="13"/>
              </w:rPr>
              <w:t>A3</w:t>
            </w:r>
          </w:p>
        </w:tc>
        <w:tc>
          <w:tcPr>
            <w:tcW w:type="dxa" w:w="7416"/>
            <w:vAlign w:val="top"/>
          </w:tcPr>
          <w:p>
            <w:pPr>
              <w:spacing w:after="0"/>
            </w:pPr>
            <w:r/>
            <w:r>
              <w:rPr>
                <w:rFonts w:ascii="Arial" w:hAnsi="Arial" w:eastAsia="Arial"/>
                <w:b w:val="0"/>
                <w:sz w:val="13"/>
              </w:rPr>
              <w:t>Leoni, 'Dynamic pricing and revenues of Airbnb listings: Estimating heterogeneous causal effects,' International Journal of Hospitality Management, 2021.</w:t>
            </w:r>
          </w:p>
        </w:tc>
        <w:tc>
          <w:tcPr>
            <w:tcW w:type="dxa" w:w="2376"/>
            <w:vAlign w:val="top"/>
          </w:tcPr>
          <w:p>
            <w:pPr>
              <w:spacing w:after="0"/>
            </w:pPr>
            <w:r/>
            <w:r>
              <w:rPr>
                <w:rFonts w:ascii="Arial" w:hAnsi="Arial" w:eastAsia="Arial"/>
                <w:b w:val="0"/>
                <w:sz w:val="13"/>
              </w:rPr>
              <w:t>https://www.sciencedirect.com/science/article/abs/pii/S0278431921000578</w:t>
            </w:r>
          </w:p>
        </w:tc>
      </w:tr>
      <w:tr>
        <w:tc>
          <w:tcPr>
            <w:tcW w:type="dxa" w:w="792"/>
            <w:vAlign w:val="top"/>
          </w:tcPr>
          <w:p>
            <w:pPr>
              <w:spacing w:after="0"/>
            </w:pPr>
            <w:r/>
            <w:r>
              <w:rPr>
                <w:rFonts w:ascii="Arial" w:hAnsi="Arial" w:eastAsia="Arial"/>
                <w:b w:val="0"/>
                <w:sz w:val="13"/>
              </w:rPr>
              <w:t>A4</w:t>
            </w:r>
          </w:p>
        </w:tc>
        <w:tc>
          <w:tcPr>
            <w:tcW w:type="dxa" w:w="7416"/>
            <w:vAlign w:val="top"/>
          </w:tcPr>
          <w:p>
            <w:pPr>
              <w:spacing w:after="0"/>
            </w:pPr>
            <w:r/>
            <w:r>
              <w:rPr>
                <w:rFonts w:ascii="Arial" w:hAnsi="Arial" w:eastAsia="Arial"/>
                <w:b w:val="0"/>
                <w:sz w:val="13"/>
              </w:rPr>
              <w:t>Lin et al., 'The price of short-term housing: A study of Airbnb on 26 regions in the United States,' Journal of Housing Economics, 2024.</w:t>
            </w:r>
          </w:p>
        </w:tc>
        <w:tc>
          <w:tcPr>
            <w:tcW w:type="dxa" w:w="2376"/>
            <w:vAlign w:val="top"/>
          </w:tcPr>
          <w:p>
            <w:pPr>
              <w:spacing w:after="0"/>
            </w:pPr>
            <w:r/>
            <w:r>
              <w:rPr>
                <w:rFonts w:ascii="Arial" w:hAnsi="Arial" w:eastAsia="Arial"/>
                <w:b w:val="0"/>
                <w:sz w:val="13"/>
              </w:rPr>
              <w:t>https://www.sciencedirect.com/science/article/abs/pii/S105113772400024X</w:t>
            </w:r>
          </w:p>
        </w:tc>
      </w:tr>
      <w:tr>
        <w:tc>
          <w:tcPr>
            <w:tcW w:type="dxa" w:w="792"/>
            <w:vAlign w:val="top"/>
          </w:tcPr>
          <w:p>
            <w:pPr>
              <w:spacing w:after="0"/>
            </w:pPr>
            <w:r/>
            <w:r>
              <w:rPr>
                <w:rFonts w:ascii="Arial" w:hAnsi="Arial" w:eastAsia="Arial"/>
                <w:b w:val="0"/>
                <w:sz w:val="13"/>
              </w:rPr>
              <w:t>A5</w:t>
            </w:r>
          </w:p>
        </w:tc>
        <w:tc>
          <w:tcPr>
            <w:tcW w:type="dxa" w:w="7416"/>
            <w:vAlign w:val="top"/>
          </w:tcPr>
          <w:p>
            <w:pPr>
              <w:spacing w:after="0"/>
            </w:pPr>
            <w:r/>
            <w:r>
              <w:rPr>
                <w:rFonts w:ascii="Arial" w:hAnsi="Arial" w:eastAsia="Arial"/>
                <w:b w:val="0"/>
                <w:sz w:val="13"/>
              </w:rPr>
              <w:t>Carnehl et al., 'Value for Money and Selection: How Pricing Affects Airbnb Ratings,' 2025 working paper.</w:t>
            </w:r>
          </w:p>
        </w:tc>
        <w:tc>
          <w:tcPr>
            <w:tcW w:type="dxa" w:w="2376"/>
            <w:vAlign w:val="top"/>
          </w:tcPr>
          <w:p>
            <w:pPr>
              <w:spacing w:after="0"/>
            </w:pPr>
            <w:r/>
            <w:r>
              <w:rPr>
                <w:rFonts w:ascii="Arial" w:hAnsi="Arial" w:eastAsia="Arial"/>
                <w:b w:val="0"/>
                <w:sz w:val="13"/>
              </w:rPr>
              <w:t>https://carnehl.github.io/VfMS.pdf</w:t>
            </w:r>
          </w:p>
        </w:tc>
      </w:tr>
      <w:tr>
        <w:tc>
          <w:tcPr>
            <w:tcW w:type="dxa" w:w="792"/>
            <w:vAlign w:val="top"/>
          </w:tcPr>
          <w:p>
            <w:pPr>
              <w:spacing w:after="0"/>
            </w:pPr>
            <w:r/>
            <w:r>
              <w:rPr>
                <w:rFonts w:ascii="Arial" w:hAnsi="Arial" w:eastAsia="Arial"/>
                <w:b w:val="0"/>
                <w:sz w:val="13"/>
              </w:rPr>
              <w:t>A6</w:t>
            </w:r>
          </w:p>
        </w:tc>
        <w:tc>
          <w:tcPr>
            <w:tcW w:type="dxa" w:w="7416"/>
            <w:vAlign w:val="top"/>
          </w:tcPr>
          <w:p>
            <w:pPr>
              <w:spacing w:after="0"/>
            </w:pPr>
            <w:r/>
            <w:r>
              <w:rPr>
                <w:rFonts w:ascii="Arial" w:hAnsi="Arial" w:eastAsia="Arial"/>
                <w:b w:val="0"/>
                <w:sz w:val="13"/>
              </w:rPr>
              <w:t>Jia, Jin &amp; Wagman, 'Platform as a Rule-Maker: Evidence from Airbnb's Cancellation Policies,' NBER Working Paper 28878, 2021 revised 2022.</w:t>
            </w:r>
          </w:p>
        </w:tc>
        <w:tc>
          <w:tcPr>
            <w:tcW w:type="dxa" w:w="2376"/>
            <w:vAlign w:val="top"/>
          </w:tcPr>
          <w:p>
            <w:pPr>
              <w:spacing w:after="0"/>
            </w:pPr>
            <w:r/>
            <w:r>
              <w:rPr>
                <w:rFonts w:ascii="Arial" w:hAnsi="Arial" w:eastAsia="Arial"/>
                <w:b w:val="0"/>
                <w:sz w:val="13"/>
              </w:rPr>
              <w:t>https://www.nber.org/system/files/working_papers/w28878/w28878.pdf</w:t>
            </w:r>
          </w:p>
        </w:tc>
      </w:tr>
      <w:tr>
        <w:tc>
          <w:tcPr>
            <w:tcW w:type="dxa" w:w="792"/>
            <w:vAlign w:val="top"/>
          </w:tcPr>
          <w:p>
            <w:pPr>
              <w:spacing w:after="0"/>
            </w:pPr>
            <w:r/>
            <w:r>
              <w:rPr>
                <w:rFonts w:ascii="Arial" w:hAnsi="Arial" w:eastAsia="Arial"/>
                <w:b w:val="0"/>
                <w:sz w:val="13"/>
              </w:rPr>
              <w:t>A7</w:t>
            </w:r>
          </w:p>
        </w:tc>
        <w:tc>
          <w:tcPr>
            <w:tcW w:type="dxa" w:w="7416"/>
            <w:vAlign w:val="top"/>
          </w:tcPr>
          <w:p>
            <w:pPr>
              <w:spacing w:after="0"/>
            </w:pPr>
            <w:r/>
            <w:r>
              <w:rPr>
                <w:rFonts w:ascii="Arial" w:hAnsi="Arial" w:eastAsia="Arial"/>
                <w:b w:val="0"/>
                <w:sz w:val="13"/>
              </w:rPr>
              <w:t>Abrate, Sainaghi &amp; Mauri, 'Dynamic pricing in Airbnb: Individual versus professional hosts,' Journal of Business Research, 2022.</w:t>
            </w:r>
          </w:p>
        </w:tc>
        <w:tc>
          <w:tcPr>
            <w:tcW w:type="dxa" w:w="2376"/>
            <w:vAlign w:val="top"/>
          </w:tcPr>
          <w:p>
            <w:pPr>
              <w:spacing w:after="0"/>
            </w:pPr>
            <w:r/>
            <w:r>
              <w:rPr>
                <w:rFonts w:ascii="Arial" w:hAnsi="Arial" w:eastAsia="Arial"/>
                <w:b w:val="0"/>
                <w:sz w:val="13"/>
              </w:rPr>
              <w:t>https://www.sciencedirect.com/science/article/abs/pii/S0148296321009267</w:t>
            </w:r>
          </w:p>
        </w:tc>
      </w:tr>
      <w:tr>
        <w:tc>
          <w:tcPr>
            <w:tcW w:type="dxa" w:w="792"/>
            <w:vAlign w:val="top"/>
          </w:tcPr>
          <w:p>
            <w:pPr>
              <w:spacing w:after="0"/>
            </w:pPr>
            <w:r/>
            <w:r>
              <w:rPr>
                <w:rFonts w:ascii="Arial" w:hAnsi="Arial" w:eastAsia="Arial"/>
                <w:b w:val="0"/>
                <w:sz w:val="13"/>
              </w:rPr>
              <w:t>P1</w:t>
            </w:r>
          </w:p>
        </w:tc>
        <w:tc>
          <w:tcPr>
            <w:tcW w:type="dxa" w:w="7416"/>
            <w:vAlign w:val="top"/>
          </w:tcPr>
          <w:p>
            <w:pPr>
              <w:spacing w:after="0"/>
            </w:pPr>
            <w:r/>
            <w:r>
              <w:rPr>
                <w:rFonts w:ascii="Arial" w:hAnsi="Arial" w:eastAsia="Arial"/>
                <w:b w:val="0"/>
                <w:sz w:val="13"/>
              </w:rPr>
              <w:t>Airbnb Help Center, 'Use Smart Pricing to automatically adjust your prices based on demand.'</w:t>
            </w:r>
          </w:p>
        </w:tc>
        <w:tc>
          <w:tcPr>
            <w:tcW w:type="dxa" w:w="2376"/>
            <w:vAlign w:val="top"/>
          </w:tcPr>
          <w:p>
            <w:pPr>
              <w:spacing w:after="0"/>
            </w:pPr>
            <w:r/>
            <w:r>
              <w:rPr>
                <w:rFonts w:ascii="Arial" w:hAnsi="Arial" w:eastAsia="Arial"/>
                <w:b w:val="0"/>
                <w:sz w:val="13"/>
              </w:rPr>
              <w:t>https://www.airbnb.com/help/article/1168</w:t>
            </w:r>
          </w:p>
        </w:tc>
      </w:tr>
      <w:tr>
        <w:tc>
          <w:tcPr>
            <w:tcW w:type="dxa" w:w="792"/>
            <w:vAlign w:val="top"/>
          </w:tcPr>
          <w:p>
            <w:pPr>
              <w:spacing w:after="0"/>
            </w:pPr>
            <w:r/>
            <w:r>
              <w:rPr>
                <w:rFonts w:ascii="Arial" w:hAnsi="Arial" w:eastAsia="Arial"/>
                <w:b w:val="0"/>
                <w:sz w:val="13"/>
              </w:rPr>
              <w:t>P2</w:t>
            </w:r>
          </w:p>
        </w:tc>
        <w:tc>
          <w:tcPr>
            <w:tcW w:type="dxa" w:w="7416"/>
            <w:vAlign w:val="top"/>
          </w:tcPr>
          <w:p>
            <w:pPr>
              <w:spacing w:after="0"/>
            </w:pPr>
            <w:r/>
            <w:r>
              <w:rPr>
                <w:rFonts w:ascii="Arial" w:hAnsi="Arial" w:eastAsia="Arial"/>
                <w:b w:val="0"/>
                <w:sz w:val="13"/>
              </w:rPr>
              <w:t>Airbnb Help Center, 'How rule-sets work.'</w:t>
            </w:r>
          </w:p>
        </w:tc>
        <w:tc>
          <w:tcPr>
            <w:tcW w:type="dxa" w:w="2376"/>
            <w:vAlign w:val="top"/>
          </w:tcPr>
          <w:p>
            <w:pPr>
              <w:spacing w:after="0"/>
            </w:pPr>
            <w:r/>
            <w:r>
              <w:rPr>
                <w:rFonts w:ascii="Arial" w:hAnsi="Arial" w:eastAsia="Arial"/>
                <w:b w:val="0"/>
                <w:sz w:val="13"/>
              </w:rPr>
              <w:t>https://www.airbnb.com/help/article/2061</w:t>
            </w:r>
          </w:p>
        </w:tc>
      </w:tr>
      <w:tr>
        <w:tc>
          <w:tcPr>
            <w:tcW w:type="dxa" w:w="792"/>
            <w:vAlign w:val="top"/>
          </w:tcPr>
          <w:p>
            <w:pPr>
              <w:spacing w:after="0"/>
            </w:pPr>
            <w:r/>
            <w:r>
              <w:rPr>
                <w:rFonts w:ascii="Arial" w:hAnsi="Arial" w:eastAsia="Arial"/>
                <w:b w:val="0"/>
                <w:sz w:val="13"/>
              </w:rPr>
              <w:t>P3</w:t>
            </w:r>
          </w:p>
        </w:tc>
        <w:tc>
          <w:tcPr>
            <w:tcW w:type="dxa" w:w="7416"/>
            <w:vAlign w:val="top"/>
          </w:tcPr>
          <w:p>
            <w:pPr>
              <w:spacing w:after="0"/>
            </w:pPr>
            <w:r/>
            <w:r>
              <w:rPr>
                <w:rFonts w:ascii="Arial" w:hAnsi="Arial" w:eastAsia="Arial"/>
                <w:b w:val="0"/>
                <w:sz w:val="13"/>
              </w:rPr>
              <w:t>Airbnb Newsroom, 'Total price display is now standard for guests worldwide,' April 21, 2025.</w:t>
            </w:r>
          </w:p>
        </w:tc>
        <w:tc>
          <w:tcPr>
            <w:tcW w:type="dxa" w:w="2376"/>
            <w:vAlign w:val="top"/>
          </w:tcPr>
          <w:p>
            <w:pPr>
              <w:spacing w:after="0"/>
            </w:pPr>
            <w:r/>
            <w:r>
              <w:rPr>
                <w:rFonts w:ascii="Arial" w:hAnsi="Arial" w:eastAsia="Arial"/>
                <w:b w:val="0"/>
                <w:sz w:val="13"/>
              </w:rPr>
              <w:t>https://news.airbnb.com/total-price-display-is-now-standard-globally/</w:t>
            </w:r>
          </w:p>
        </w:tc>
      </w:tr>
      <w:tr>
        <w:tc>
          <w:tcPr>
            <w:tcW w:type="dxa" w:w="792"/>
            <w:vAlign w:val="top"/>
          </w:tcPr>
          <w:p>
            <w:pPr>
              <w:spacing w:after="0"/>
            </w:pPr>
            <w:r/>
            <w:r>
              <w:rPr>
                <w:rFonts w:ascii="Arial" w:hAnsi="Arial" w:eastAsia="Arial"/>
                <w:b w:val="0"/>
                <w:sz w:val="13"/>
              </w:rPr>
              <w:t>P4</w:t>
            </w:r>
          </w:p>
        </w:tc>
        <w:tc>
          <w:tcPr>
            <w:tcW w:type="dxa" w:w="7416"/>
            <w:vAlign w:val="top"/>
          </w:tcPr>
          <w:p>
            <w:pPr>
              <w:spacing w:after="0"/>
            </w:pPr>
            <w:r/>
            <w:r>
              <w:rPr>
                <w:rFonts w:ascii="Arial" w:hAnsi="Arial" w:eastAsia="Arial"/>
                <w:b w:val="0"/>
                <w:sz w:val="13"/>
              </w:rPr>
              <w:t>Airbnb Help Center, 'Pricing display in the United States.'</w:t>
            </w:r>
          </w:p>
        </w:tc>
        <w:tc>
          <w:tcPr>
            <w:tcW w:type="dxa" w:w="2376"/>
            <w:vAlign w:val="top"/>
          </w:tcPr>
          <w:p>
            <w:pPr>
              <w:spacing w:after="0"/>
            </w:pPr>
            <w:r/>
            <w:r>
              <w:rPr>
                <w:rFonts w:ascii="Arial" w:hAnsi="Arial" w:eastAsia="Arial"/>
                <w:b w:val="0"/>
                <w:sz w:val="13"/>
              </w:rPr>
              <w:t>https://www.airbnb.com/help/article/3610</w:t>
            </w:r>
          </w:p>
        </w:tc>
      </w:tr>
      <w:tr>
        <w:tc>
          <w:tcPr>
            <w:tcW w:type="dxa" w:w="792"/>
            <w:vAlign w:val="top"/>
          </w:tcPr>
          <w:p>
            <w:pPr>
              <w:spacing w:after="0"/>
            </w:pPr>
            <w:r/>
            <w:r>
              <w:rPr>
                <w:rFonts w:ascii="Arial" w:hAnsi="Arial" w:eastAsia="Arial"/>
                <w:b w:val="0"/>
                <w:sz w:val="13"/>
              </w:rPr>
              <w:t>P5</w:t>
            </w:r>
          </w:p>
        </w:tc>
        <w:tc>
          <w:tcPr>
            <w:tcW w:type="dxa" w:w="7416"/>
            <w:vAlign w:val="top"/>
          </w:tcPr>
          <w:p>
            <w:pPr>
              <w:spacing w:after="0"/>
            </w:pPr>
            <w:r/>
            <w:r>
              <w:rPr>
                <w:rFonts w:ascii="Arial" w:hAnsi="Arial" w:eastAsia="Arial"/>
                <w:b w:val="0"/>
                <w:sz w:val="13"/>
              </w:rPr>
              <w:t>Airbnb Resource Center, 'Simplifying Airbnb service fees,' April 10, 2026.</w:t>
            </w:r>
          </w:p>
        </w:tc>
        <w:tc>
          <w:tcPr>
            <w:tcW w:type="dxa" w:w="2376"/>
            <w:vAlign w:val="top"/>
          </w:tcPr>
          <w:p>
            <w:pPr>
              <w:spacing w:after="0"/>
            </w:pPr>
            <w:r/>
            <w:r>
              <w:rPr>
                <w:rFonts w:ascii="Arial" w:hAnsi="Arial" w:eastAsia="Arial"/>
                <w:b w:val="0"/>
                <w:sz w:val="13"/>
              </w:rPr>
              <w:t>https://www.airbnb.com/resources/hosting-homes/a/simplifying-airbnb-service-fees-746</w:t>
            </w:r>
          </w:p>
        </w:tc>
      </w:tr>
      <w:tr>
        <w:tc>
          <w:tcPr>
            <w:tcW w:type="dxa" w:w="792"/>
            <w:vAlign w:val="top"/>
          </w:tcPr>
          <w:p>
            <w:pPr>
              <w:spacing w:after="0"/>
            </w:pPr>
            <w:r/>
            <w:r>
              <w:rPr>
                <w:rFonts w:ascii="Arial" w:hAnsi="Arial" w:eastAsia="Arial"/>
                <w:b w:val="0"/>
                <w:sz w:val="13"/>
              </w:rPr>
              <w:t>P6</w:t>
            </w:r>
          </w:p>
        </w:tc>
        <w:tc>
          <w:tcPr>
            <w:tcW w:type="dxa" w:w="7416"/>
            <w:vAlign w:val="top"/>
          </w:tcPr>
          <w:p>
            <w:pPr>
              <w:spacing w:after="0"/>
            </w:pPr>
            <w:r/>
            <w:r>
              <w:rPr>
                <w:rFonts w:ascii="Arial" w:hAnsi="Arial" w:eastAsia="Arial"/>
                <w:b w:val="0"/>
                <w:sz w:val="13"/>
              </w:rPr>
              <w:t>Airbnb Resource Center, 'Everything you need to know about cleaning fees,' March 31, 2026.</w:t>
            </w:r>
          </w:p>
        </w:tc>
        <w:tc>
          <w:tcPr>
            <w:tcW w:type="dxa" w:w="2376"/>
            <w:vAlign w:val="top"/>
          </w:tcPr>
          <w:p>
            <w:pPr>
              <w:spacing w:after="0"/>
            </w:pPr>
            <w:r/>
            <w:r>
              <w:rPr>
                <w:rFonts w:ascii="Arial" w:hAnsi="Arial" w:eastAsia="Arial"/>
                <w:b w:val="0"/>
                <w:sz w:val="13"/>
              </w:rPr>
              <w:t>https://www.airbnb.com/resources/hosting-homes/a/everything-you-need-to-know-about-cleaning-fees-470</w:t>
            </w:r>
          </w:p>
        </w:tc>
      </w:tr>
      <w:tr>
        <w:tc>
          <w:tcPr>
            <w:tcW w:type="dxa" w:w="792"/>
            <w:vAlign w:val="top"/>
          </w:tcPr>
          <w:p>
            <w:pPr>
              <w:spacing w:after="0"/>
            </w:pPr>
            <w:r/>
            <w:r>
              <w:rPr>
                <w:rFonts w:ascii="Arial" w:hAnsi="Arial" w:eastAsia="Arial"/>
                <w:b w:val="0"/>
                <w:sz w:val="13"/>
              </w:rPr>
              <w:t>P7</w:t>
            </w:r>
          </w:p>
        </w:tc>
        <w:tc>
          <w:tcPr>
            <w:tcW w:type="dxa" w:w="7416"/>
            <w:vAlign w:val="top"/>
          </w:tcPr>
          <w:p>
            <w:pPr>
              <w:spacing w:after="0"/>
            </w:pPr>
            <w:r/>
            <w:r>
              <w:rPr>
                <w:rFonts w:ascii="Arial" w:hAnsi="Arial" w:eastAsia="Arial"/>
                <w:b w:val="0"/>
                <w:sz w:val="13"/>
              </w:rPr>
              <w:t>Airbnb Help Center, 'Cancellation policies for your home.'</w:t>
            </w:r>
          </w:p>
        </w:tc>
        <w:tc>
          <w:tcPr>
            <w:tcW w:type="dxa" w:w="2376"/>
            <w:vAlign w:val="top"/>
          </w:tcPr>
          <w:p>
            <w:pPr>
              <w:spacing w:after="0"/>
            </w:pPr>
            <w:r/>
            <w:r>
              <w:rPr>
                <w:rFonts w:ascii="Arial" w:hAnsi="Arial" w:eastAsia="Arial"/>
                <w:b w:val="0"/>
                <w:sz w:val="13"/>
              </w:rPr>
              <w:t>https://www.airbnb.com/help/article/475</w:t>
            </w:r>
          </w:p>
        </w:tc>
      </w:tr>
      <w:tr>
        <w:tc>
          <w:tcPr>
            <w:tcW w:type="dxa" w:w="792"/>
            <w:vAlign w:val="top"/>
          </w:tcPr>
          <w:p>
            <w:pPr>
              <w:spacing w:after="0"/>
            </w:pPr>
            <w:r/>
            <w:r>
              <w:rPr>
                <w:rFonts w:ascii="Arial" w:hAnsi="Arial" w:eastAsia="Arial"/>
                <w:b w:val="0"/>
                <w:sz w:val="13"/>
              </w:rPr>
              <w:t>P8</w:t>
            </w:r>
          </w:p>
        </w:tc>
        <w:tc>
          <w:tcPr>
            <w:tcW w:type="dxa" w:w="7416"/>
            <w:vAlign w:val="top"/>
          </w:tcPr>
          <w:p>
            <w:pPr>
              <w:spacing w:after="0"/>
            </w:pPr>
            <w:r/>
            <w:r>
              <w:rPr>
                <w:rFonts w:ascii="Arial" w:hAnsi="Arial" w:eastAsia="Arial"/>
                <w:b w:val="0"/>
                <w:sz w:val="13"/>
              </w:rPr>
              <w:t>Airbnb Help Center, 'How discounts are applied.'</w:t>
            </w:r>
          </w:p>
        </w:tc>
        <w:tc>
          <w:tcPr>
            <w:tcW w:type="dxa" w:w="2376"/>
            <w:vAlign w:val="top"/>
          </w:tcPr>
          <w:p>
            <w:pPr>
              <w:spacing w:after="0"/>
            </w:pPr>
            <w:r/>
            <w:r>
              <w:rPr>
                <w:rFonts w:ascii="Arial" w:hAnsi="Arial" w:eastAsia="Arial"/>
                <w:b w:val="0"/>
                <w:sz w:val="13"/>
              </w:rPr>
              <w:t>https://www.airbnb.com/help/article/3421</w:t>
            </w:r>
          </w:p>
        </w:tc>
      </w:tr>
      <w:tr>
        <w:tc>
          <w:tcPr>
            <w:tcW w:type="dxa" w:w="792"/>
            <w:vAlign w:val="top"/>
          </w:tcPr>
          <w:p>
            <w:pPr>
              <w:spacing w:after="0"/>
            </w:pPr>
            <w:r/>
            <w:r>
              <w:rPr>
                <w:rFonts w:ascii="Arial" w:hAnsi="Arial" w:eastAsia="Arial"/>
                <w:b w:val="0"/>
                <w:sz w:val="13"/>
              </w:rPr>
              <w:t>P9</w:t>
            </w:r>
          </w:p>
        </w:tc>
        <w:tc>
          <w:tcPr>
            <w:tcW w:type="dxa" w:w="7416"/>
            <w:vAlign w:val="top"/>
          </w:tcPr>
          <w:p>
            <w:pPr>
              <w:spacing w:after="0"/>
            </w:pPr>
            <w:r/>
            <w:r>
              <w:rPr>
                <w:rFonts w:ascii="Arial" w:hAnsi="Arial" w:eastAsia="Arial"/>
                <w:b w:val="0"/>
                <w:sz w:val="13"/>
              </w:rPr>
              <w:t>Airbnb Help Center, 'Compare similar listings.'</w:t>
            </w:r>
          </w:p>
        </w:tc>
        <w:tc>
          <w:tcPr>
            <w:tcW w:type="dxa" w:w="2376"/>
            <w:vAlign w:val="top"/>
          </w:tcPr>
          <w:p>
            <w:pPr>
              <w:spacing w:after="0"/>
            </w:pPr>
            <w:r/>
            <w:r>
              <w:rPr>
                <w:rFonts w:ascii="Arial" w:hAnsi="Arial" w:eastAsia="Arial"/>
                <w:b w:val="0"/>
                <w:sz w:val="13"/>
              </w:rPr>
              <w:t>https://www.airbnb.com/help/article/3399</w:t>
            </w:r>
          </w:p>
        </w:tc>
      </w:tr>
      <w:tr>
        <w:tc>
          <w:tcPr>
            <w:tcW w:type="dxa" w:w="792"/>
            <w:vAlign w:val="top"/>
          </w:tcPr>
          <w:p>
            <w:pPr>
              <w:spacing w:after="0"/>
            </w:pPr>
            <w:r/>
            <w:r>
              <w:rPr>
                <w:rFonts w:ascii="Arial" w:hAnsi="Arial" w:eastAsia="Arial"/>
                <w:b w:val="0"/>
                <w:sz w:val="13"/>
              </w:rPr>
              <w:t>I1</w:t>
            </w:r>
          </w:p>
        </w:tc>
        <w:tc>
          <w:tcPr>
            <w:tcW w:type="dxa" w:w="7416"/>
            <w:vAlign w:val="top"/>
          </w:tcPr>
          <w:p>
            <w:pPr>
              <w:spacing w:after="0"/>
            </w:pPr>
            <w:r/>
            <w:r>
              <w:rPr>
                <w:rFonts w:ascii="Arial" w:hAnsi="Arial" w:eastAsia="Arial"/>
                <w:b w:val="0"/>
                <w:sz w:val="13"/>
              </w:rPr>
              <w:t>AirDNA, 'US 2026 Short-Term Rental Outlook Report.'</w:t>
            </w:r>
          </w:p>
        </w:tc>
        <w:tc>
          <w:tcPr>
            <w:tcW w:type="dxa" w:w="2376"/>
            <w:vAlign w:val="top"/>
          </w:tcPr>
          <w:p>
            <w:pPr>
              <w:spacing w:after="0"/>
            </w:pPr>
            <w:r/>
            <w:r>
              <w:rPr>
                <w:rFonts w:ascii="Arial" w:hAnsi="Arial" w:eastAsia="Arial"/>
                <w:b w:val="0"/>
                <w:sz w:val="13"/>
              </w:rPr>
              <w:t>https://www.airdna.co/outlook-report</w:t>
            </w:r>
          </w:p>
        </w:tc>
      </w:tr>
      <w:tr>
        <w:tc>
          <w:tcPr>
            <w:tcW w:type="dxa" w:w="792"/>
            <w:vAlign w:val="top"/>
          </w:tcPr>
          <w:p>
            <w:pPr>
              <w:spacing w:after="0"/>
            </w:pPr>
            <w:r/>
            <w:r>
              <w:rPr>
                <w:rFonts w:ascii="Arial" w:hAnsi="Arial" w:eastAsia="Arial"/>
                <w:b w:val="0"/>
                <w:sz w:val="13"/>
              </w:rPr>
              <w:t>I2</w:t>
            </w:r>
          </w:p>
        </w:tc>
        <w:tc>
          <w:tcPr>
            <w:tcW w:type="dxa" w:w="7416"/>
            <w:vAlign w:val="top"/>
          </w:tcPr>
          <w:p>
            <w:pPr>
              <w:spacing w:after="0"/>
            </w:pPr>
            <w:r/>
            <w:r>
              <w:rPr>
                <w:rFonts w:ascii="Arial" w:hAnsi="Arial" w:eastAsia="Arial"/>
                <w:b w:val="0"/>
                <w:sz w:val="13"/>
              </w:rPr>
              <w:t>AirDNA, 'U.S. Review December 2025: Year-End Insights and 2025 Overview,' January 20, 2026.</w:t>
            </w:r>
          </w:p>
        </w:tc>
        <w:tc>
          <w:tcPr>
            <w:tcW w:type="dxa" w:w="2376"/>
            <w:vAlign w:val="top"/>
          </w:tcPr>
          <w:p>
            <w:pPr>
              <w:spacing w:after="0"/>
            </w:pPr>
            <w:r/>
            <w:r>
              <w:rPr>
                <w:rFonts w:ascii="Arial" w:hAnsi="Arial" w:eastAsia="Arial"/>
                <w:b w:val="0"/>
                <w:sz w:val="13"/>
              </w:rPr>
              <w:t>https://www.airdna.co/blog/us-review-december-2025</w:t>
            </w:r>
          </w:p>
        </w:tc>
      </w:tr>
      <w:tr>
        <w:tc>
          <w:tcPr>
            <w:tcW w:type="dxa" w:w="792"/>
            <w:vAlign w:val="top"/>
          </w:tcPr>
          <w:p>
            <w:pPr>
              <w:spacing w:after="0"/>
            </w:pPr>
            <w:r/>
            <w:r>
              <w:rPr>
                <w:rFonts w:ascii="Arial" w:hAnsi="Arial" w:eastAsia="Arial"/>
                <w:b w:val="0"/>
                <w:sz w:val="13"/>
              </w:rPr>
              <w:t>I3</w:t>
            </w:r>
          </w:p>
        </w:tc>
        <w:tc>
          <w:tcPr>
            <w:tcW w:type="dxa" w:w="7416"/>
            <w:vAlign w:val="top"/>
          </w:tcPr>
          <w:p>
            <w:pPr>
              <w:spacing w:after="0"/>
            </w:pPr>
            <w:r/>
            <w:r>
              <w:rPr>
                <w:rFonts w:ascii="Arial" w:hAnsi="Arial" w:eastAsia="Arial"/>
                <w:b w:val="0"/>
                <w:sz w:val="13"/>
              </w:rPr>
              <w:t>Business Wire / AirDNA, 'AirDNA 2025 Outlook Report: U.S. Short-Term Rental Industry Finds Balance,' December 5, 2024.</w:t>
            </w:r>
          </w:p>
        </w:tc>
        <w:tc>
          <w:tcPr>
            <w:tcW w:type="dxa" w:w="2376"/>
            <w:vAlign w:val="top"/>
          </w:tcPr>
          <w:p>
            <w:pPr>
              <w:spacing w:after="0"/>
            </w:pPr>
            <w:r/>
            <w:r>
              <w:rPr>
                <w:rFonts w:ascii="Arial" w:hAnsi="Arial" w:eastAsia="Arial"/>
                <w:b w:val="0"/>
                <w:sz w:val="13"/>
              </w:rPr>
              <w:t>https://www.businesswire.com/news/home/20241205094869/en/AirDNA-2025-Outlook-Report-U.S.-Short-Term-Rental-Industry-Finds-Balance</w:t>
            </w:r>
          </w:p>
        </w:tc>
      </w:tr>
      <w:tr>
        <w:tc>
          <w:tcPr>
            <w:tcW w:type="dxa" w:w="792"/>
            <w:vAlign w:val="top"/>
          </w:tcPr>
          <w:p>
            <w:pPr>
              <w:spacing w:after="0"/>
            </w:pPr>
            <w:r/>
            <w:r>
              <w:rPr>
                <w:rFonts w:ascii="Arial" w:hAnsi="Arial" w:eastAsia="Arial"/>
                <w:b w:val="0"/>
                <w:sz w:val="13"/>
              </w:rPr>
              <w:t>I4</w:t>
            </w:r>
          </w:p>
        </w:tc>
        <w:tc>
          <w:tcPr>
            <w:tcW w:type="dxa" w:w="7416"/>
            <w:vAlign w:val="top"/>
          </w:tcPr>
          <w:p>
            <w:pPr>
              <w:spacing w:after="0"/>
            </w:pPr>
            <w:r/>
            <w:r>
              <w:rPr>
                <w:rFonts w:ascii="Arial" w:hAnsi="Arial" w:eastAsia="Arial"/>
                <w:b w:val="0"/>
                <w:sz w:val="13"/>
              </w:rPr>
              <w:t>Beyond, 'U.S. Short-Term Rental Market Report Q2 2026.'</w:t>
            </w:r>
          </w:p>
        </w:tc>
        <w:tc>
          <w:tcPr>
            <w:tcW w:type="dxa" w:w="2376"/>
            <w:vAlign w:val="top"/>
          </w:tcPr>
          <w:p>
            <w:pPr>
              <w:spacing w:after="0"/>
            </w:pPr>
            <w:r/>
            <w:r>
              <w:rPr>
                <w:rFonts w:ascii="Arial" w:hAnsi="Arial" w:eastAsia="Arial"/>
                <w:b w:val="0"/>
                <w:sz w:val="13"/>
              </w:rPr>
              <w:t>https://beyondpricing.com/quarterly-reports/us-short-term-rental-market-report-q2-2026</w:t>
            </w:r>
          </w:p>
        </w:tc>
      </w:tr>
      <w:tr>
        <w:tc>
          <w:tcPr>
            <w:tcW w:type="dxa" w:w="792"/>
            <w:vAlign w:val="top"/>
          </w:tcPr>
          <w:p>
            <w:pPr>
              <w:spacing w:after="0"/>
            </w:pPr>
            <w:r/>
            <w:r>
              <w:rPr>
                <w:rFonts w:ascii="Arial" w:hAnsi="Arial" w:eastAsia="Arial"/>
                <w:b w:val="0"/>
                <w:sz w:val="13"/>
              </w:rPr>
              <w:t>I5</w:t>
            </w:r>
          </w:p>
        </w:tc>
        <w:tc>
          <w:tcPr>
            <w:tcW w:type="dxa" w:w="7416"/>
            <w:vAlign w:val="top"/>
          </w:tcPr>
          <w:p>
            <w:pPr>
              <w:spacing w:after="0"/>
            </w:pPr>
            <w:r/>
            <w:r>
              <w:rPr>
                <w:rFonts w:ascii="Arial" w:hAnsi="Arial" w:eastAsia="Arial"/>
                <w:b w:val="0"/>
                <w:sz w:val="13"/>
              </w:rPr>
              <w:t>U.S. Travel Association, 'U.S. Travel Forecast,' May 7, 2026.</w:t>
            </w:r>
          </w:p>
        </w:tc>
        <w:tc>
          <w:tcPr>
            <w:tcW w:type="dxa" w:w="2376"/>
            <w:vAlign w:val="top"/>
          </w:tcPr>
          <w:p>
            <w:pPr>
              <w:spacing w:after="0"/>
            </w:pPr>
            <w:r/>
            <w:r>
              <w:rPr>
                <w:rFonts w:ascii="Arial" w:hAnsi="Arial" w:eastAsia="Arial"/>
                <w:b w:val="0"/>
                <w:sz w:val="13"/>
              </w:rPr>
              <w:t>https://www.ustravel.org/research/travel-forecasts</w:t>
            </w:r>
          </w:p>
        </w:tc>
      </w:tr>
      <w:tr>
        <w:tc>
          <w:tcPr>
            <w:tcW w:type="dxa" w:w="792"/>
            <w:vAlign w:val="top"/>
          </w:tcPr>
          <w:p>
            <w:pPr>
              <w:spacing w:after="0"/>
            </w:pPr>
            <w:r/>
            <w:r>
              <w:rPr>
                <w:rFonts w:ascii="Arial" w:hAnsi="Arial" w:eastAsia="Arial"/>
                <w:b w:val="0"/>
                <w:sz w:val="13"/>
              </w:rPr>
              <w:t>I6</w:t>
            </w:r>
          </w:p>
        </w:tc>
        <w:tc>
          <w:tcPr>
            <w:tcW w:type="dxa" w:w="7416"/>
            <w:vAlign w:val="top"/>
          </w:tcPr>
          <w:p>
            <w:pPr>
              <w:spacing w:after="0"/>
            </w:pPr>
            <w:r/>
            <w:r>
              <w:rPr>
                <w:rFonts w:ascii="Arial" w:hAnsi="Arial" w:eastAsia="Arial"/>
                <w:b w:val="0"/>
                <w:sz w:val="13"/>
              </w:rPr>
              <w:t>PriceLabs, 'Cancellations, All-In Pricing, &amp; Growth Strategy: Navigating the New Normal in Short-Term Rentals,' April 14, 2026.</w:t>
            </w:r>
          </w:p>
        </w:tc>
        <w:tc>
          <w:tcPr>
            <w:tcW w:type="dxa" w:w="2376"/>
            <w:vAlign w:val="top"/>
          </w:tcPr>
          <w:p>
            <w:pPr>
              <w:spacing w:after="0"/>
            </w:pPr>
            <w:r/>
            <w:r>
              <w:rPr>
                <w:rFonts w:ascii="Arial" w:hAnsi="Arial" w:eastAsia="Arial"/>
                <w:b w:val="0"/>
                <w:sz w:val="13"/>
              </w:rPr>
              <w:t>https://hello.pricelabs.co/blog/revenue-management-in-short-term-rentals/</w:t>
            </w:r>
          </w:p>
        </w:tc>
      </w:tr>
      <w:tr>
        <w:tc>
          <w:tcPr>
            <w:tcW w:type="dxa" w:w="792"/>
            <w:vAlign w:val="top"/>
          </w:tcPr>
          <w:p>
            <w:pPr>
              <w:spacing w:after="0"/>
            </w:pPr>
            <w:r/>
            <w:r>
              <w:rPr>
                <w:rFonts w:ascii="Arial" w:hAnsi="Arial" w:eastAsia="Arial"/>
                <w:b w:val="0"/>
                <w:sz w:val="13"/>
              </w:rPr>
              <w:t>I7</w:t>
            </w:r>
          </w:p>
        </w:tc>
        <w:tc>
          <w:tcPr>
            <w:tcW w:type="dxa" w:w="7416"/>
            <w:vAlign w:val="top"/>
          </w:tcPr>
          <w:p>
            <w:pPr>
              <w:spacing w:after="0"/>
            </w:pPr>
            <w:r/>
            <w:r>
              <w:rPr>
                <w:rFonts w:ascii="Arial" w:hAnsi="Arial" w:eastAsia="Arial"/>
                <w:b w:val="0"/>
                <w:sz w:val="13"/>
              </w:rPr>
              <w:t>PriceLabs, 'Discover the science behind PriceLabs data and how it works,' April 2026.</w:t>
            </w:r>
          </w:p>
        </w:tc>
        <w:tc>
          <w:tcPr>
            <w:tcW w:type="dxa" w:w="2376"/>
            <w:vAlign w:val="top"/>
          </w:tcPr>
          <w:p>
            <w:pPr>
              <w:spacing w:after="0"/>
            </w:pPr>
            <w:r/>
            <w:r>
              <w:rPr>
                <w:rFonts w:ascii="Arial" w:hAnsi="Arial" w:eastAsia="Arial"/>
                <w:b w:val="0"/>
                <w:sz w:val="13"/>
              </w:rPr>
              <w:t>https://hello.pricelabs.co/blog/science-behind-pricelabs-data/</w:t>
            </w:r>
          </w:p>
        </w:tc>
      </w:tr>
      <w:tr>
        <w:tc>
          <w:tcPr>
            <w:tcW w:type="dxa" w:w="792"/>
            <w:vAlign w:val="top"/>
          </w:tcPr>
          <w:p>
            <w:pPr>
              <w:spacing w:after="0"/>
            </w:pPr>
            <w:r/>
            <w:r>
              <w:rPr>
                <w:rFonts w:ascii="Arial" w:hAnsi="Arial" w:eastAsia="Arial"/>
                <w:b w:val="0"/>
                <w:sz w:val="13"/>
              </w:rPr>
              <w:t>I8</w:t>
            </w:r>
          </w:p>
        </w:tc>
        <w:tc>
          <w:tcPr>
            <w:tcW w:type="dxa" w:w="7416"/>
            <w:vAlign w:val="top"/>
          </w:tcPr>
          <w:p>
            <w:pPr>
              <w:spacing w:after="0"/>
            </w:pPr>
            <w:r/>
            <w:r>
              <w:rPr>
                <w:rFonts w:ascii="Arial" w:hAnsi="Arial" w:eastAsia="Arial"/>
                <w:b w:val="0"/>
                <w:sz w:val="13"/>
              </w:rPr>
              <w:t>Inside Airbnb, public data and data assumptions for market research.</w:t>
            </w:r>
          </w:p>
        </w:tc>
        <w:tc>
          <w:tcPr>
            <w:tcW w:type="dxa" w:w="2376"/>
            <w:vAlign w:val="top"/>
          </w:tcPr>
          <w:p>
            <w:pPr>
              <w:spacing w:after="0"/>
            </w:pPr>
            <w:r/>
            <w:r>
              <w:rPr>
                <w:rFonts w:ascii="Arial" w:hAnsi="Arial" w:eastAsia="Arial"/>
                <w:b w:val="0"/>
                <w:sz w:val="13"/>
              </w:rPr>
              <w:t>https://insideairbnb.com/</w:t>
            </w:r>
          </w:p>
        </w:tc>
      </w:tr>
      <w:tr>
        <w:tc>
          <w:tcPr>
            <w:tcW w:type="dxa" w:w="792"/>
            <w:vAlign w:val="top"/>
          </w:tcPr>
          <w:p>
            <w:pPr>
              <w:spacing w:after="0"/>
            </w:pPr>
            <w:r/>
            <w:r>
              <w:rPr>
                <w:rFonts w:ascii="Arial" w:hAnsi="Arial" w:eastAsia="Arial"/>
                <w:b w:val="0"/>
                <w:sz w:val="13"/>
              </w:rPr>
              <w:t>N1</w:t>
            </w:r>
          </w:p>
        </w:tc>
        <w:tc>
          <w:tcPr>
            <w:tcW w:type="dxa" w:w="7416"/>
            <w:vAlign w:val="top"/>
          </w:tcPr>
          <w:p>
            <w:pPr>
              <w:spacing w:after="0"/>
            </w:pPr>
            <w:r/>
            <w:r>
              <w:rPr>
                <w:rFonts w:ascii="Arial" w:hAnsi="Arial" w:eastAsia="Arial"/>
                <w:b w:val="0"/>
                <w:sz w:val="13"/>
              </w:rPr>
              <w:t>Federal Trade Commission, 'FTC Rule on Unfair or Deceptive Fees to Take Effect on May 12, 2025,' May 5, 2025.</w:t>
            </w:r>
          </w:p>
        </w:tc>
        <w:tc>
          <w:tcPr>
            <w:tcW w:type="dxa" w:w="2376"/>
            <w:vAlign w:val="top"/>
          </w:tcPr>
          <w:p>
            <w:pPr>
              <w:spacing w:after="0"/>
            </w:pPr>
            <w:r/>
            <w:r>
              <w:rPr>
                <w:rFonts w:ascii="Arial" w:hAnsi="Arial" w:eastAsia="Arial"/>
                <w:b w:val="0"/>
                <w:sz w:val="13"/>
              </w:rPr>
              <w:t>https://www.ftc.gov/news-events/news/press-releases/2025/05/ftc-rule-unfair-or-deceptive-fees-take-effect-may-12-2025</w:t>
            </w:r>
          </w:p>
        </w:tc>
      </w:tr>
      <w:tr>
        <w:tc>
          <w:tcPr>
            <w:tcW w:type="dxa" w:w="792"/>
            <w:vAlign w:val="top"/>
          </w:tcPr>
          <w:p>
            <w:pPr>
              <w:spacing w:after="0"/>
            </w:pPr>
            <w:r/>
            <w:r>
              <w:rPr>
                <w:rFonts w:ascii="Arial" w:hAnsi="Arial" w:eastAsia="Arial"/>
                <w:b w:val="0"/>
                <w:sz w:val="13"/>
              </w:rPr>
              <w:t>N2</w:t>
            </w:r>
          </w:p>
        </w:tc>
        <w:tc>
          <w:tcPr>
            <w:tcW w:type="dxa" w:w="7416"/>
            <w:vAlign w:val="top"/>
          </w:tcPr>
          <w:p>
            <w:pPr>
              <w:spacing w:after="0"/>
            </w:pPr>
            <w:r/>
            <w:r>
              <w:rPr>
                <w:rFonts w:ascii="Arial" w:hAnsi="Arial" w:eastAsia="Arial"/>
                <w:b w:val="0"/>
                <w:sz w:val="13"/>
              </w:rPr>
              <w:t>Associated Press, 'Airbnb says it's cracking down on fake listings and has removed 59,000 of them this year,' September 20, 2023.</w:t>
            </w:r>
          </w:p>
        </w:tc>
        <w:tc>
          <w:tcPr>
            <w:tcW w:type="dxa" w:w="2376"/>
            <w:vAlign w:val="top"/>
          </w:tcPr>
          <w:p>
            <w:pPr>
              <w:spacing w:after="0"/>
            </w:pPr>
            <w:r/>
            <w:r>
              <w:rPr>
                <w:rFonts w:ascii="Arial" w:hAnsi="Arial" w:eastAsia="Arial"/>
                <w:b w:val="0"/>
                <w:sz w:val="13"/>
              </w:rPr>
              <w:t>https://apnews.com/article/7cf770169423a2d1840141c5d78e1b22</w:t>
            </w:r>
          </w:p>
        </w:tc>
      </w:tr>
      <w:tr>
        <w:tc>
          <w:tcPr>
            <w:tcW w:type="dxa" w:w="792"/>
            <w:vAlign w:val="top"/>
          </w:tcPr>
          <w:p>
            <w:pPr>
              <w:spacing w:after="0"/>
            </w:pPr>
            <w:r/>
            <w:r>
              <w:rPr>
                <w:rFonts w:ascii="Arial" w:hAnsi="Arial" w:eastAsia="Arial"/>
                <w:b w:val="0"/>
                <w:sz w:val="13"/>
              </w:rPr>
              <w:t>N3</w:t>
            </w:r>
          </w:p>
        </w:tc>
        <w:tc>
          <w:tcPr>
            <w:tcW w:type="dxa" w:w="7416"/>
            <w:vAlign w:val="top"/>
          </w:tcPr>
          <w:p>
            <w:pPr>
              <w:spacing w:after="0"/>
            </w:pPr>
            <w:r/>
            <w:r>
              <w:rPr>
                <w:rFonts w:ascii="Arial" w:hAnsi="Arial" w:eastAsia="Arial"/>
                <w:b w:val="0"/>
                <w:sz w:val="13"/>
              </w:rPr>
              <w:t>Axios Miami, 'Miami World Cup matches fuel surge in short-term rental demand,' May 12, 2026.</w:t>
            </w:r>
          </w:p>
        </w:tc>
        <w:tc>
          <w:tcPr>
            <w:tcW w:type="dxa" w:w="2376"/>
            <w:vAlign w:val="top"/>
          </w:tcPr>
          <w:p>
            <w:pPr>
              <w:spacing w:after="0"/>
            </w:pPr>
            <w:r/>
            <w:r>
              <w:rPr>
                <w:rFonts w:ascii="Arial" w:hAnsi="Arial" w:eastAsia="Arial"/>
                <w:b w:val="0"/>
                <w:sz w:val="13"/>
              </w:rPr>
              <w:t>https://www.axios.com/local/miami/2026/05/12/miami-world-cup-short-term-rentals-airbnb</w:t>
            </w:r>
          </w:p>
        </w:tc>
      </w:tr>
      <w:tr>
        <w:tc>
          <w:tcPr>
            <w:tcW w:type="dxa" w:w="792"/>
            <w:vAlign w:val="top"/>
          </w:tcPr>
          <w:p>
            <w:pPr>
              <w:spacing w:after="0"/>
            </w:pPr>
            <w:r/>
            <w:r>
              <w:rPr>
                <w:rFonts w:ascii="Arial" w:hAnsi="Arial" w:eastAsia="Arial"/>
                <w:b w:val="0"/>
                <w:sz w:val="13"/>
              </w:rPr>
              <w:t>N4</w:t>
            </w:r>
          </w:p>
        </w:tc>
        <w:tc>
          <w:tcPr>
            <w:tcW w:type="dxa" w:w="7416"/>
            <w:vAlign w:val="top"/>
          </w:tcPr>
          <w:p>
            <w:pPr>
              <w:spacing w:after="0"/>
            </w:pPr>
            <w:r/>
            <w:r>
              <w:rPr>
                <w:rFonts w:ascii="Arial" w:hAnsi="Arial" w:eastAsia="Arial"/>
                <w:b w:val="0"/>
                <w:sz w:val="13"/>
              </w:rPr>
              <w:t>Associated Press, 'US hotel operators say promised boon from hosting World Cup hasn't materialized yet,' May 2026.</w:t>
            </w:r>
          </w:p>
        </w:tc>
        <w:tc>
          <w:tcPr>
            <w:tcW w:type="dxa" w:w="2376"/>
            <w:vAlign w:val="top"/>
          </w:tcPr>
          <w:p>
            <w:pPr>
              <w:spacing w:after="0"/>
            </w:pPr>
            <w:r/>
            <w:r>
              <w:rPr>
                <w:rFonts w:ascii="Arial" w:hAnsi="Arial" w:eastAsia="Arial"/>
                <w:b w:val="0"/>
                <w:sz w:val="13"/>
              </w:rPr>
              <w:t>https://apnews.com/article/1698651dcf37cbba09f3183b218d54fb</w:t>
            </w:r>
          </w:p>
        </w:tc>
      </w:tr>
      <w:tr>
        <w:tc>
          <w:tcPr>
            <w:tcW w:type="dxa" w:w="792"/>
            <w:vAlign w:val="top"/>
          </w:tcPr>
          <w:p>
            <w:pPr>
              <w:spacing w:after="0"/>
            </w:pPr>
            <w:r/>
            <w:r>
              <w:rPr>
                <w:rFonts w:ascii="Arial" w:hAnsi="Arial" w:eastAsia="Arial"/>
                <w:b w:val="0"/>
                <w:sz w:val="13"/>
              </w:rPr>
              <w:t>N5</w:t>
            </w:r>
          </w:p>
        </w:tc>
        <w:tc>
          <w:tcPr>
            <w:tcW w:type="dxa" w:w="7416"/>
            <w:vAlign w:val="top"/>
          </w:tcPr>
          <w:p>
            <w:pPr>
              <w:spacing w:after="0"/>
            </w:pPr>
            <w:r/>
            <w:r>
              <w:rPr>
                <w:rFonts w:ascii="Arial" w:hAnsi="Arial" w:eastAsia="Arial"/>
                <w:b w:val="0"/>
                <w:sz w:val="13"/>
              </w:rPr>
              <w:t>City of San Diego, Short-Term Residential Occupancy ordinance and licensing page.</w:t>
            </w:r>
          </w:p>
        </w:tc>
        <w:tc>
          <w:tcPr>
            <w:tcW w:type="dxa" w:w="2376"/>
            <w:vAlign w:val="top"/>
          </w:tcPr>
          <w:p>
            <w:pPr>
              <w:spacing w:after="0"/>
            </w:pPr>
            <w:r/>
            <w:r>
              <w:rPr>
                <w:rFonts w:ascii="Arial" w:hAnsi="Arial" w:eastAsia="Arial"/>
                <w:b w:val="0"/>
                <w:sz w:val="13"/>
              </w:rPr>
              <w:t>https://www.sandiego.gov/treasurer/short-term-residential-occupancy</w:t>
            </w:r>
          </w:p>
        </w:tc>
      </w:tr>
      <w:tr>
        <w:tc>
          <w:tcPr>
            <w:tcW w:type="dxa" w:w="792"/>
            <w:vAlign w:val="top"/>
          </w:tcPr>
          <w:p>
            <w:pPr>
              <w:spacing w:after="0"/>
            </w:pPr>
            <w:r/>
            <w:r>
              <w:rPr>
                <w:rFonts w:ascii="Arial" w:hAnsi="Arial" w:eastAsia="Arial"/>
                <w:b w:val="0"/>
                <w:sz w:val="13"/>
              </w:rPr>
              <w:t>N6</w:t>
            </w:r>
          </w:p>
        </w:tc>
        <w:tc>
          <w:tcPr>
            <w:tcW w:type="dxa" w:w="7416"/>
            <w:vAlign w:val="top"/>
          </w:tcPr>
          <w:p>
            <w:pPr>
              <w:spacing w:after="0"/>
            </w:pPr>
            <w:r/>
            <w:r>
              <w:rPr>
                <w:rFonts w:ascii="Arial" w:hAnsi="Arial" w:eastAsia="Arial"/>
                <w:b w:val="0"/>
                <w:sz w:val="13"/>
              </w:rPr>
              <w:t>California Department of Justice, SB 478 - Hidden Fees / Honest Pricing Law.</w:t>
            </w:r>
          </w:p>
        </w:tc>
        <w:tc>
          <w:tcPr>
            <w:tcW w:type="dxa" w:w="2376"/>
            <w:vAlign w:val="top"/>
          </w:tcPr>
          <w:p>
            <w:pPr>
              <w:spacing w:after="0"/>
            </w:pPr>
            <w:r/>
            <w:r>
              <w:rPr>
                <w:rFonts w:ascii="Arial" w:hAnsi="Arial" w:eastAsia="Arial"/>
                <w:b w:val="0"/>
                <w:sz w:val="13"/>
              </w:rPr>
              <w:t>https://oag.ca.gov/hiddenfees</w:t>
            </w:r>
          </w:p>
        </w:tc>
      </w:tr>
      <w:tr>
        <w:tc>
          <w:tcPr>
            <w:tcW w:type="dxa" w:w="792"/>
            <w:vAlign w:val="top"/>
          </w:tcPr>
          <w:p>
            <w:pPr>
              <w:spacing w:after="0"/>
            </w:pPr>
            <w:r/>
            <w:r>
              <w:rPr>
                <w:rFonts w:ascii="Arial" w:hAnsi="Arial" w:eastAsia="Arial"/>
                <w:b w:val="0"/>
                <w:sz w:val="13"/>
              </w:rPr>
              <w:t>N7</w:t>
            </w:r>
          </w:p>
        </w:tc>
        <w:tc>
          <w:tcPr>
            <w:tcW w:type="dxa" w:w="7416"/>
            <w:vAlign w:val="top"/>
          </w:tcPr>
          <w:p>
            <w:pPr>
              <w:spacing w:after="0"/>
            </w:pPr>
            <w:r/>
            <w:r>
              <w:rPr>
                <w:rFonts w:ascii="Arial" w:hAnsi="Arial" w:eastAsia="Arial"/>
                <w:b w:val="0"/>
                <w:sz w:val="13"/>
              </w:rPr>
              <w:t>Airbnb Newsroom, 'New report finds NYC's short-term rental law takes toll on outer boroughs,' November 11, 2024.</w:t>
            </w:r>
          </w:p>
        </w:tc>
        <w:tc>
          <w:tcPr>
            <w:tcW w:type="dxa" w:w="2376"/>
            <w:vAlign w:val="top"/>
          </w:tcPr>
          <w:p>
            <w:pPr>
              <w:spacing w:after="0"/>
            </w:pPr>
            <w:r/>
            <w:r>
              <w:rPr>
                <w:rFonts w:ascii="Arial" w:hAnsi="Arial" w:eastAsia="Arial"/>
                <w:b w:val="0"/>
                <w:sz w:val="13"/>
              </w:rPr>
              <w:t>https://news.airbnb.com/new-report-finds-nycs-short-term-rental-law-takes-toll-on-outer-boroughs/</w:t>
            </w:r>
          </w:p>
        </w:tc>
      </w:tr>
    </w:tbl>
    <w:p>
      <w:pPr>
        <w:pStyle w:val="Small"/>
      </w:pPr>
    </w:p>
    <w:p>
      <w:pPr>
        <w:pStyle w:val="Heading2"/>
      </w:pPr>
      <w:r>
        <w:t>22.2 Management interpretation of core sources</w:t>
      </w:r>
    </w:p>
    <w:tbl>
      <w:tblPr>
        <w:tblStyle w:val="TableGrid"/>
        <w:tblW w:type="auto" w:w="0"/>
        <w:jc w:val="center"/>
        <w:tblLook w:firstColumn="1" w:firstRow="1" w:lastColumn="0" w:lastRow="0" w:noHBand="0" w:noVBand="1" w:val="04A0"/>
      </w:tblPr>
      <w:tblGrid>
        <w:gridCol w:w="5112"/>
        <w:gridCol w:w="5112"/>
      </w:tblGrid>
      <w:tr>
        <w:tc>
          <w:tcPr>
            <w:tcW w:type="dxa" w:w="3312"/>
            <w:shd w:fill="1F4E79"/>
            <w:vAlign w:val="center"/>
          </w:tcPr>
          <w:p>
            <w:pPr>
              <w:spacing w:after="0"/>
            </w:pPr>
            <w:r/>
            <w:r>
              <w:rPr>
                <w:rFonts w:ascii="Arial" w:hAnsi="Arial" w:eastAsia="Arial"/>
                <w:b/>
                <w:color w:val="FFFFFF"/>
                <w:sz w:val="16"/>
              </w:rPr>
              <w:t>Source group</w:t>
            </w:r>
          </w:p>
        </w:tc>
        <w:tc>
          <w:tcPr>
            <w:tcW w:type="dxa" w:w="7200"/>
            <w:shd w:fill="1F4E79"/>
            <w:vAlign w:val="center"/>
          </w:tcPr>
          <w:p>
            <w:pPr>
              <w:spacing w:after="0"/>
            </w:pPr>
            <w:r/>
            <w:r>
              <w:rPr>
                <w:rFonts w:ascii="Arial" w:hAnsi="Arial" w:eastAsia="Arial"/>
                <w:b/>
                <w:color w:val="FFFFFF"/>
                <w:sz w:val="16"/>
              </w:rPr>
              <w:t>Main management lesson</w:t>
            </w:r>
          </w:p>
        </w:tc>
      </w:tr>
      <w:tr>
        <w:tc>
          <w:tcPr>
            <w:tcW w:type="dxa" w:w="3312"/>
            <w:vAlign w:val="top"/>
          </w:tcPr>
          <w:p>
            <w:pPr>
              <w:spacing w:after="0"/>
            </w:pPr>
            <w:r/>
            <w:r>
              <w:rPr>
                <w:rFonts w:ascii="Arial" w:hAnsi="Arial" w:eastAsia="Arial"/>
                <w:b w:val="0"/>
                <w:sz w:val="16"/>
              </w:rPr>
              <w:t>Academic price determinants [A1][A4]</w:t>
            </w:r>
          </w:p>
        </w:tc>
        <w:tc>
          <w:tcPr>
            <w:tcW w:type="dxa" w:w="7200"/>
            <w:vAlign w:val="top"/>
          </w:tcPr>
          <w:p>
            <w:pPr>
              <w:spacing w:after="0"/>
            </w:pPr>
            <w:r/>
            <w:r>
              <w:rPr>
                <w:rFonts w:ascii="Arial" w:hAnsi="Arial" w:eastAsia="Arial"/>
                <w:b w:val="0"/>
                <w:sz w:val="16"/>
              </w:rPr>
              <w:t>Use a hedonic model. Price depends on property attributes, amenities, rules, location, reviews, and host/listing trust signals.</w:t>
            </w:r>
          </w:p>
        </w:tc>
      </w:tr>
      <w:tr>
        <w:tc>
          <w:tcPr>
            <w:tcW w:type="dxa" w:w="3312"/>
            <w:vAlign w:val="top"/>
          </w:tcPr>
          <w:p>
            <w:pPr>
              <w:spacing w:after="0"/>
            </w:pPr>
            <w:r/>
            <w:r>
              <w:rPr>
                <w:rFonts w:ascii="Arial" w:hAnsi="Arial" w:eastAsia="Arial"/>
                <w:b w:val="0"/>
                <w:sz w:val="16"/>
              </w:rPr>
              <w:t>Dynamic pricing studies [A2][A3][A7]</w:t>
            </w:r>
          </w:p>
        </w:tc>
        <w:tc>
          <w:tcPr>
            <w:tcW w:type="dxa" w:w="7200"/>
            <w:vAlign w:val="top"/>
          </w:tcPr>
          <w:p>
            <w:pPr>
              <w:spacing w:after="0"/>
            </w:pPr>
            <w:r/>
            <w:r>
              <w:rPr>
                <w:rFonts w:ascii="Arial" w:hAnsi="Arial" w:eastAsia="Arial"/>
                <w:b w:val="0"/>
                <w:sz w:val="16"/>
              </w:rPr>
              <w:t>Dynamic pricing can help, but late-stage price surging must be evidence-based and listing-specific.</w:t>
            </w:r>
          </w:p>
        </w:tc>
      </w:tr>
      <w:tr>
        <w:tc>
          <w:tcPr>
            <w:tcW w:type="dxa" w:w="3312"/>
            <w:vAlign w:val="top"/>
          </w:tcPr>
          <w:p>
            <w:pPr>
              <w:spacing w:after="0"/>
            </w:pPr>
            <w:r/>
            <w:r>
              <w:rPr>
                <w:rFonts w:ascii="Arial" w:hAnsi="Arial" w:eastAsia="Arial"/>
                <w:b w:val="0"/>
                <w:sz w:val="16"/>
              </w:rPr>
              <w:t>Value and review studies [A4][A5]</w:t>
            </w:r>
          </w:p>
        </w:tc>
        <w:tc>
          <w:tcPr>
            <w:tcW w:type="dxa" w:w="7200"/>
            <w:vAlign w:val="top"/>
          </w:tcPr>
          <w:p>
            <w:pPr>
              <w:spacing w:after="0"/>
            </w:pPr>
            <w:r/>
            <w:r>
              <w:rPr>
                <w:rFonts w:ascii="Arial" w:hAnsi="Arial" w:eastAsia="Arial"/>
                <w:b w:val="0"/>
                <w:sz w:val="16"/>
              </w:rPr>
              <w:t>Premium rates must be supported by value delivery. Negative reviews and value complaints reduce pricing power.</w:t>
            </w:r>
          </w:p>
        </w:tc>
      </w:tr>
      <w:tr>
        <w:tc>
          <w:tcPr>
            <w:tcW w:type="dxa" w:w="3312"/>
            <w:vAlign w:val="top"/>
          </w:tcPr>
          <w:p>
            <w:pPr>
              <w:spacing w:after="0"/>
            </w:pPr>
            <w:r/>
            <w:r>
              <w:rPr>
                <w:rFonts w:ascii="Arial" w:hAnsi="Arial" w:eastAsia="Arial"/>
                <w:b w:val="0"/>
                <w:sz w:val="16"/>
              </w:rPr>
              <w:t>Cancellation research and Airbnb policy [A6][P7]</w:t>
            </w:r>
          </w:p>
        </w:tc>
        <w:tc>
          <w:tcPr>
            <w:tcW w:type="dxa" w:w="7200"/>
            <w:vAlign w:val="top"/>
          </w:tcPr>
          <w:p>
            <w:pPr>
              <w:spacing w:after="0"/>
            </w:pPr>
            <w:r/>
            <w:r>
              <w:rPr>
                <w:rFonts w:ascii="Arial" w:hAnsi="Arial" w:eastAsia="Arial"/>
                <w:b w:val="0"/>
                <w:sz w:val="16"/>
              </w:rPr>
              <w:t>Cancellation terms influence price, occupancy, conversion, and replacement risk. Repricing after cancellation is a core SOP.</w:t>
            </w:r>
          </w:p>
        </w:tc>
      </w:tr>
      <w:tr>
        <w:tc>
          <w:tcPr>
            <w:tcW w:type="dxa" w:w="3312"/>
            <w:vAlign w:val="top"/>
          </w:tcPr>
          <w:p>
            <w:pPr>
              <w:spacing w:after="0"/>
            </w:pPr>
            <w:r/>
            <w:r>
              <w:rPr>
                <w:rFonts w:ascii="Arial" w:hAnsi="Arial" w:eastAsia="Arial"/>
                <w:b w:val="0"/>
                <w:sz w:val="16"/>
              </w:rPr>
              <w:t>Airbnb tools [P1][P2][P8][P9]</w:t>
            </w:r>
          </w:p>
        </w:tc>
        <w:tc>
          <w:tcPr>
            <w:tcW w:type="dxa" w:w="7200"/>
            <w:vAlign w:val="top"/>
          </w:tcPr>
          <w:p>
            <w:pPr>
              <w:spacing w:after="0"/>
            </w:pPr>
            <w:r/>
            <w:r>
              <w:rPr>
                <w:rFonts w:ascii="Arial" w:hAnsi="Arial" w:eastAsia="Arial"/>
                <w:b w:val="0"/>
                <w:sz w:val="16"/>
              </w:rPr>
              <w:t>Use Smart Pricing, rule-sets, discounts, and Similar Listings deliberately; do not let tools override strategy without guardrails.</w:t>
            </w:r>
          </w:p>
        </w:tc>
      </w:tr>
      <w:tr>
        <w:tc>
          <w:tcPr>
            <w:tcW w:type="dxa" w:w="3312"/>
            <w:vAlign w:val="top"/>
          </w:tcPr>
          <w:p>
            <w:pPr>
              <w:spacing w:after="0"/>
            </w:pPr>
            <w:r/>
            <w:r>
              <w:rPr>
                <w:rFonts w:ascii="Arial" w:hAnsi="Arial" w:eastAsia="Arial"/>
                <w:b w:val="0"/>
                <w:sz w:val="16"/>
              </w:rPr>
              <w:t>Fees and transparency [P3][P4][P5][P6][N1][N6]</w:t>
            </w:r>
          </w:p>
        </w:tc>
        <w:tc>
          <w:tcPr>
            <w:tcW w:type="dxa" w:w="7200"/>
            <w:vAlign w:val="top"/>
          </w:tcPr>
          <w:p>
            <w:pPr>
              <w:spacing w:after="0"/>
            </w:pPr>
            <w:r/>
            <w:r>
              <w:rPr>
                <w:rFonts w:ascii="Arial" w:hAnsi="Arial" w:eastAsia="Arial"/>
                <w:b w:val="0"/>
                <w:sz w:val="16"/>
              </w:rPr>
              <w:t>Manage guest-visible total price and net payout. Hidden or excessive fees are commercially and legally risky.</w:t>
            </w:r>
          </w:p>
        </w:tc>
      </w:tr>
      <w:tr>
        <w:tc>
          <w:tcPr>
            <w:tcW w:type="dxa" w:w="3312"/>
            <w:vAlign w:val="top"/>
          </w:tcPr>
          <w:p>
            <w:pPr>
              <w:spacing w:after="0"/>
            </w:pPr>
            <w:r/>
            <w:r>
              <w:rPr>
                <w:rFonts w:ascii="Arial" w:hAnsi="Arial" w:eastAsia="Arial"/>
                <w:b w:val="0"/>
                <w:sz w:val="16"/>
              </w:rPr>
              <w:t>US travel/industry reports [I1][I2][I3][I4][I5]</w:t>
            </w:r>
          </w:p>
        </w:tc>
        <w:tc>
          <w:tcPr>
            <w:tcW w:type="dxa" w:w="7200"/>
            <w:vAlign w:val="top"/>
          </w:tcPr>
          <w:p>
            <w:pPr>
              <w:spacing w:after="0"/>
            </w:pPr>
            <w:r/>
            <w:r>
              <w:rPr>
                <w:rFonts w:ascii="Arial" w:hAnsi="Arial" w:eastAsia="Arial"/>
                <w:b w:val="0"/>
                <w:sz w:val="16"/>
              </w:rPr>
              <w:t>US demand is resilient but uneven. Booking windows, market types, and region-specific demand should drive price decisions.</w:t>
            </w:r>
          </w:p>
        </w:tc>
      </w:tr>
      <w:tr>
        <w:tc>
          <w:tcPr>
            <w:tcW w:type="dxa" w:w="3312"/>
            <w:vAlign w:val="top"/>
          </w:tcPr>
          <w:p>
            <w:pPr>
              <w:spacing w:after="0"/>
            </w:pPr>
            <w:r/>
            <w:r>
              <w:rPr>
                <w:rFonts w:ascii="Arial" w:hAnsi="Arial" w:eastAsia="Arial"/>
                <w:b w:val="0"/>
                <w:sz w:val="16"/>
              </w:rPr>
              <w:t>News/events/regulation [N2][N3][N4][N5][N7]</w:t>
            </w:r>
          </w:p>
        </w:tc>
        <w:tc>
          <w:tcPr>
            <w:tcW w:type="dxa" w:w="7200"/>
            <w:vAlign w:val="top"/>
          </w:tcPr>
          <w:p>
            <w:pPr>
              <w:spacing w:after="0"/>
            </w:pPr>
            <w:r/>
            <w:r>
              <w:rPr>
                <w:rFonts w:ascii="Arial" w:hAnsi="Arial" w:eastAsia="Arial"/>
                <w:b w:val="0"/>
                <w:sz w:val="16"/>
              </w:rPr>
              <w:t>Trust, regulation, and event expectations can materially change demand and supply. Do not price on headlines alone.</w:t>
            </w:r>
          </w:p>
        </w:tc>
      </w:tr>
    </w:tbl>
    <w:p>
      <w:pPr>
        <w:pStyle w:val="Small"/>
      </w:pPr>
    </w:p>
    <w:p>
      <w:pPr>
        <w:pStyle w:val="Heading2"/>
      </w:pPr>
      <w:r>
        <w:t>22.3 Final operating standard</w:t>
      </w:r>
    </w:p>
    <w:p>
      <w:r>
        <w:t>A professional Airbnb pricing system should be documented, reviewed weekly, and adjusted with evidence. It should integrate guest-visible total price, market pace, true comparable inventory, property quality, service fees, cancellation risk, regulation, and owner economics. The best operators do not simply “set prices”; they manage a revenue system that converts market demand into sustainable net revenue while protecting the long-term value of the listing.</w:t>
      </w:r>
    </w:p>
    <w:p>
      <w:pPr>
        <w:pStyle w:val="Callout"/>
      </w:pPr>
      <w:r>
        <w:t>End of manual.</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U.S. Airbnb Pricing Strategy Manual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37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spacing w:after="160"/>
    </w:pPr>
    <w:rPr>
      <w:rFonts w:ascii="Arial" w:hAnsi="Arial" w:eastAsia="Arial"/>
      <w:color w:val="5A5A5A"/>
      <w:sz w:val="24"/>
    </w:rPr>
  </w:style>
  <w:style w:type="paragraph" w:customStyle="1" w:styleId="Callout">
    <w:name w:val="Callout"/>
    <w:pPr>
      <w:spacing w:before="60" w:after="120"/>
      <w:ind w:left="259" w:right="259"/>
    </w:pPr>
    <w:rPr>
      <w:rFonts w:ascii="Arial" w:hAnsi="Arial" w:eastAsia="Arial"/>
      <w:i/>
      <w:color w:val="595959"/>
      <w:sz w:val="18"/>
    </w:rPr>
  </w:style>
  <w:style w:type="paragraph" w:customStyle="1" w:styleId="Small">
    <w:name w:val="Small"/>
    <w:pPr>
      <w:spacing w:after="40"/>
    </w:pPr>
    <w:rPr>
      <w:rFonts w:ascii="Arial" w:hAnsi="Arial" w:eastAsia="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