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Cambria" w:cs="Cambria" w:eastAsia="Cambria" w:hAnsi="Cambria"/>
          <w:b/>
          <w:bCs/>
          <w:color w:val="1A1A1A"/>
          <w:sz w:val="44"/>
          <w:szCs w:val="44"/>
        </w:rPr>
        <w:t xml:space="preserve">MANUSCRIPT EDIT LIST</w:t>
      </w:r>
    </w:p>
    <w:p>
      <w:pPr>
        <w:spacing w:after="400"/>
      </w:pPr>
      <w:r>
        <w:rPr>
          <w:rFonts w:ascii="Cambria" w:cs="Cambria" w:eastAsia="Cambria" w:hAnsi="Cambria"/>
          <w:color w:val="1F6F8B"/>
          <w:sz w:val="26"/>
          <w:szCs w:val="26"/>
        </w:rPr>
        <w:t xml:space="preserve">ISO/IEC 5055 Automated Source-Code Measurement</w:t>
      </w:r>
    </w:p>
    <w:p>
      <w:pPr>
        <w:spacing w:after="160" w:line="300"/>
      </w:pPr>
      <w:r>
        <w:rPr>
          <w:rFonts w:ascii="Calibri" w:cs="Calibri" w:eastAsia="Calibri" w:hAnsi="Calibri"/>
          <w:b w:val="false"/>
          <w:bCs w:val="false"/>
          <w:i w:val="false"/>
          <w:iCs w:val="false"/>
          <w:color w:val="000000"/>
          <w:sz w:val="20"/>
          <w:szCs w:val="20"/>
        </w:rPr>
        <w:t xml:space="preserve">Adaptive File Compression System Using Multi-Level Frequency Analysis &amp; Hybrid Huffman</w:t>
      </w:r>
    </w:p>
    <w:p>
      <w:pPr>
        <w:spacing w:after="160" w:line="300"/>
      </w:pPr>
      <w:r>
        <w:rPr>
          <w:rFonts w:ascii="Calibri" w:cs="Calibri" w:eastAsia="Calibri" w:hAnsi="Calibri"/>
          <w:b w:val="false"/>
          <w:bCs w:val="false"/>
          <w:i w:val="false"/>
          <w:iCs w:val="false"/>
          <w:color w:val="000000"/>
          <w:sz w:val="20"/>
          <w:szCs w:val="20"/>
        </w:rPr>
        <w:t xml:space="preserve">School of Computing, Holy Angel University</w:t>
      </w:r>
    </w:p>
    <w:p>
      <w:pPr>
        <w:spacing w:after="160" w:line="300"/>
      </w:pPr>
      <w:r>
        <w:rPr>
          <w:rFonts w:ascii="Calibri" w:cs="Calibri" w:eastAsia="Calibri" w:hAnsi="Calibri"/>
          <w:b w:val="false"/>
          <w:bCs w:val="false"/>
          <w:i w:val="false"/>
          <w:iCs w:val="false"/>
          <w:color w:val="000000"/>
          <w:sz w:val="20"/>
          <w:szCs w:val="20"/>
        </w:rPr>
        <w:t xml:space="preserve">Measurement performed at commit 048c2fc  ·  26 August 2026</w:t>
      </w:r>
    </w:p>
    <w:p>
      <w:pPr>
        <w:pBdr>
          <w:top w:val="single" w:color="CCCCCC" w:sz="8" w:space="10"/>
        </w:pBdr>
        <w:spacing w:after="160" w:before="500"/>
      </w:pPr>
      <w:r>
        <w:rPr>
          <w:rFonts w:ascii="Cambria" w:cs="Cambria" w:eastAsia="Cambria" w:hAnsi="Cambria"/>
          <w:b/>
          <w:bCs/>
          <w:sz w:val="22"/>
          <w:szCs w:val="22"/>
        </w:rPr>
        <w:t xml:space="preserve">How to use this document</w:t>
      </w:r>
    </w:p>
    <w:p>
      <w:pPr>
        <w:spacing w:after="160" w:line="300"/>
      </w:pPr>
      <w:r>
        <w:rPr>
          <w:rFonts w:ascii="Calibri" w:cs="Calibri" w:eastAsia="Calibri" w:hAnsi="Calibri"/>
          <w:b w:val="false"/>
          <w:bCs w:val="false"/>
          <w:i w:val="false"/>
          <w:iCs w:val="false"/>
          <w:color w:val="000000"/>
          <w:sz w:val="20"/>
          <w:szCs w:val="20"/>
        </w:rPr>
        <w:t xml:space="preserve">Each entry gives the location in your manuscript, the existing text to find, the replacement text, and the reason for the change. Entries marked INSERT add new text rather than replacing anything.</w:t>
      </w:r>
    </w:p>
    <w:p>
      <w:pPr>
        <w:spacing w:after="160" w:line="300"/>
      </w:pPr>
      <w:r>
        <w:rPr>
          <w:rFonts w:ascii="Calibri" w:cs="Calibri" w:eastAsia="Calibri" w:hAnsi="Calibri"/>
          <w:b w:val="false"/>
          <w:bCs w:val="false"/>
          <w:i w:val="false"/>
          <w:iCs w:val="false"/>
          <w:color w:val="000000"/>
          <w:sz w:val="20"/>
          <w:szCs w:val="20"/>
        </w:rPr>
        <w:t xml:space="preserve">Page numbers are taken from your table of contents and will shift as you edit. Locate each passage by its section heading and opening words rather than by page alone.</w:t>
      </w:r>
    </w:p>
    <w:p>
      <w:pPr>
        <w:spacing w:after="140" w:before="360"/>
      </w:pPr>
      <w:r>
        <w:rPr>
          <w:rFonts w:ascii="Cambria" w:cs="Cambria" w:eastAsia="Cambria" w:hAnsi="Cambria"/>
          <w:b/>
          <w:bCs/>
          <w:color w:val="A8541F"/>
          <w:sz w:val="22"/>
          <w:szCs w:val="22"/>
        </w:rPr>
        <w:t xml:space="preserve">Before you begin: a structural finding</w:t>
      </w:r>
    </w:p>
    <w:p>
      <w:pPr>
        <w:spacing w:after="160" w:line="300"/>
      </w:pPr>
      <w:r>
        <w:rPr>
          <w:rFonts w:ascii="Calibri" w:cs="Calibri" w:eastAsia="Calibri" w:hAnsi="Calibri"/>
          <w:b w:val="false"/>
          <w:bCs w:val="false"/>
          <w:i w:val="false"/>
          <w:iCs w:val="false"/>
          <w:color w:val="000000"/>
          <w:sz w:val="20"/>
          <w:szCs w:val="20"/>
        </w:rPr>
        <w:t xml:space="preserve">The manuscript is written as a proposal, not as a completed study. It contains 21 occurrences of “will” describing procedures as future work, and it has no Results, Discussion, or Conclusion chapter — the table of contents runs from Method to Ethical Consideration to References, and Appendices A through J are all listed at page 00.</w:t>
      </w:r>
    </w:p>
    <w:p>
      <w:pPr>
        <w:spacing w:after="160" w:line="300"/>
      </w:pPr>
      <w:r>
        <w:rPr>
          <w:rFonts w:ascii="Calibri" w:cs="Calibri" w:eastAsia="Calibri" w:hAnsi="Calibri"/>
          <w:b w:val="false"/>
          <w:bCs w:val="false"/>
          <w:i w:val="false"/>
          <w:iCs w:val="false"/>
          <w:color w:val="000000"/>
          <w:sz w:val="20"/>
          <w:szCs w:val="20"/>
        </w:rPr>
        <w:t xml:space="preserve">Parts 1 through 3 below can be applied immediately. Part 4 lists passages that cannot honestly be converted to past tense until the human evaluation actually runs. Part 5 covers the chapters that do not yet exist.</w:t>
      </w:r>
    </w:p>
    <w:p>
      <w:pPr>
        <w:pStyle w:val="Heading1"/>
        <w:pageBreakBefore/>
        <w:pBdr>
          <w:bottom w:val="single" w:color="1F6F8B" w:sz="8" w:space="6"/>
        </w:pBdr>
        <w:spacing w:after="220" w:before="200"/>
      </w:pPr>
      <w:r>
        <w:rPr>
          <w:rFonts w:ascii="Cambria" w:cs="Cambria" w:eastAsia="Cambria" w:hAnsi="Cambria"/>
          <w:b/>
          <w:bCs/>
          <w:color w:val="1F6F8B"/>
          <w:sz w:val="30"/>
          <w:szCs w:val="30"/>
        </w:rPr>
        <w:t xml:space="preserve">Part 1 — ISO/IEC 5055 Measurement</w:t>
      </w:r>
    </w:p>
    <w:p>
      <w:pPr>
        <w:spacing w:after="260" w:line="300"/>
      </w:pPr>
      <w:r>
        <w:rPr>
          <w:rFonts w:ascii="Calibri" w:cs="Calibri" w:eastAsia="Calibri" w:hAnsi="Calibri"/>
          <w:b w:val="false"/>
          <w:bCs w:val="false"/>
          <w:i w:val="false"/>
          <w:iCs w:val="false"/>
          <w:color w:val="000000"/>
          <w:sz w:val="20"/>
          <w:szCs w:val="20"/>
        </w:rPr>
        <w:t xml:space="preserve">Five edits to existing text, plus one new appendix. These reflect the measurement completed at commit 048c2fc.</w:t>
      </w:r>
    </w:p>
    <w:p>
      <w:pPr>
        <w:pStyle w:val="Heading2"/>
        <w:spacing w:after="140" w:before="380"/>
      </w:pPr>
      <w:r>
        <w:rPr>
          <w:rFonts w:ascii="Cambria" w:cs="Cambria" w:eastAsia="Cambria" w:hAnsi="Cambria"/>
          <w:b/>
          <w:bCs/>
          <w:color w:val="1A1A1A"/>
          <w:sz w:val="26"/>
          <w:szCs w:val="26"/>
        </w:rPr>
        <w:t xml:space="preserve">1.  Objectives of the Study</w:t>
      </w:r>
    </w:p>
    <w:p>
      <w:pPr>
        <w:spacing w:after="120"/>
      </w:pPr>
      <w:r>
        <w:rPr>
          <w:rFonts w:ascii="Calibri" w:cs="Calibri" w:eastAsia="Calibri" w:hAnsi="Calibri"/>
          <w:b/>
          <w:bCs/>
          <w:color w:val="1F6F8B"/>
          <w:sz w:val="19"/>
          <w:szCs w:val="19"/>
        </w:rPr>
        <w:t xml:space="preserve">Location:  </w:t>
      </w:r>
      <w:r>
        <w:rPr>
          <w:rFonts w:ascii="Calibri" w:cs="Calibri" w:eastAsia="Calibri" w:hAnsi="Calibri"/>
          <w:sz w:val="19"/>
          <w:szCs w:val="19"/>
        </w:rPr>
        <w:t xml:space="preserve">Page 16, Objectives of the Study. The bullet beginning “To test the developed system’s source code…”</w:t>
      </w:r>
    </w:p>
    <w:p>
      <w:pPr>
        <w:spacing w:after="60" w:before="200"/>
      </w:pPr>
      <w:r>
        <w:rPr>
          <w:rFonts w:ascii="Calibri" w:cs="Calibri" w:eastAsia="Calibri" w:hAnsi="Calibri"/>
          <w:b/>
          <w:bCs/>
          <w:color w:val="8A4A4A"/>
          <w:spacing w:val="20"/>
          <w:sz w:val="17"/>
          <w:szCs w:val="17"/>
        </w:rPr>
        <w:t xml:space="preserve">EXISTING TEXT</w:t>
      </w:r>
    </w:p>
    <w:p>
      <w:pPr>
        <w:pBdr>
          <w:left w:val="single" w:color="C9B5B5" w:sz="12" w:space="8"/>
        </w:pBdr>
        <w:shd w:fill="F6F1F1" w:val="clear"/>
        <w:spacing w:after="100" w:line="300"/>
        <w:ind w:left="340" w:right="200"/>
      </w:pPr>
      <w:r>
        <w:rPr>
          <w:rFonts w:ascii="Cambria" w:cs="Cambria" w:eastAsia="Cambria" w:hAnsi="Cambria"/>
          <w:sz w:val="20"/>
          <w:szCs w:val="20"/>
        </w:rPr>
        <w:t xml:space="preserve">To test the developed system’s source code using the ISO/IEC 5055 software quality standard, as assessed by the panel of algorithm experts, in order to verify the reliability, security, performance efficiency, and maintainability of the underlying implementation.</w:t>
      </w:r>
    </w:p>
    <w:p>
      <w:pPr>
        <w:spacing w:after="60" w:before="200"/>
      </w:pPr>
      <w:r>
        <w:rPr>
          <w:rFonts w:ascii="Calibri" w:cs="Calibri" w:eastAsia="Calibri" w:hAnsi="Calibri"/>
          <w:b/>
          <w:bCs/>
          <w:color w:val="3F6B3F"/>
          <w:spacing w:val="20"/>
          <w:sz w:val="17"/>
          <w:szCs w:val="17"/>
        </w:rPr>
        <w:t xml:space="preserve">REPLACEMENT TEXT</w:t>
      </w:r>
    </w:p>
    <w:p>
      <w:pPr>
        <w:pBdr>
          <w:left w:val="single" w:color="B9CFB9" w:sz="12" w:space="8"/>
        </w:pBdr>
        <w:shd w:fill="EDF3ED" w:val="clear"/>
        <w:spacing w:after="100" w:line="300"/>
        <w:ind w:left="340" w:right="200"/>
      </w:pPr>
      <w:r>
        <w:rPr>
          <w:rFonts w:ascii="Cambria" w:cs="Cambria" w:eastAsia="Cambria" w:hAnsi="Cambria"/>
          <w:sz w:val="20"/>
          <w:szCs w:val="20"/>
        </w:rPr>
        <w:t xml:space="preserve">To measure the developed system’s source code against the Reliability, Security, Performance Efficiency, and Maintainability characteristics of ISO/IEC 5055 using automated static analysis, and to corroborate those measurements through structured expert review by a panel of algorithm experts.</w:t>
      </w:r>
    </w:p>
    <w:p>
      <w:pPr>
        <w:spacing w:after="60" w:before="200"/>
      </w:pPr>
      <w:r>
        <w:rPr>
          <w:rFonts w:ascii="Calibri" w:cs="Calibri" w:eastAsia="Calibri" w:hAnsi="Calibri"/>
          <w:b/>
          <w:bCs/>
          <w:color w:val="1F6F8B"/>
          <w:spacing w:val="20"/>
          <w:sz w:val="17"/>
          <w:szCs w:val="17"/>
        </w:rPr>
        <w:t xml:space="preserve">WHY</w:t>
      </w:r>
    </w:p>
    <w:p>
      <w:pPr>
        <w:spacing w:after="240" w:line="300"/>
        <w:ind w:left="340"/>
      </w:pPr>
      <w:r>
        <w:rPr>
          <w:rFonts w:ascii="Calibri" w:cs="Calibri" w:eastAsia="Calibri" w:hAnsi="Calibri"/>
          <w:color w:val="3A3A3A"/>
          <w:sz w:val="19"/>
          <w:szCs w:val="19"/>
        </w:rPr>
        <w:t xml:space="preserve">This sentence contradicts your own Data Analysis section. Phase 3 states that “ISO/IEC 5055 automated source-code measures are reported separately from human judgment” and that expert “Likert responses are not presented as ISO/IEC 5055 measurements.” The objective says the opposite — that the standard is applied as assessed by the panel. A reader comparing the two passages will find the manuscript contradicting itself.</w:t>
      </w:r>
    </w:p>
    <w:p>
      <w:pPr>
        <w:spacing w:after="240" w:line="300"/>
        <w:ind w:left="340"/>
      </w:pPr>
      <w:r>
        <w:rPr>
          <w:rFonts w:ascii="Calibri" w:cs="Calibri" w:eastAsia="Calibri" w:hAnsi="Calibri"/>
          <w:color w:val="3A3A3A"/>
          <w:sz w:val="19"/>
          <w:szCs w:val="19"/>
        </w:rPr>
        <w:t xml:space="preserve">The objective is also the passage that misdescribes the standard. ISO/IEC 5055 measures quality by detecting and counting CWE-registered weaknesses, and each weakness carries detection patterns written to drive automated tools. A panel rating cannot produce a 5055 measure. The replacement aligns the objective with Phase 3 and with what the standard actually specifies.</w:t>
      </w:r>
    </w:p>
    <w:p>
      <w:pPr>
        <w:pStyle w:val="Heading2"/>
        <w:spacing w:after="140" w:before="380"/>
      </w:pPr>
      <w:r>
        <w:rPr>
          <w:rFonts w:ascii="Cambria" w:cs="Cambria" w:eastAsia="Cambria" w:hAnsi="Cambria"/>
          <w:b/>
          <w:bCs/>
          <w:color w:val="1A1A1A"/>
          <w:sz w:val="26"/>
          <w:szCs w:val="26"/>
        </w:rPr>
        <w:t xml:space="preserve">2.  Instruments — Technical Evaluation Framework</w:t>
      </w:r>
    </w:p>
    <w:p>
      <w:pPr>
        <w:spacing w:after="120"/>
      </w:pPr>
      <w:r>
        <w:rPr>
          <w:rFonts w:ascii="Calibri" w:cs="Calibri" w:eastAsia="Calibri" w:hAnsi="Calibri"/>
          <w:b/>
          <w:bCs/>
          <w:color w:val="1F6F8B"/>
          <w:sz w:val="19"/>
          <w:szCs w:val="19"/>
        </w:rPr>
        <w:t xml:space="preserve">Location:  </w:t>
      </w:r>
      <w:r>
        <w:rPr>
          <w:rFonts w:ascii="Calibri" w:cs="Calibri" w:eastAsia="Calibri" w:hAnsi="Calibri"/>
          <w:sz w:val="19"/>
          <w:szCs w:val="19"/>
        </w:rPr>
        <w:t xml:space="preserve">Page 26, Instruments, subsection Technical Evaluation Framework. Replace the first sentence of the paragraph; keep the remainder of the paragraph unchanged, as it describes the questionnaire correctly.</w:t>
      </w:r>
    </w:p>
    <w:p>
      <w:pPr>
        <w:spacing w:after="60" w:before="200"/>
      </w:pPr>
      <w:r>
        <w:rPr>
          <w:rFonts w:ascii="Calibri" w:cs="Calibri" w:eastAsia="Calibri" w:hAnsi="Calibri"/>
          <w:b/>
          <w:bCs/>
          <w:color w:val="8A4A4A"/>
          <w:spacing w:val="20"/>
          <w:sz w:val="17"/>
          <w:szCs w:val="17"/>
        </w:rPr>
        <w:t xml:space="preserve">EXISTING TEXT</w:t>
      </w:r>
    </w:p>
    <w:p>
      <w:pPr>
        <w:pBdr>
          <w:left w:val="single" w:color="C9B5B5" w:sz="12" w:space="8"/>
        </w:pBdr>
        <w:shd w:fill="F6F1F1" w:val="clear"/>
        <w:spacing w:after="100" w:line="300"/>
        <w:ind w:left="340" w:right="200"/>
      </w:pPr>
      <w:r>
        <w:rPr>
          <w:rFonts w:ascii="Cambria" w:cs="Cambria" w:eastAsia="Cambria" w:hAnsi="Cambria"/>
          <w:sz w:val="20"/>
          <w:szCs w:val="20"/>
        </w:rPr>
        <w:t xml:space="preserve">The technical evaluation uses a researcher-developed questionnaire aligned with the Reliability, Security, Performance Efficiency, and Maintainability characteristics relevant to ISO/IEC 5055.</w:t>
      </w:r>
    </w:p>
    <w:p>
      <w:pPr>
        <w:spacing w:after="60" w:before="200"/>
      </w:pPr>
      <w:r>
        <w:rPr>
          <w:rFonts w:ascii="Calibri" w:cs="Calibri" w:eastAsia="Calibri" w:hAnsi="Calibri"/>
          <w:b/>
          <w:bCs/>
          <w:color w:val="3F6B3F"/>
          <w:spacing w:val="20"/>
          <w:sz w:val="17"/>
          <w:szCs w:val="17"/>
        </w:rPr>
        <w:t xml:space="preserve">REPLACEMENT TEXT</w:t>
      </w:r>
    </w:p>
    <w:p>
      <w:pPr>
        <w:pBdr>
          <w:left w:val="single" w:color="B9CFB9" w:sz="12" w:space="8"/>
        </w:pBdr>
        <w:shd w:fill="EDF3ED" w:val="clear"/>
        <w:spacing w:after="100" w:line="300"/>
        <w:ind w:left="340" w:right="200"/>
      </w:pPr>
      <w:r>
        <w:rPr>
          <w:rFonts w:ascii="Cambria" w:cs="Cambria" w:eastAsia="Cambria" w:hAnsi="Cambria"/>
          <w:sz w:val="20"/>
          <w:szCs w:val="20"/>
        </w:rPr>
        <w:t xml:space="preserve">The technical evaluation has two components. ISO/IEC 5055-aligned measurement is performed by automated static analysis, and expert judgment is captured through a researcher-developed questionnaire aligned with the same four characteristics. The two are reported separately and are never combined.</w:t>
      </w:r>
    </w:p>
    <w:p>
      <w:pPr>
        <w:pBdr>
          <w:left w:val="single" w:color="B9CFB9" w:sz="12" w:space="8"/>
        </w:pBdr>
        <w:shd w:fill="EDF3ED" w:val="clear"/>
        <w:spacing w:after="100" w:line="300"/>
        <w:ind w:left="340" w:right="200"/>
      </w:pPr>
      <w:r>
        <w:rPr>
          <w:rFonts w:ascii="Cambria" w:cs="Cambria" w:eastAsia="Cambria" w:hAnsi="Cambria"/>
          <w:sz w:val="20"/>
          <w:szCs w:val="20"/>
        </w:rPr>
        <w:t xml:space="preserve">Automated measurement uses open-source analysers that emit CWE identifiers: Bandit 1.9.4 for Python security and error-handling weaknesses, Flawfinder 2.0.20 for C/C++ buffer and memory weaknesses, Cppcheck 2.21.0 for C++ correctness and code-quality weaknesses, and Radon 6.0.1 for cyclomatic complexity and maintainability index. Findings are aggregated against the four ISO/IEC 5055 measure definitions and normalised as weaknesses per thousand lines of code, over the scope each analyser actually covered. This is not an official ISO/IEC 5055 implementation, not a certification instrument, and not a substitute for a licensed conformant tool. The standard’s normative weakness list is licensed; the CWE-to-measure mapping used here is researcher-assigned from the published measure definitions.</w:t>
      </w:r>
    </w:p>
    <w:p>
      <w:pPr>
        <w:spacing w:after="60" w:before="200"/>
      </w:pPr>
      <w:r>
        <w:rPr>
          <w:rFonts w:ascii="Calibri" w:cs="Calibri" w:eastAsia="Calibri" w:hAnsi="Calibri"/>
          <w:b/>
          <w:bCs/>
          <w:color w:val="1F6F8B"/>
          <w:spacing w:val="20"/>
          <w:sz w:val="17"/>
          <w:szCs w:val="17"/>
        </w:rPr>
        <w:t xml:space="preserve">WHY</w:t>
      </w:r>
    </w:p>
    <w:p>
      <w:pPr>
        <w:spacing w:after="240" w:line="300"/>
        <w:ind w:left="340"/>
      </w:pPr>
      <w:r>
        <w:rPr>
          <w:rFonts w:ascii="Calibri" w:cs="Calibri" w:eastAsia="Calibri" w:hAnsi="Calibri"/>
          <w:color w:val="3A3A3A"/>
          <w:sz w:val="19"/>
          <w:szCs w:val="19"/>
        </w:rPr>
        <w:t xml:space="preserve">The section currently names no measurement method, so the objective’s promise of ISO/IEC 5055 measurement has no instrument behind it. Naming the analysers and their exact versions makes the measurement reproducible by a reader, and stating the limits in the Method chapter prevents the work being read as a certification claim.</w:t>
      </w:r>
    </w:p>
    <w:p>
      <w:pPr>
        <w:pStyle w:val="Heading2"/>
        <w:spacing w:after="140" w:before="380"/>
      </w:pPr>
      <w:r>
        <w:rPr>
          <w:rFonts w:ascii="Cambria" w:cs="Cambria" w:eastAsia="Cambria" w:hAnsi="Cambria"/>
          <w:b/>
          <w:bCs/>
          <w:color w:val="1A1A1A"/>
          <w:sz w:val="26"/>
          <w:szCs w:val="26"/>
        </w:rPr>
        <w:t xml:space="preserve">3.  Data Collection — INSERT</w:t>
      </w:r>
    </w:p>
    <w:p>
      <w:pPr>
        <w:spacing w:after="120"/>
      </w:pPr>
      <w:r>
        <w:rPr>
          <w:rFonts w:ascii="Calibri" w:cs="Calibri" w:eastAsia="Calibri" w:hAnsi="Calibri"/>
          <w:b/>
          <w:bCs/>
          <w:color w:val="1F6F8B"/>
          <w:sz w:val="19"/>
          <w:szCs w:val="19"/>
        </w:rPr>
        <w:t xml:space="preserve">Location:  </w:t>
      </w:r>
      <w:r>
        <w:rPr>
          <w:rFonts w:ascii="Calibri" w:cs="Calibri" w:eastAsia="Calibri" w:hAnsi="Calibri"/>
          <w:sz w:val="19"/>
          <w:szCs w:val="19"/>
        </w:rPr>
        <w:t xml:space="preserve">Page 29, Data Collection. Insert as a new paragraph immediately before the sentence beginning “Human evaluation will begin only after…”</w:t>
      </w:r>
    </w:p>
    <w:p>
      <w:pPr>
        <w:spacing w:after="60" w:before="200"/>
      </w:pPr>
      <w:r>
        <w:rPr>
          <w:rFonts w:ascii="Calibri" w:cs="Calibri" w:eastAsia="Calibri" w:hAnsi="Calibri"/>
          <w:b/>
          <w:bCs/>
          <w:color w:val="3F6B3F"/>
          <w:spacing w:val="20"/>
          <w:sz w:val="17"/>
          <w:szCs w:val="17"/>
        </w:rPr>
        <w:t xml:space="preserve">TEXT TO INSERT</w:t>
      </w:r>
    </w:p>
    <w:p>
      <w:pPr>
        <w:pBdr>
          <w:left w:val="single" w:color="B9CFB9" w:sz="12" w:space="8"/>
        </w:pBdr>
        <w:shd w:fill="EDF3ED" w:val="clear"/>
        <w:spacing w:after="100" w:line="300"/>
        <w:ind w:left="340" w:right="200"/>
      </w:pPr>
      <w:r>
        <w:rPr>
          <w:rFonts w:ascii="Cambria" w:cs="Cambria" w:eastAsia="Cambria" w:hAnsi="Cambria"/>
          <w:sz w:val="20"/>
          <w:szCs w:val="20"/>
        </w:rPr>
        <w:t xml:space="preserve">Automated source-code measurement was performed at commit 048c2fc against first-party source only: 22 Python modules totalling 6,620 lines and the C++17 accelerator totalling 1,159 lines, for a combined 7,780 lines. Third-party dependencies, virtual-environment packages, test fixtures, and benchmark corpora were excluded, as ISO/IEC 5055 measures the implementation under study rather than the libraries it consumes. Raw analyser output was retained for every run. Because static analysers over-report, each finding was triaged by source inspection and classified as a true or false positive with a written justification; only confirmed findings contribute to a reported measure. Findings were assigned the CWE confirmed on inspection rather than the identifier proposed by the tool, since triage can move a finding between measures.</w:t>
      </w:r>
    </w:p>
    <w:p>
      <w:pPr>
        <w:spacing w:after="60" w:before="200"/>
      </w:pPr>
      <w:r>
        <w:rPr>
          <w:rFonts w:ascii="Calibri" w:cs="Calibri" w:eastAsia="Calibri" w:hAnsi="Calibri"/>
          <w:b/>
          <w:bCs/>
          <w:color w:val="1F6F8B"/>
          <w:spacing w:val="20"/>
          <w:sz w:val="17"/>
          <w:szCs w:val="17"/>
        </w:rPr>
        <w:t xml:space="preserve">WHY</w:t>
      </w:r>
    </w:p>
    <w:p>
      <w:pPr>
        <w:spacing w:after="240" w:line="300"/>
        <w:ind w:left="340"/>
      </w:pPr>
      <w:r>
        <w:rPr>
          <w:rFonts w:ascii="Calibri" w:cs="Calibri" w:eastAsia="Calibri" w:hAnsi="Calibri"/>
          <w:color w:val="3A3A3A"/>
          <w:sz w:val="19"/>
          <w:szCs w:val="19"/>
        </w:rPr>
        <w:t xml:space="preserve">Scope control is part of the measurement, not a technicality. An initial run during this study that did not exclude the virtual environment reported 389,738 lines of code and 25 high-severity findings, none of which were in first-party code. Stating the scope boundary and the reason for it is what makes the reported density meaningful.</w:t>
      </w:r>
    </w:p>
    <w:p>
      <w:pPr>
        <w:spacing w:after="240" w:line="300"/>
        <w:ind w:left="340"/>
      </w:pPr>
      <w:r>
        <w:rPr>
          <w:rFonts w:ascii="Calibri" w:cs="Calibri" w:eastAsia="Calibri" w:hAnsi="Calibri"/>
          <w:color w:val="3A3A3A"/>
          <w:sz w:val="19"/>
          <w:szCs w:val="19"/>
        </w:rPr>
        <w:t xml:space="preserve">The final sentence matters for a different reason: triage moved findings between measures in this study, so the CWE recorded cannot be the one the tool proposed.</w:t>
      </w:r>
    </w:p>
    <w:p>
      <w:pPr>
        <w:pStyle w:val="Heading2"/>
        <w:spacing w:after="140" w:before="380"/>
      </w:pPr>
      <w:r>
        <w:rPr>
          <w:rFonts w:ascii="Cambria" w:cs="Cambria" w:eastAsia="Cambria" w:hAnsi="Cambria"/>
          <w:b/>
          <w:bCs/>
          <w:color w:val="1A1A1A"/>
          <w:sz w:val="26"/>
          <w:szCs w:val="26"/>
        </w:rPr>
        <w:t xml:space="preserve">4.  Data Analysis — Phase 3</w:t>
      </w:r>
    </w:p>
    <w:p>
      <w:pPr>
        <w:spacing w:after="120"/>
      </w:pPr>
      <w:r>
        <w:rPr>
          <w:rFonts w:ascii="Calibri" w:cs="Calibri" w:eastAsia="Calibri" w:hAnsi="Calibri"/>
          <w:b/>
          <w:bCs/>
          <w:color w:val="1F6F8B"/>
          <w:sz w:val="19"/>
          <w:szCs w:val="19"/>
        </w:rPr>
        <w:t xml:space="preserve">Location:  </w:t>
      </w:r>
      <w:r>
        <w:rPr>
          <w:rFonts w:ascii="Calibri" w:cs="Calibri" w:eastAsia="Calibri" w:hAnsi="Calibri"/>
          <w:sz w:val="19"/>
          <w:szCs w:val="19"/>
        </w:rPr>
        <w:t xml:space="preserve">Page 30–31, Data Analysis, the paragraph beginning “Phase 3 - Source-Code and Expert Review”</w:t>
      </w:r>
    </w:p>
    <w:p>
      <w:pPr>
        <w:spacing w:after="60" w:before="200"/>
      </w:pPr>
      <w:r>
        <w:rPr>
          <w:rFonts w:ascii="Calibri" w:cs="Calibri" w:eastAsia="Calibri" w:hAnsi="Calibri"/>
          <w:b/>
          <w:bCs/>
          <w:color w:val="8A4A4A"/>
          <w:spacing w:val="20"/>
          <w:sz w:val="17"/>
          <w:szCs w:val="17"/>
        </w:rPr>
        <w:t xml:space="preserve">EXISTING TEXT</w:t>
      </w:r>
    </w:p>
    <w:p>
      <w:pPr>
        <w:pBdr>
          <w:left w:val="single" w:color="C9B5B5" w:sz="12" w:space="8"/>
        </w:pBdr>
        <w:shd w:fill="F6F1F1" w:val="clear"/>
        <w:spacing w:after="100" w:line="300"/>
        <w:ind w:left="340" w:right="200"/>
      </w:pPr>
      <w:r>
        <w:rPr>
          <w:rFonts w:ascii="Cambria" w:cs="Cambria" w:eastAsia="Cambria" w:hAnsi="Cambria"/>
          <w:sz w:val="20"/>
          <w:szCs w:val="20"/>
        </w:rPr>
        <w:t xml:space="preserve">Phase 3 - Source-Code and Expert Review: ISO/IEC 5055 automated source-code measures are reported separately from human judgment. Experts audit the Bit Cost Decision Engine, lossless invariants, implementation clarity, and reproducibility using a dedicated review instrument; their Likert responses are not presented as ISO/IEC 5055 measurements.</w:t>
      </w:r>
    </w:p>
    <w:p>
      <w:pPr>
        <w:spacing w:after="60" w:before="200"/>
      </w:pPr>
      <w:r>
        <w:rPr>
          <w:rFonts w:ascii="Calibri" w:cs="Calibri" w:eastAsia="Calibri" w:hAnsi="Calibri"/>
          <w:b/>
          <w:bCs/>
          <w:color w:val="3F6B3F"/>
          <w:spacing w:val="20"/>
          <w:sz w:val="17"/>
          <w:szCs w:val="17"/>
        </w:rPr>
        <w:t xml:space="preserve">REPLACEMENT TEXT</w:t>
      </w:r>
    </w:p>
    <w:p>
      <w:pPr>
        <w:pBdr>
          <w:left w:val="single" w:color="B9CFB9" w:sz="12" w:space="8"/>
        </w:pBdr>
        <w:shd w:fill="EDF3ED" w:val="clear"/>
        <w:spacing w:after="100" w:line="300"/>
        <w:ind w:left="340" w:right="200"/>
      </w:pPr>
      <w:r>
        <w:rPr>
          <w:rFonts w:ascii="Cambria" w:cs="Cambria" w:eastAsia="Cambria" w:hAnsi="Cambria"/>
          <w:sz w:val="20"/>
          <w:szCs w:val="20"/>
        </w:rPr>
        <w:t xml:space="preserve">Phase 3 - Source-Code and Expert Review: ISO/IEC 5055 automated source-code measures are reported separately from human judgment. Automated findings are aggregated per measure and reported as three figures: the raw count returned by the analysers, the count confirmed on triage, and the resulting false-positive rate. Confirmed counts are normalised as weaknesses per thousand lines of code over the scope the relevant analyser covered, so a density is never computed over source the analyser did not examine. A measure returning no findings is reported as such only where an analyser covering that measure was actually run; otherwise the absence is reported as a coverage limitation rather than as a result. Experts audit the Bit Cost Decision Engine, lossless invariants, implementation clarity, and reproducibility using a dedicated review instrument; their Likert responses are not presented as ISO/IEC 5055 measurements. Expert triage of automated findings, however, does contribute to the reported measures, since the classification of a finding as a true or false positive is a judgment the analysers cannot make.</w:t>
      </w:r>
    </w:p>
    <w:p>
      <w:pPr>
        <w:spacing w:after="60" w:before="200"/>
      </w:pPr>
      <w:r>
        <w:rPr>
          <w:rFonts w:ascii="Calibri" w:cs="Calibri" w:eastAsia="Calibri" w:hAnsi="Calibri"/>
          <w:b/>
          <w:bCs/>
          <w:color w:val="1F6F8B"/>
          <w:spacing w:val="20"/>
          <w:sz w:val="17"/>
          <w:szCs w:val="17"/>
        </w:rPr>
        <w:t xml:space="preserve">WHY</w:t>
      </w:r>
    </w:p>
    <w:p>
      <w:pPr>
        <w:spacing w:after="240" w:line="300"/>
        <w:ind w:left="340"/>
      </w:pPr>
      <w:r>
        <w:rPr>
          <w:rFonts w:ascii="Calibri" w:cs="Calibri" w:eastAsia="Calibri" w:hAnsi="Calibri"/>
          <w:color w:val="3A3A3A"/>
          <w:sz w:val="19"/>
          <w:szCs w:val="19"/>
        </w:rPr>
        <w:t xml:space="preserve">The existing sentence establishes the correct separation but never says how the automated measures are produced or reported. The addition specifies the three-figure reporting format, the normalisation rule, and the distinction between a measured zero and an unmeasured characteristic — a distinction that matters here, because Performance Efficiency returned nothing for lack of a covering analyser.</w:t>
      </w:r>
    </w:p>
    <w:p>
      <w:pPr>
        <w:spacing w:after="240" w:line="300"/>
        <w:ind w:left="340"/>
      </w:pPr>
      <w:r>
        <w:rPr>
          <w:rFonts w:ascii="Calibri" w:cs="Calibri" w:eastAsia="Calibri" w:hAnsi="Calibri"/>
          <w:color w:val="3A3A3A"/>
          <w:sz w:val="19"/>
          <w:szCs w:val="19"/>
        </w:rPr>
        <w:t xml:space="preserve">The closing sentence resolves an ambiguity the original leaves open. Expert judgment is excluded from the Likert scores but is required for triage, and without saying so the reader cannot tell how a raw count became a confirmed count.</w:t>
      </w:r>
    </w:p>
    <w:p>
      <w:pPr>
        <w:pStyle w:val="Heading2"/>
        <w:spacing w:after="140" w:before="380"/>
      </w:pPr>
      <w:r>
        <w:rPr>
          <w:rFonts w:ascii="Cambria" w:cs="Cambria" w:eastAsia="Cambria" w:hAnsi="Cambria"/>
          <w:b/>
          <w:bCs/>
          <w:color w:val="1A1A1A"/>
          <w:sz w:val="26"/>
          <w:szCs w:val="26"/>
        </w:rPr>
        <w:t xml:space="preserve">5.  Research Procedure — INSERT</w:t>
      </w:r>
    </w:p>
    <w:p>
      <w:pPr>
        <w:spacing w:after="120"/>
      </w:pPr>
      <w:r>
        <w:rPr>
          <w:rFonts w:ascii="Calibri" w:cs="Calibri" w:eastAsia="Calibri" w:hAnsi="Calibri"/>
          <w:b/>
          <w:bCs/>
          <w:color w:val="1F6F8B"/>
          <w:sz w:val="19"/>
          <w:szCs w:val="19"/>
        </w:rPr>
        <w:t xml:space="preserve">Location:  </w:t>
      </w:r>
      <w:r>
        <w:rPr>
          <w:rFonts w:ascii="Calibri" w:cs="Calibri" w:eastAsia="Calibri" w:hAnsi="Calibri"/>
          <w:sz w:val="19"/>
          <w:szCs w:val="19"/>
        </w:rPr>
        <w:t xml:space="preserve">Page 31, Research Procedure. Insert as a new numbered step immediately after the step headed “Controlled Execution and Automated Testing.”</w:t>
      </w:r>
    </w:p>
    <w:p>
      <w:pPr>
        <w:spacing w:after="60" w:before="200"/>
      </w:pPr>
      <w:r>
        <w:rPr>
          <w:rFonts w:ascii="Calibri" w:cs="Calibri" w:eastAsia="Calibri" w:hAnsi="Calibri"/>
          <w:b/>
          <w:bCs/>
          <w:color w:val="3F6B3F"/>
          <w:spacing w:val="20"/>
          <w:sz w:val="17"/>
          <w:szCs w:val="17"/>
        </w:rPr>
        <w:t xml:space="preserve">TEXT TO INSERT</w:t>
      </w:r>
    </w:p>
    <w:p>
      <w:pPr>
        <w:pBdr>
          <w:left w:val="single" w:color="B9CFB9" w:sz="12" w:space="8"/>
        </w:pBdr>
        <w:shd w:fill="EDF3ED" w:val="clear"/>
        <w:spacing w:after="100" w:line="300"/>
        <w:ind w:left="340" w:right="200"/>
      </w:pPr>
      <w:r>
        <w:rPr>
          <w:rFonts w:ascii="Cambria" w:cs="Cambria" w:eastAsia="Cambria" w:hAnsi="Cambria"/>
          <w:sz w:val="20"/>
          <w:szCs w:val="20"/>
        </w:rPr>
        <w:t xml:space="preserve">Automated Source-Code Measurement. The source tree is pinned at a fixed commit and scanned with the CWE-emitting analysers named in Instruments. Raw output is retained for reproducibility. Every finding is triaged by source inspection against the surrounding control flow, recorded with a verdict and a written justification, and assigned the CWE confirmed on inspection. Only confirmed findings enter the reported measures.</w:t>
      </w:r>
    </w:p>
    <w:p>
      <w:pPr>
        <w:spacing w:after="60" w:before="200"/>
      </w:pPr>
      <w:r>
        <w:rPr>
          <w:rFonts w:ascii="Calibri" w:cs="Calibri" w:eastAsia="Calibri" w:hAnsi="Calibri"/>
          <w:b/>
          <w:bCs/>
          <w:color w:val="1F6F8B"/>
          <w:spacing w:val="20"/>
          <w:sz w:val="17"/>
          <w:szCs w:val="17"/>
        </w:rPr>
        <w:t xml:space="preserve">WHY</w:t>
      </w:r>
    </w:p>
    <w:p>
      <w:pPr>
        <w:spacing w:after="240" w:line="300"/>
        <w:ind w:left="340"/>
      </w:pPr>
      <w:r>
        <w:rPr>
          <w:rFonts w:ascii="Calibri" w:cs="Calibri" w:eastAsia="Calibri" w:hAnsi="Calibri"/>
          <w:color w:val="3A3A3A"/>
          <w:sz w:val="19"/>
          <w:szCs w:val="19"/>
        </w:rPr>
        <w:t xml:space="preserve">Research Procedure lists every other execution step in the study in sequence. Automated measurement is a distinct procedural step with its own inputs, outputs, and control conditions, and its omission leaves a gap between Controlled Execution and Participant Evaluation.</w:t>
      </w:r>
    </w:p>
    <w:p>
      <w:pPr>
        <w:pStyle w:val="Heading1"/>
        <w:pageBreakBefore/>
        <w:pBdr>
          <w:bottom w:val="single" w:color="1F6F8B" w:sz="8" w:space="6"/>
        </w:pBdr>
        <w:spacing w:after="220" w:before="200"/>
      </w:pPr>
      <w:r>
        <w:rPr>
          <w:rFonts w:ascii="Cambria" w:cs="Cambria" w:eastAsia="Cambria" w:hAnsi="Cambria"/>
          <w:b/>
          <w:bCs/>
          <w:color w:val="1F6F8B"/>
          <w:sz w:val="30"/>
          <w:szCs w:val="30"/>
        </w:rPr>
        <w:t xml:space="preserve">Part 2 — Tense Conversion You Can Apply Now</w:t>
      </w:r>
    </w:p>
    <w:p>
      <w:pPr>
        <w:spacing w:after="260" w:line="300"/>
      </w:pPr>
      <w:r>
        <w:rPr>
          <w:rFonts w:ascii="Calibri" w:cs="Calibri" w:eastAsia="Calibri" w:hAnsi="Calibri"/>
          <w:b w:val="false"/>
          <w:bCs w:val="false"/>
          <w:i w:val="false"/>
          <w:iCs w:val="false"/>
          <w:color w:val="000000"/>
          <w:sz w:val="20"/>
          <w:szCs w:val="20"/>
        </w:rPr>
        <w:t xml:space="preserve">These passages describe work that has already been carried out. In a completed study they must read in the past tense.</w:t>
      </w:r>
    </w:p>
    <w:p>
      <w:pPr>
        <w:pStyle w:val="Heading2"/>
        <w:spacing w:after="140" w:before="380"/>
      </w:pPr>
      <w:r>
        <w:rPr>
          <w:rFonts w:ascii="Cambria" w:cs="Cambria" w:eastAsia="Cambria" w:hAnsi="Cambria"/>
          <w:b/>
          <w:bCs/>
          <w:color w:val="1A1A1A"/>
          <w:sz w:val="26"/>
          <w:szCs w:val="26"/>
        </w:rPr>
        <w:t xml:space="preserve">6.  Participants</w:t>
      </w:r>
    </w:p>
    <w:p>
      <w:pPr>
        <w:spacing w:after="120"/>
      </w:pPr>
      <w:r>
        <w:rPr>
          <w:rFonts w:ascii="Calibri" w:cs="Calibri" w:eastAsia="Calibri" w:hAnsi="Calibri"/>
          <w:b/>
          <w:bCs/>
          <w:color w:val="1F6F8B"/>
          <w:sz w:val="19"/>
          <w:szCs w:val="19"/>
        </w:rPr>
        <w:t xml:space="preserve">Location:  </w:t>
      </w:r>
      <w:r>
        <w:rPr>
          <w:rFonts w:ascii="Calibri" w:cs="Calibri" w:eastAsia="Calibri" w:hAnsi="Calibri"/>
          <w:sz w:val="19"/>
          <w:szCs w:val="19"/>
        </w:rPr>
        <w:t xml:space="preserve">Page 24, Participants, opening sentence.</w:t>
      </w:r>
    </w:p>
    <w:p>
      <w:pPr>
        <w:spacing w:after="60" w:before="200"/>
      </w:pPr>
      <w:r>
        <w:rPr>
          <w:rFonts w:ascii="Calibri" w:cs="Calibri" w:eastAsia="Calibri" w:hAnsi="Calibri"/>
          <w:b/>
          <w:bCs/>
          <w:color w:val="8A4A4A"/>
          <w:spacing w:val="20"/>
          <w:sz w:val="17"/>
          <w:szCs w:val="17"/>
        </w:rPr>
        <w:t xml:space="preserve">EXISTING TEXT</w:t>
      </w:r>
    </w:p>
    <w:p>
      <w:pPr>
        <w:pBdr>
          <w:left w:val="single" w:color="C9B5B5" w:sz="12" w:space="8"/>
        </w:pBdr>
        <w:shd w:fill="F6F1F1" w:val="clear"/>
        <w:spacing w:after="100" w:line="300"/>
        <w:ind w:left="340" w:right="200"/>
      </w:pPr>
      <w:r>
        <w:rPr>
          <w:rFonts w:ascii="Cambria" w:cs="Cambria" w:eastAsia="Cambria" w:hAnsi="Cambria"/>
          <w:sz w:val="20"/>
          <w:szCs w:val="20"/>
        </w:rPr>
        <w:t xml:space="preserve">To obtain a complete view of system quality, the study will use purposive sampling to select three distinct groups of evaluators, each assessing a different layer of the project.</w:t>
      </w:r>
    </w:p>
    <w:p>
      <w:pPr>
        <w:spacing w:after="60" w:before="200"/>
      </w:pPr>
      <w:r>
        <w:rPr>
          <w:rFonts w:ascii="Calibri" w:cs="Calibri" w:eastAsia="Calibri" w:hAnsi="Calibri"/>
          <w:b/>
          <w:bCs/>
          <w:color w:val="3F6B3F"/>
          <w:spacing w:val="20"/>
          <w:sz w:val="17"/>
          <w:szCs w:val="17"/>
        </w:rPr>
        <w:t xml:space="preserve">REPLACEMENT TEXT</w:t>
      </w:r>
    </w:p>
    <w:p>
      <w:pPr>
        <w:pBdr>
          <w:left w:val="single" w:color="B9CFB9" w:sz="12" w:space="8"/>
        </w:pBdr>
        <w:shd w:fill="EDF3ED" w:val="clear"/>
        <w:spacing w:after="100" w:line="300"/>
        <w:ind w:left="340" w:right="200"/>
      </w:pPr>
      <w:r>
        <w:rPr>
          <w:rFonts w:ascii="Cambria" w:cs="Cambria" w:eastAsia="Cambria" w:hAnsi="Cambria"/>
          <w:sz w:val="20"/>
          <w:szCs w:val="20"/>
        </w:rPr>
        <w:t xml:space="preserve">To obtain a complete view of system quality, the study used purposive sampling to select three distinct groups of evaluators, each assessing a different layer of the project.</w:t>
      </w:r>
    </w:p>
    <w:p>
      <w:pPr>
        <w:spacing w:after="60" w:before="200"/>
      </w:pPr>
      <w:r>
        <w:rPr>
          <w:rFonts w:ascii="Calibri" w:cs="Calibri" w:eastAsia="Calibri" w:hAnsi="Calibri"/>
          <w:b/>
          <w:bCs/>
          <w:color w:val="1F6F8B"/>
          <w:spacing w:val="20"/>
          <w:sz w:val="17"/>
          <w:szCs w:val="17"/>
        </w:rPr>
        <w:t xml:space="preserve">WHY</w:t>
      </w:r>
    </w:p>
    <w:p>
      <w:pPr>
        <w:spacing w:after="240" w:line="300"/>
        <w:ind w:left="340"/>
      </w:pPr>
      <w:r>
        <w:rPr>
          <w:rFonts w:ascii="Calibri" w:cs="Calibri" w:eastAsia="Calibri" w:hAnsi="Calibri"/>
          <w:color w:val="3A3A3A"/>
          <w:sz w:val="19"/>
          <w:szCs w:val="19"/>
        </w:rPr>
        <w:t xml:space="preserve">The sampling strategy was decided and applied; it is not a future intention. Note that the sentences describing what each group will do remain future-tense and are addressed in Part 4.</w:t>
      </w:r>
    </w:p>
    <w:p>
      <w:pPr>
        <w:pStyle w:val="Heading2"/>
        <w:spacing w:after="140" w:before="380"/>
      </w:pPr>
      <w:r>
        <w:rPr>
          <w:rFonts w:ascii="Cambria" w:cs="Cambria" w:eastAsia="Cambria" w:hAnsi="Cambria"/>
          <w:b/>
          <w:bCs/>
          <w:color w:val="1A1A1A"/>
          <w:sz w:val="26"/>
          <w:szCs w:val="26"/>
        </w:rPr>
        <w:t xml:space="preserve">7.  Instruments — The Control Environment</w:t>
      </w:r>
    </w:p>
    <w:p>
      <w:pPr>
        <w:spacing w:after="120"/>
      </w:pPr>
      <w:r>
        <w:rPr>
          <w:rFonts w:ascii="Calibri" w:cs="Calibri" w:eastAsia="Calibri" w:hAnsi="Calibri"/>
          <w:b/>
          <w:bCs/>
          <w:color w:val="1F6F8B"/>
          <w:sz w:val="19"/>
          <w:szCs w:val="19"/>
        </w:rPr>
        <w:t xml:space="preserve">Location:  </w:t>
      </w:r>
      <w:r>
        <w:rPr>
          <w:rFonts w:ascii="Calibri" w:cs="Calibri" w:eastAsia="Calibri" w:hAnsi="Calibri"/>
          <w:sz w:val="19"/>
          <w:szCs w:val="19"/>
        </w:rPr>
        <w:t xml:space="preserve">Page 28, Instruments, subsection The Control Environment. Two sentences.</w:t>
      </w:r>
    </w:p>
    <w:p>
      <w:pPr>
        <w:spacing w:after="60" w:before="200"/>
      </w:pPr>
      <w:r>
        <w:rPr>
          <w:rFonts w:ascii="Calibri" w:cs="Calibri" w:eastAsia="Calibri" w:hAnsi="Calibri"/>
          <w:b/>
          <w:bCs/>
          <w:color w:val="8A4A4A"/>
          <w:spacing w:val="20"/>
          <w:sz w:val="17"/>
          <w:szCs w:val="17"/>
        </w:rPr>
        <w:t xml:space="preserve">EXISTING TEXT</w:t>
      </w:r>
    </w:p>
    <w:p>
      <w:pPr>
        <w:pBdr>
          <w:left w:val="single" w:color="C9B5B5" w:sz="12" w:space="8"/>
        </w:pBdr>
        <w:shd w:fill="F6F1F1" w:val="clear"/>
        <w:spacing w:after="100" w:line="300"/>
        <w:ind w:left="340" w:right="200"/>
      </w:pPr>
      <w:r>
        <w:rPr>
          <w:rFonts w:ascii="Cambria" w:cs="Cambria" w:eastAsia="Cambria" w:hAnsi="Cambria"/>
          <w:sz w:val="20"/>
          <w:szCs w:val="20"/>
        </w:rPr>
        <w:t xml:space="preserve">The Control Environment: To ensure that speed and memory metrics are accurate, all benchmark tests will be executed in a strictly controlled environment. The testing machine will be isolated from the internet and all non-essential background applications disabled.</w:t>
      </w:r>
    </w:p>
    <w:p>
      <w:pPr>
        <w:spacing w:after="60" w:before="200"/>
      </w:pPr>
      <w:r>
        <w:rPr>
          <w:rFonts w:ascii="Calibri" w:cs="Calibri" w:eastAsia="Calibri" w:hAnsi="Calibri"/>
          <w:b/>
          <w:bCs/>
          <w:color w:val="3F6B3F"/>
          <w:spacing w:val="20"/>
          <w:sz w:val="17"/>
          <w:szCs w:val="17"/>
        </w:rPr>
        <w:t xml:space="preserve">REPLACEMENT TEXT</w:t>
      </w:r>
    </w:p>
    <w:p>
      <w:pPr>
        <w:pBdr>
          <w:left w:val="single" w:color="B9CFB9" w:sz="12" w:space="8"/>
        </w:pBdr>
        <w:shd w:fill="EDF3ED" w:val="clear"/>
        <w:spacing w:after="100" w:line="300"/>
        <w:ind w:left="340" w:right="200"/>
      </w:pPr>
      <w:r>
        <w:rPr>
          <w:rFonts w:ascii="Cambria" w:cs="Cambria" w:eastAsia="Cambria" w:hAnsi="Cambria"/>
          <w:sz w:val="20"/>
          <w:szCs w:val="20"/>
        </w:rPr>
        <w:t xml:space="preserve">The Control Environment: To ensure that speed and memory metrics are accurate, all benchmark tests were executed in a strictly controlled environment. The testing machine was isolated from the internet and all non-essential background applications disabled.</w:t>
      </w:r>
    </w:p>
    <w:p>
      <w:pPr>
        <w:spacing w:after="60" w:before="200"/>
      </w:pPr>
      <w:r>
        <w:rPr>
          <w:rFonts w:ascii="Calibri" w:cs="Calibri" w:eastAsia="Calibri" w:hAnsi="Calibri"/>
          <w:b/>
          <w:bCs/>
          <w:color w:val="1F6F8B"/>
          <w:spacing w:val="20"/>
          <w:sz w:val="17"/>
          <w:szCs w:val="17"/>
        </w:rPr>
        <w:t xml:space="preserve">WHY</w:t>
      </w:r>
    </w:p>
    <w:p>
      <w:pPr>
        <w:spacing w:after="240" w:line="300"/>
        <w:ind w:left="340"/>
      </w:pPr>
      <w:r>
        <w:rPr>
          <w:rFonts w:ascii="Calibri" w:cs="Calibri" w:eastAsia="Calibri" w:hAnsi="Calibri"/>
          <w:color w:val="3A3A3A"/>
          <w:sz w:val="19"/>
          <w:szCs w:val="19"/>
        </w:rPr>
        <w:t xml:space="preserve">Your Abstract already reports completed measurements across 980 GovDocs1 documents and the full Canterbury and Silesia corpora. Those benchmarks were run under this control environment, so describing the environment as a future arrangement contradicts results already stated in the manuscript.</w:t>
      </w:r>
    </w:p>
    <w:p>
      <w:pPr>
        <w:pStyle w:val="Heading2"/>
        <w:spacing w:after="140" w:before="380"/>
      </w:pPr>
      <w:r>
        <w:rPr>
          <w:rFonts w:ascii="Cambria" w:cs="Cambria" w:eastAsia="Cambria" w:hAnsi="Cambria"/>
          <w:b/>
          <w:bCs/>
          <w:color w:val="1A1A1A"/>
          <w:sz w:val="26"/>
          <w:szCs w:val="26"/>
        </w:rPr>
        <w:t xml:space="preserve">8.  Data Analysis — opening sentence</w:t>
      </w:r>
    </w:p>
    <w:p>
      <w:pPr>
        <w:spacing w:after="120"/>
      </w:pPr>
      <w:r>
        <w:rPr>
          <w:rFonts w:ascii="Calibri" w:cs="Calibri" w:eastAsia="Calibri" w:hAnsi="Calibri"/>
          <w:b/>
          <w:bCs/>
          <w:color w:val="1F6F8B"/>
          <w:sz w:val="19"/>
          <w:szCs w:val="19"/>
        </w:rPr>
        <w:t xml:space="preserve">Location:  </w:t>
      </w:r>
      <w:r>
        <w:rPr>
          <w:rFonts w:ascii="Calibri" w:cs="Calibri" w:eastAsia="Calibri" w:hAnsi="Calibri"/>
          <w:sz w:val="19"/>
          <w:szCs w:val="19"/>
        </w:rPr>
        <w:t xml:space="preserve">Page 29, Data Analysis, opening sentence.</w:t>
      </w:r>
    </w:p>
    <w:p>
      <w:pPr>
        <w:spacing w:after="60" w:before="200"/>
      </w:pPr>
      <w:r>
        <w:rPr>
          <w:rFonts w:ascii="Calibri" w:cs="Calibri" w:eastAsia="Calibri" w:hAnsi="Calibri"/>
          <w:b/>
          <w:bCs/>
          <w:color w:val="8A4A4A"/>
          <w:spacing w:val="20"/>
          <w:sz w:val="17"/>
          <w:szCs w:val="17"/>
        </w:rPr>
        <w:t xml:space="preserve">EXISTING TEXT</w:t>
      </w:r>
    </w:p>
    <w:p>
      <w:pPr>
        <w:pBdr>
          <w:left w:val="single" w:color="C9B5B5" w:sz="12" w:space="8"/>
        </w:pBdr>
        <w:shd w:fill="F6F1F1" w:val="clear"/>
        <w:spacing w:after="100" w:line="300"/>
        <w:ind w:left="340" w:right="200"/>
      </w:pPr>
      <w:r>
        <w:rPr>
          <w:rFonts w:ascii="Cambria" w:cs="Cambria" w:eastAsia="Cambria" w:hAnsi="Cambria"/>
          <w:sz w:val="20"/>
          <w:szCs w:val="20"/>
        </w:rPr>
        <w:t xml:space="preserve">The researchers will implement a three-phase approach to data analysis, covering both the mathematical benchmarks and the human feedback.</w:t>
      </w:r>
    </w:p>
    <w:p>
      <w:pPr>
        <w:spacing w:after="60" w:before="200"/>
      </w:pPr>
      <w:r>
        <w:rPr>
          <w:rFonts w:ascii="Calibri" w:cs="Calibri" w:eastAsia="Calibri" w:hAnsi="Calibri"/>
          <w:b/>
          <w:bCs/>
          <w:color w:val="3F6B3F"/>
          <w:spacing w:val="20"/>
          <w:sz w:val="17"/>
          <w:szCs w:val="17"/>
        </w:rPr>
        <w:t xml:space="preserve">REPLACEMENT TEXT</w:t>
      </w:r>
    </w:p>
    <w:p>
      <w:pPr>
        <w:pBdr>
          <w:left w:val="single" w:color="B9CFB9" w:sz="12" w:space="8"/>
        </w:pBdr>
        <w:shd w:fill="EDF3ED" w:val="clear"/>
        <w:spacing w:after="100" w:line="300"/>
        <w:ind w:left="340" w:right="200"/>
      </w:pPr>
      <w:r>
        <w:rPr>
          <w:rFonts w:ascii="Cambria" w:cs="Cambria" w:eastAsia="Cambria" w:hAnsi="Cambria"/>
          <w:sz w:val="20"/>
          <w:szCs w:val="20"/>
        </w:rPr>
        <w:t xml:space="preserve">The researchers implemented a three-phase approach to data analysis, covering both the mathematical benchmarks and the human feedback.</w:t>
      </w:r>
    </w:p>
    <w:p>
      <w:pPr>
        <w:spacing w:after="60" w:before="200"/>
      </w:pPr>
      <w:r>
        <w:rPr>
          <w:rFonts w:ascii="Calibri" w:cs="Calibri" w:eastAsia="Calibri" w:hAnsi="Calibri"/>
          <w:b/>
          <w:bCs/>
          <w:color w:val="1F6F8B"/>
          <w:spacing w:val="20"/>
          <w:sz w:val="17"/>
          <w:szCs w:val="17"/>
        </w:rPr>
        <w:t xml:space="preserve">WHY</w:t>
      </w:r>
    </w:p>
    <w:p>
      <w:pPr>
        <w:spacing w:after="240" w:line="300"/>
        <w:ind w:left="340"/>
      </w:pPr>
      <w:r>
        <w:rPr>
          <w:rFonts w:ascii="Calibri" w:cs="Calibri" w:eastAsia="Calibri" w:hAnsi="Calibri"/>
          <w:color w:val="3A3A3A"/>
          <w:sz w:val="19"/>
          <w:szCs w:val="19"/>
        </w:rPr>
        <w:t xml:space="preserve">Phase 1 is reported in the past tense throughout the same section — “A component ablation was conducted in two stages” — so the opening sentence is inconsistent with the paragraph it introduces.</w:t>
      </w:r>
    </w:p>
    <w:p>
      <w:pPr>
        <w:pStyle w:val="Heading1"/>
        <w:pageBreakBefore/>
        <w:pBdr>
          <w:bottom w:val="single" w:color="1F6F8B" w:sz="8" w:space="6"/>
        </w:pBdr>
        <w:spacing w:after="220" w:before="200"/>
      </w:pPr>
      <w:r>
        <w:rPr>
          <w:rFonts w:ascii="Cambria" w:cs="Cambria" w:eastAsia="Cambria" w:hAnsi="Cambria"/>
          <w:b/>
          <w:bCs/>
          <w:color w:val="1F6F8B"/>
          <w:sz w:val="30"/>
          <w:szCs w:val="30"/>
        </w:rPr>
        <w:t xml:space="preserve">Part 3 — Must Be Resolved Before Submission</w:t>
      </w:r>
    </w:p>
    <w:p>
      <w:pPr>
        <w:pStyle w:val="Heading2"/>
        <w:spacing w:after="140" w:before="380"/>
      </w:pPr>
      <w:r>
        <w:rPr>
          <w:rFonts w:ascii="Cambria" w:cs="Cambria" w:eastAsia="Cambria" w:hAnsi="Cambria"/>
          <w:b/>
          <w:bCs/>
          <w:color w:val="1A1A1A"/>
          <w:sz w:val="26"/>
          <w:szCs w:val="26"/>
        </w:rPr>
        <w:t xml:space="preserve">9.  Data Collection — the conditional timing study</w:t>
      </w:r>
    </w:p>
    <w:p>
      <w:pPr>
        <w:spacing w:after="120"/>
      </w:pPr>
      <w:r>
        <w:rPr>
          <w:rFonts w:ascii="Calibri" w:cs="Calibri" w:eastAsia="Calibri" w:hAnsi="Calibri"/>
          <w:b/>
          <w:bCs/>
          <w:color w:val="1F6F8B"/>
          <w:sz w:val="19"/>
          <w:szCs w:val="19"/>
        </w:rPr>
        <w:t xml:space="preserve">Location:  </w:t>
      </w:r>
      <w:r>
        <w:rPr>
          <w:rFonts w:ascii="Calibri" w:cs="Calibri" w:eastAsia="Calibri" w:hAnsi="Calibri"/>
          <w:sz w:val="19"/>
          <w:szCs w:val="19"/>
        </w:rPr>
        <w:t xml:space="preserve">Page 29, Data Collection, the sentence beginning “If completed, compression and decompression timing…”</w:t>
      </w:r>
    </w:p>
    <w:p>
      <w:pPr>
        <w:spacing w:after="60" w:before="200"/>
      </w:pPr>
      <w:r>
        <w:rPr>
          <w:rFonts w:ascii="Calibri" w:cs="Calibri" w:eastAsia="Calibri" w:hAnsi="Calibri"/>
          <w:b/>
          <w:bCs/>
          <w:color w:val="8A4A4A"/>
          <w:spacing w:val="20"/>
          <w:sz w:val="17"/>
          <w:szCs w:val="17"/>
        </w:rPr>
        <w:t xml:space="preserve">EXISTING TEXT</w:t>
      </w:r>
    </w:p>
    <w:p>
      <w:pPr>
        <w:pBdr>
          <w:left w:val="single" w:color="C9B5B5" w:sz="12" w:space="8"/>
        </w:pBdr>
        <w:shd w:fill="F6F1F1" w:val="clear"/>
        <w:spacing w:after="100" w:line="300"/>
        <w:ind w:left="340" w:right="200"/>
      </w:pPr>
      <w:r>
        <w:rPr>
          <w:rFonts w:ascii="Cambria" w:cs="Cambria" w:eastAsia="Cambria" w:hAnsi="Cambria"/>
          <w:sz w:val="20"/>
          <w:szCs w:val="20"/>
        </w:rPr>
        <w:t xml:space="preserve">The final repeated timing study remains separate from these deterministic size audits. If completed, compression and decompression timing will be repeated under the fixed control environment so that variability can be summarized without treating repeated measurements of the same file as independent experimental units.</w:t>
      </w:r>
    </w:p>
    <w:p>
      <w:pPr>
        <w:spacing w:after="60" w:before="200"/>
      </w:pPr>
      <w:r>
        <w:rPr>
          <w:rFonts w:ascii="Calibri" w:cs="Calibri" w:eastAsia="Calibri" w:hAnsi="Calibri"/>
          <w:b/>
          <w:bCs/>
          <w:color w:val="3F6B3F"/>
          <w:spacing w:val="20"/>
          <w:sz w:val="17"/>
          <w:szCs w:val="17"/>
        </w:rPr>
        <w:t xml:space="preserve">REPLACEMENT TEXT</w:t>
      </w:r>
    </w:p>
    <w:p>
      <w:pPr>
        <w:pBdr>
          <w:left w:val="single" w:color="B9CFB9" w:sz="12" w:space="8"/>
        </w:pBdr>
        <w:shd w:fill="EDF3ED" w:val="clear"/>
        <w:spacing w:after="100" w:line="300"/>
        <w:ind w:left="340" w:right="200"/>
      </w:pPr>
      <w:r>
        <w:rPr>
          <w:rFonts w:ascii="Cambria" w:cs="Cambria" w:eastAsia="Cambria" w:hAnsi="Cambria"/>
          <w:sz w:val="20"/>
          <w:szCs w:val="20"/>
        </w:rPr>
        <w:t xml:space="preserve">If the timing study was run, replace with:</w:t>
      </w:r>
    </w:p>
    <w:p>
      <w:pPr>
        <w:pBdr>
          <w:left w:val="single" w:color="B9CFB9" w:sz="12" w:space="8"/>
        </w:pBdr>
        <w:shd w:fill="EDF3ED" w:val="clear"/>
        <w:spacing w:after="100" w:line="300"/>
        <w:ind w:left="340" w:right="200"/>
      </w:pPr>
      <w:r>
        <w:rPr>
          <w:rFonts w:ascii="Cambria" w:cs="Cambria" w:eastAsia="Cambria" w:hAnsi="Cambria"/>
          <w:sz w:val="20"/>
          <w:szCs w:val="20"/>
        </w:rPr>
        <w:t xml:space="preserve">The final repeated timing study is reported separately from these deterministic size audits. Compression and decompression timing was repeated under the fixed control environment so that variability could be summarized without treating repeated measurements of the same file as independent experimental units.</w:t>
      </w:r>
    </w:p>
    <w:p>
      <w:pPr>
        <w:pBdr>
          <w:left w:val="single" w:color="B9CFB9" w:sz="12" w:space="8"/>
        </w:pBdr>
        <w:shd w:fill="EDF3ED" w:val="clear"/>
        <w:spacing w:after="100" w:line="300"/>
        <w:ind w:left="340" w:right="200"/>
      </w:pPr>
      <w:r>
        <w:rPr>
          <w:rFonts w:ascii="Cambria" w:cs="Cambria" w:eastAsia="Cambria" w:hAnsi="Cambria"/>
          <w:sz w:val="20"/>
          <w:szCs w:val="20"/>
        </w:rPr>
        <w:t xml:space="preserve">If the timing study was not run, replace with:</w:t>
      </w:r>
    </w:p>
    <w:p>
      <w:pPr>
        <w:pBdr>
          <w:left w:val="single" w:color="B9CFB9" w:sz="12" w:space="8"/>
        </w:pBdr>
        <w:shd w:fill="EDF3ED" w:val="clear"/>
        <w:spacing w:after="100" w:line="300"/>
        <w:ind w:left="340" w:right="200"/>
      </w:pPr>
      <w:r>
        <w:rPr>
          <w:rFonts w:ascii="Cambria" w:cs="Cambria" w:eastAsia="Cambria" w:hAnsi="Cambria"/>
          <w:sz w:val="20"/>
          <w:szCs w:val="20"/>
        </w:rPr>
        <w:t xml:space="preserve">A repeated timing study was not conducted. Timing is therefore reported from the deterministic single-measurement audits only, and no claim is made about run-to-run variability. A repeated-measures timing study under the fixed control environment is identified in Recommendations as future work.</w:t>
      </w:r>
    </w:p>
    <w:p>
      <w:pPr>
        <w:spacing w:after="60" w:before="200"/>
      </w:pPr>
      <w:r>
        <w:rPr>
          <w:rFonts w:ascii="Calibri" w:cs="Calibri" w:eastAsia="Calibri" w:hAnsi="Calibri"/>
          <w:b/>
          <w:bCs/>
          <w:color w:val="1F6F8B"/>
          <w:spacing w:val="20"/>
          <w:sz w:val="17"/>
          <w:szCs w:val="17"/>
        </w:rPr>
        <w:t xml:space="preserve">WHY</w:t>
      </w:r>
    </w:p>
    <w:p>
      <w:pPr>
        <w:spacing w:after="240" w:line="300"/>
        <w:ind w:left="340"/>
      </w:pPr>
      <w:r>
        <w:rPr>
          <w:rFonts w:ascii="Calibri" w:cs="Calibri" w:eastAsia="Calibri" w:hAnsi="Calibri"/>
          <w:color w:val="3A3A3A"/>
          <w:sz w:val="19"/>
          <w:szCs w:val="19"/>
        </w:rPr>
        <w:t xml:space="preserve">A completed study cannot describe its own procedure as conditional. “If completed” tells a panel that the researchers do not know whether part of their own methodology was carried out, and it is the single most likely sentence in the manuscript to be questioned during defense.</w:t>
      </w:r>
    </w:p>
    <w:p>
      <w:pPr>
        <w:spacing w:after="240" w:line="300"/>
        <w:ind w:left="340"/>
      </w:pPr>
      <w:r>
        <w:rPr>
          <w:rFonts w:ascii="Calibri" w:cs="Calibri" w:eastAsia="Calibri" w:hAnsi="Calibri"/>
          <w:color w:val="3A3A3A"/>
          <w:sz w:val="19"/>
          <w:szCs w:val="19"/>
        </w:rPr>
        <w:t xml:space="preserve">Pick whichever branch is true and delete the other. Either answer is defensible; leaving the conditional is not.</w:t>
      </w:r>
    </w:p>
    <w:p>
      <w:pPr>
        <w:pStyle w:val="Heading1"/>
        <w:pageBreakBefore/>
        <w:pBdr>
          <w:bottom w:val="single" w:color="1F6F8B" w:sz="8" w:space="6"/>
        </w:pBdr>
        <w:spacing w:after="220" w:before="200"/>
      </w:pPr>
      <w:r>
        <w:rPr>
          <w:rFonts w:ascii="Cambria" w:cs="Cambria" w:eastAsia="Cambria" w:hAnsi="Cambria"/>
          <w:b/>
          <w:bCs/>
          <w:color w:val="1F6F8B"/>
          <w:sz w:val="30"/>
          <w:szCs w:val="30"/>
        </w:rPr>
        <w:t xml:space="preserve">Part 4 — Passages Blocked Until the Human Evaluation Runs</w:t>
      </w:r>
    </w:p>
    <w:p>
      <w:pPr>
        <w:spacing w:after="200" w:line="300"/>
      </w:pPr>
      <w:r>
        <w:rPr>
          <w:rFonts w:ascii="Calibri" w:cs="Calibri" w:eastAsia="Calibri" w:hAnsi="Calibri"/>
          <w:b w:val="false"/>
          <w:bCs w:val="false"/>
          <w:i w:val="false"/>
          <w:iCs w:val="false"/>
          <w:color w:val="000000"/>
          <w:sz w:val="20"/>
          <w:szCs w:val="20"/>
        </w:rPr>
        <w:t xml:space="preserve">The following eleven passages are future-tense. They must not be converted yet, because the work they describe has not taken place: the questionnaires have not been distributed and no evaluator has been recruited.</w:t>
      </w:r>
    </w:p>
    <w:p>
      <w:pPr>
        <w:spacing w:after="200" w:line="300"/>
      </w:pPr>
      <w:r>
        <w:rPr>
          <w:rFonts w:ascii="Calibri" w:cs="Calibri" w:eastAsia="Calibri" w:hAnsi="Calibri"/>
          <w:b/>
          <w:bCs/>
          <w:i w:val="false"/>
          <w:iCs w:val="false"/>
          <w:color w:val="A8541F"/>
          <w:sz w:val="20"/>
          <w:szCs w:val="20"/>
        </w:rPr>
        <w:t xml:space="preserve">Converting them to past tense before the evaluation runs would state that data was collected when it was not.</w:t>
      </w:r>
    </w:p>
    <w:p>
      <w:pPr>
        <w:spacing w:after="100" w:line="300"/>
      </w:pPr>
      <w:r>
        <w:rPr>
          <w:rFonts w:ascii="Calibri" w:cs="Calibri" w:eastAsia="Calibri" w:hAnsi="Calibri"/>
          <w:b w:val="false"/>
          <w:bCs w:val="false"/>
          <w:i w:val="false"/>
          <w:iCs w:val="false"/>
          <w:color w:val="000000"/>
          <w:sz w:val="20"/>
          <w:szCs w:val="20"/>
        </w:rPr>
        <w:t xml:space="preserve">Page 24, Participants — the description of what each evaluator group does.</w:t>
      </w:r>
    </w:p>
    <w:p>
      <w:pPr>
        <w:pStyle w:val="ListParagraph"/>
        <w:numPr>
          <w:ilvl w:val="0"/>
          <w:numId w:val="1"/>
        </w:numPr>
        <w:spacing w:after="90" w:line="300"/>
      </w:pPr>
      <w:r>
        <w:rPr>
          <w:rFonts w:ascii="Calibri" w:cs="Calibri" w:eastAsia="Calibri" w:hAnsi="Calibri"/>
          <w:sz w:val="20"/>
          <w:szCs w:val="20"/>
        </w:rPr>
        <w:t xml:space="preserve">“Human evaluation will begin only after the deployed ByteSize system and the survey instruments are finalized.”  (Data Collection, p.29)</w:t>
      </w:r>
    </w:p>
    <w:p>
      <w:pPr>
        <w:pStyle w:val="ListParagraph"/>
        <w:numPr>
          <w:ilvl w:val="0"/>
          <w:numId w:val="1"/>
        </w:numPr>
        <w:spacing w:after="90" w:line="300"/>
      </w:pPr>
      <w:r>
        <w:rPr>
          <w:rFonts w:ascii="Calibri" w:cs="Calibri" w:eastAsia="Calibri" w:hAnsi="Calibri"/>
          <w:sz w:val="20"/>
          <w:szCs w:val="20"/>
        </w:rPr>
        <w:t xml:space="preserve">“End users will first complete the assigned ByteSize tasks and will then answer the adapted PSSUQ-based questionnaire…”  (Data Collection, p.29)</w:t>
      </w:r>
    </w:p>
    <w:p>
      <w:pPr>
        <w:pStyle w:val="ListParagraph"/>
        <w:numPr>
          <w:ilvl w:val="0"/>
          <w:numId w:val="1"/>
        </w:numPr>
        <w:spacing w:after="90" w:line="300"/>
      </w:pPr>
      <w:r>
        <w:rPr>
          <w:rFonts w:ascii="Calibri" w:cs="Calibri" w:eastAsia="Calibri" w:hAnsi="Calibri"/>
          <w:sz w:val="20"/>
          <w:szCs w:val="20"/>
        </w:rPr>
        <w:t xml:space="preserve">“Technical evaluators will review the source code, system documentation, automated test evidence, and demonstrated behavior…”  (Data Collection, p.29)</w:t>
      </w:r>
    </w:p>
    <w:p>
      <w:pPr>
        <w:pStyle w:val="ListParagraph"/>
        <w:numPr>
          <w:ilvl w:val="0"/>
          <w:numId w:val="1"/>
        </w:numPr>
        <w:spacing w:after="90" w:line="300"/>
      </w:pPr>
      <w:r>
        <w:rPr>
          <w:rFonts w:ascii="Calibri" w:cs="Calibri" w:eastAsia="Calibri" w:hAnsi="Calibri"/>
          <w:sz w:val="20"/>
          <w:szCs w:val="20"/>
        </w:rPr>
        <w:t xml:space="preserve">“Both questionnaires will be administered through Google Forms.”  (Data Collection, p.29)</w:t>
      </w:r>
    </w:p>
    <w:p>
      <w:pPr>
        <w:pStyle w:val="ListParagraph"/>
        <w:numPr>
          <w:ilvl w:val="0"/>
          <w:numId w:val="1"/>
        </w:numPr>
        <w:spacing w:after="90" w:line="300"/>
      </w:pPr>
      <w:r>
        <w:rPr>
          <w:rFonts w:ascii="Calibri" w:cs="Calibri" w:eastAsia="Calibri" w:hAnsi="Calibri"/>
          <w:sz w:val="20"/>
          <w:szCs w:val="20"/>
        </w:rPr>
        <w:t xml:space="preserve">“The forms will present the Data Privacy Notice and informed-consent statement before any evaluation items.”  (Data Collection, p.29)</w:t>
      </w:r>
    </w:p>
    <w:p>
      <w:pPr>
        <w:pStyle w:val="ListParagraph"/>
        <w:numPr>
          <w:ilvl w:val="0"/>
          <w:numId w:val="1"/>
        </w:numPr>
        <w:spacing w:after="90" w:line="300"/>
      </w:pPr>
      <w:r>
        <w:rPr>
          <w:rFonts w:ascii="Calibri" w:cs="Calibri" w:eastAsia="Calibri" w:hAnsi="Calibri"/>
          <w:sz w:val="20"/>
          <w:szCs w:val="20"/>
        </w:rPr>
        <w:t xml:space="preserve">“The forms will be configured not to collect respondent email addresses and not to require sign-in.”  (Data Collection, p.29)</w:t>
      </w:r>
    </w:p>
    <w:p>
      <w:pPr>
        <w:pStyle w:val="ListParagraph"/>
        <w:numPr>
          <w:ilvl w:val="0"/>
          <w:numId w:val="1"/>
        </w:numPr>
        <w:spacing w:after="90" w:line="300"/>
      </w:pPr>
      <w:r>
        <w:rPr>
          <w:rFonts w:ascii="Calibri" w:cs="Calibri" w:eastAsia="Calibri" w:hAnsi="Calibri"/>
          <w:sz w:val="20"/>
          <w:szCs w:val="20"/>
        </w:rPr>
        <w:t xml:space="preserve">“Respondents who do not consent will not proceed to the questionnaire.”  (Data Collection, p.29)</w:t>
      </w:r>
    </w:p>
    <w:p>
      <w:pPr>
        <w:pStyle w:val="ListParagraph"/>
        <w:numPr>
          <w:ilvl w:val="0"/>
          <w:numId w:val="1"/>
        </w:numPr>
        <w:spacing w:after="90" w:line="300"/>
      </w:pPr>
      <w:r>
        <w:rPr>
          <w:rFonts w:ascii="Calibri" w:cs="Calibri" w:eastAsia="Calibri" w:hAnsi="Calibri"/>
          <w:sz w:val="20"/>
          <w:szCs w:val="20"/>
        </w:rPr>
        <w:t xml:space="preserve">“After data collection closes, responses will be exported for offline analysis.”  (Data Collection, p.29)</w:t>
      </w:r>
    </w:p>
    <w:p>
      <w:pPr>
        <w:pStyle w:val="ListParagraph"/>
        <w:numPr>
          <w:ilvl w:val="0"/>
          <w:numId w:val="1"/>
        </w:numPr>
        <w:spacing w:after="90" w:line="300"/>
      </w:pPr>
      <w:r>
        <w:rPr>
          <w:rFonts w:ascii="Calibri" w:cs="Calibri" w:eastAsia="Calibri" w:hAnsi="Calibri"/>
          <w:sz w:val="20"/>
          <w:szCs w:val="20"/>
        </w:rPr>
        <w:t xml:space="preserve">“The system will be deployed for participant access.”  (Research Procedure, p.31)</w:t>
      </w:r>
    </w:p>
    <w:p>
      <w:pPr>
        <w:pStyle w:val="ListParagraph"/>
        <w:numPr>
          <w:ilvl w:val="0"/>
          <w:numId w:val="1"/>
        </w:numPr>
        <w:spacing w:after="90" w:line="300"/>
      </w:pPr>
      <w:r>
        <w:rPr>
          <w:rFonts w:ascii="Calibri" w:cs="Calibri" w:eastAsia="Calibri" w:hAnsi="Calibri"/>
          <w:sz w:val="20"/>
          <w:szCs w:val="20"/>
        </w:rPr>
        <w:t xml:space="preserve">“End users will complete the assigned interface tasks before answering the usability form…”  (Research Procedure, p.31)</w:t>
      </w:r>
    </w:p>
    <w:p>
      <w:pPr>
        <w:pStyle w:val="ListParagraph"/>
        <w:numPr>
          <w:ilvl w:val="0"/>
          <w:numId w:val="1"/>
        </w:numPr>
        <w:spacing w:after="90" w:line="300"/>
      </w:pPr>
      <w:r>
        <w:rPr>
          <w:rFonts w:ascii="Calibri" w:cs="Calibri" w:eastAsia="Calibri" w:hAnsi="Calibri"/>
          <w:sz w:val="20"/>
          <w:szCs w:val="20"/>
        </w:rPr>
        <w:t xml:space="preserve">“All participants in the expert, student, and end-user groups will receive a written explanation…”  (Ethical Consideration, p.32)</w:t>
      </w:r>
    </w:p>
    <w:p>
      <w:pPr>
        <w:spacing w:after="160" w:line="300"/>
      </w:pPr>
      <w:r>
        <w:rPr>
          <w:rFonts w:ascii="Calibri" w:cs="Calibri" w:eastAsia="Calibri" w:hAnsi="Calibri"/>
          <w:b w:val="false"/>
          <w:bCs w:val="false"/>
          <w:i w:val="false"/>
          <w:iCs w:val="false"/>
          <w:color w:val="000000"/>
          <w:sz w:val="20"/>
          <w:szCs w:val="20"/>
        </w:rPr>
        <w:t xml:space="preserve">Once the evaluation has run, convert all eleven in a single pass so the Method chapter reads consistently. Two further future-tense passages are legitimate and should be left alone: the withdrawal policy in Ethical Consideration (“their data will be removed upon withdrawal”), which is a standing commitment, and the database constraint claim in Instruments (“any constraint holding during development will hold in deployment”), which is a logical assertion rather than a procedure.</w:t>
      </w:r>
    </w:p>
    <w:p>
      <w:pPr>
        <w:pStyle w:val="Heading1"/>
        <w:pageBreakBefore/>
        <w:pBdr>
          <w:bottom w:val="single" w:color="1F6F8B" w:sz="8" w:space="6"/>
        </w:pBdr>
        <w:spacing w:after="220" w:before="200"/>
      </w:pPr>
      <w:r>
        <w:rPr>
          <w:rFonts w:ascii="Cambria" w:cs="Cambria" w:eastAsia="Cambria" w:hAnsi="Cambria"/>
          <w:b/>
          <w:bCs/>
          <w:color w:val="1F6F8B"/>
          <w:sz w:val="30"/>
          <w:szCs w:val="30"/>
        </w:rPr>
        <w:t xml:space="preserve">Part 5 — Chapters That Do Not Yet Exist</w:t>
      </w:r>
    </w:p>
    <w:p>
      <w:pPr>
        <w:spacing w:after="200" w:line="300"/>
      </w:pPr>
      <w:r>
        <w:rPr>
          <w:rFonts w:ascii="Calibri" w:cs="Calibri" w:eastAsia="Calibri" w:hAnsi="Calibri"/>
          <w:b w:val="false"/>
          <w:bCs w:val="false"/>
          <w:i w:val="false"/>
          <w:iCs w:val="false"/>
          <w:color w:val="000000"/>
          <w:sz w:val="20"/>
          <w:szCs w:val="20"/>
        </w:rPr>
        <w:t xml:space="preserve">Your table of contents runs Method → Ethical Consideration → References → Appendices. A completed study needs a Results chapter and a Discussion and Conclusion chapter between Ethical Consideration and References.</w:t>
      </w:r>
    </w:p>
    <w:p>
      <w:pPr>
        <w:spacing w:after="160" w:line="300"/>
      </w:pPr>
      <w:r>
        <w:rPr>
          <w:rFonts w:ascii="Calibri" w:cs="Calibri" w:eastAsia="Calibri" w:hAnsi="Calibri"/>
          <w:b w:val="false"/>
          <w:bCs w:val="false"/>
          <w:i w:val="false"/>
          <w:iCs w:val="false"/>
          <w:color w:val="000000"/>
          <w:sz w:val="20"/>
          <w:szCs w:val="20"/>
        </w:rPr>
        <w:t xml:space="preserve">Results has three components. Two are ready; one is not.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800"/>
      </w:tblGrid>
      <w:tr>
        <w:tc>
          <w:tcPr>
            <w:tcW w:type="dxa" w:w="4200"/>
            <w:shd w:fill="E3EEF2" w:val="clear"/>
            <w:tcMar>
              <w:top w:type="dxa" w:w="90"/>
              <w:left w:type="dxa" w:w="120"/>
              <w:bottom w:type="dxa" w:w="90"/>
              <w:right w:type="dxa" w:w="120"/>
            </w:tcMar>
          </w:tcPr>
          <w:p>
            <w:r>
              <w:rPr>
                <w:rFonts w:ascii="Calibri" w:cs="Calibri" w:eastAsia="Calibri" w:hAnsi="Calibri"/>
                <w:b/>
                <w:bCs/>
                <w:sz w:val="18"/>
                <w:szCs w:val="18"/>
              </w:rPr>
              <w:t xml:space="preserve">Component</w:t>
            </w:r>
          </w:p>
        </w:tc>
        <w:tc>
          <w:tcPr>
            <w:tcW w:type="dxa" w:w="2200"/>
            <w:shd w:fill="E3EEF2" w:val="clear"/>
            <w:tcMar>
              <w:top w:type="dxa" w:w="90"/>
              <w:left w:type="dxa" w:w="120"/>
              <w:bottom w:type="dxa" w:w="90"/>
              <w:right w:type="dxa" w:w="120"/>
            </w:tcMar>
          </w:tcPr>
          <w:p>
            <w:r>
              <w:rPr>
                <w:rFonts w:ascii="Calibri" w:cs="Calibri" w:eastAsia="Calibri" w:hAnsi="Calibri"/>
                <w:b/>
                <w:bCs/>
                <w:sz w:val="18"/>
                <w:szCs w:val="18"/>
              </w:rPr>
              <w:t xml:space="preserve">Status</w:t>
            </w:r>
          </w:p>
        </w:tc>
        <w:tc>
          <w:tcPr>
            <w:tcW w:type="dxa" w:w="2800"/>
            <w:shd w:fill="E3EEF2" w:val="clear"/>
            <w:tcMar>
              <w:top w:type="dxa" w:w="90"/>
              <w:left w:type="dxa" w:w="120"/>
              <w:bottom w:type="dxa" w:w="90"/>
              <w:right w:type="dxa" w:w="120"/>
            </w:tcMar>
          </w:tcPr>
          <w:p>
            <w:r>
              <w:rPr>
                <w:rFonts w:ascii="Calibri" w:cs="Calibri" w:eastAsia="Calibri" w:hAnsi="Calibri"/>
                <w:b/>
                <w:bCs/>
                <w:sz w:val="18"/>
                <w:szCs w:val="18"/>
              </w:rPr>
              <w:t xml:space="preserve">Source</w:t>
            </w:r>
          </w:p>
        </w:tc>
      </w:tr>
      <w:tr>
        <w:tc>
          <w:tcPr>
            <w:tcW w:type="dxa" w:w="4200"/>
            <w:tcMar>
              <w:top w:type="dxa" w:w="90"/>
              <w:left w:type="dxa" w:w="120"/>
              <w:bottom w:type="dxa" w:w="90"/>
              <w:right w:type="dxa" w:w="120"/>
            </w:tcMar>
          </w:tcPr>
          <w:p>
            <w:r>
              <w:rPr>
                <w:rFonts w:ascii="Calibri" w:cs="Calibri" w:eastAsia="Calibri" w:hAnsi="Calibri"/>
                <w:b w:val="false"/>
                <w:bCs w:val="false"/>
                <w:sz w:val="18"/>
                <w:szCs w:val="18"/>
              </w:rPr>
              <w:t xml:space="preserve">Algorithm benchmarks — Canterbury, Silesia, GovDocs1, component ablation</w:t>
            </w:r>
          </w:p>
        </w:tc>
        <w:tc>
          <w:tcPr>
            <w:tcW w:type="dxa" w:w="2200"/>
            <w:tcMar>
              <w:top w:type="dxa" w:w="90"/>
              <w:left w:type="dxa" w:w="120"/>
              <w:bottom w:type="dxa" w:w="90"/>
              <w:right w:type="dxa" w:w="120"/>
            </w:tcMar>
          </w:tcPr>
          <w:p>
            <w:r>
              <w:rPr>
                <w:rFonts w:ascii="Calibri" w:cs="Calibri" w:eastAsia="Calibri" w:hAnsi="Calibri"/>
                <w:b w:val="false"/>
                <w:bCs w:val="false"/>
                <w:sz w:val="18"/>
                <w:szCs w:val="18"/>
              </w:rPr>
              <w:t xml:space="preserve">Data exists</w:t>
            </w:r>
          </w:p>
        </w:tc>
        <w:tc>
          <w:tcPr>
            <w:tcW w:type="dxa" w:w="2800"/>
            <w:tcMar>
              <w:top w:type="dxa" w:w="90"/>
              <w:left w:type="dxa" w:w="120"/>
              <w:bottom w:type="dxa" w:w="90"/>
              <w:right w:type="dxa" w:w="120"/>
            </w:tcMar>
          </w:tcPr>
          <w:p>
            <w:r>
              <w:rPr>
                <w:rFonts w:ascii="Calibri" w:cs="Calibri" w:eastAsia="Calibri" w:hAnsi="Calibri"/>
                <w:b w:val="false"/>
                <w:bCs w:val="false"/>
                <w:sz w:val="18"/>
                <w:szCs w:val="18"/>
              </w:rPr>
              <w:t xml:space="preserve">Already summarised in your Abstract</w:t>
            </w:r>
          </w:p>
        </w:tc>
      </w:tr>
      <w:tr>
        <w:tc>
          <w:tcPr>
            <w:tcW w:type="dxa" w:w="4200"/>
            <w:tcMar>
              <w:top w:type="dxa" w:w="90"/>
              <w:left w:type="dxa" w:w="120"/>
              <w:bottom w:type="dxa" w:w="90"/>
              <w:right w:type="dxa" w:w="120"/>
            </w:tcMar>
          </w:tcPr>
          <w:p>
            <w:r>
              <w:rPr>
                <w:rFonts w:ascii="Calibri" w:cs="Calibri" w:eastAsia="Calibri" w:hAnsi="Calibri"/>
                <w:b w:val="false"/>
                <w:bCs w:val="false"/>
                <w:sz w:val="18"/>
                <w:szCs w:val="18"/>
              </w:rPr>
              <w:t xml:space="preserve">ISO/IEC 5055 automated measurement</w:t>
            </w:r>
          </w:p>
        </w:tc>
        <w:tc>
          <w:tcPr>
            <w:tcW w:type="dxa" w:w="2200"/>
            <w:tcMar>
              <w:top w:type="dxa" w:w="90"/>
              <w:left w:type="dxa" w:w="120"/>
              <w:bottom w:type="dxa" w:w="90"/>
              <w:right w:type="dxa" w:w="120"/>
            </w:tcMar>
          </w:tcPr>
          <w:p>
            <w:r>
              <w:rPr>
                <w:rFonts w:ascii="Calibri" w:cs="Calibri" w:eastAsia="Calibri" w:hAnsi="Calibri"/>
                <w:b w:val="false"/>
                <w:bCs w:val="false"/>
                <w:sz w:val="18"/>
                <w:szCs w:val="18"/>
              </w:rPr>
              <w:t xml:space="preserve">Complete</w:t>
            </w:r>
          </w:p>
        </w:tc>
        <w:tc>
          <w:tcPr>
            <w:tcW w:type="dxa" w:w="2800"/>
            <w:tcMar>
              <w:top w:type="dxa" w:w="90"/>
              <w:left w:type="dxa" w:w="120"/>
              <w:bottom w:type="dxa" w:w="90"/>
              <w:right w:type="dxa" w:w="120"/>
            </w:tcMar>
          </w:tcPr>
          <w:p>
            <w:r>
              <w:rPr>
                <w:rFonts w:ascii="Calibri" w:cs="Calibri" w:eastAsia="Calibri" w:hAnsi="Calibri"/>
                <w:b w:val="false"/>
                <w:bCs w:val="false"/>
                <w:sz w:val="18"/>
                <w:szCs w:val="18"/>
              </w:rPr>
              <w:t xml:space="preserve">Drafted below</w:t>
            </w:r>
          </w:p>
        </w:tc>
      </w:tr>
      <w:tr>
        <w:tc>
          <w:tcPr>
            <w:tcW w:type="dxa" w:w="4200"/>
            <w:tcMar>
              <w:top w:type="dxa" w:w="90"/>
              <w:left w:type="dxa" w:w="120"/>
              <w:bottom w:type="dxa" w:w="90"/>
              <w:right w:type="dxa" w:w="120"/>
            </w:tcMar>
          </w:tcPr>
          <w:p>
            <w:r>
              <w:rPr>
                <w:rFonts w:ascii="Calibri" w:cs="Calibri" w:eastAsia="Calibri" w:hAnsi="Calibri"/>
                <w:b w:val="false"/>
                <w:bCs w:val="false"/>
                <w:sz w:val="18"/>
                <w:szCs w:val="18"/>
              </w:rPr>
              <w:t xml:space="preserve">Expert panel and end-user PSSUQ</w:t>
            </w:r>
          </w:p>
        </w:tc>
        <w:tc>
          <w:tcPr>
            <w:tcW w:type="dxa" w:w="2200"/>
            <w:tcMar>
              <w:top w:type="dxa" w:w="90"/>
              <w:left w:type="dxa" w:w="120"/>
              <w:bottom w:type="dxa" w:w="90"/>
              <w:right w:type="dxa" w:w="120"/>
            </w:tcMar>
          </w:tcPr>
          <w:p>
            <w:r>
              <w:rPr>
                <w:rFonts w:ascii="Calibri" w:cs="Calibri" w:eastAsia="Calibri" w:hAnsi="Calibri"/>
                <w:b w:val="false"/>
                <w:bCs w:val="false"/>
                <w:sz w:val="18"/>
                <w:szCs w:val="18"/>
              </w:rPr>
              <w:t xml:space="preserve">Not run</w:t>
            </w:r>
          </w:p>
        </w:tc>
        <w:tc>
          <w:tcPr>
            <w:tcW w:type="dxa" w:w="2800"/>
            <w:tcMar>
              <w:top w:type="dxa" w:w="90"/>
              <w:left w:type="dxa" w:w="120"/>
              <w:bottom w:type="dxa" w:w="90"/>
              <w:right w:type="dxa" w:w="120"/>
            </w:tcMar>
          </w:tcPr>
          <w:p>
            <w:r>
              <w:rPr>
                <w:rFonts w:ascii="Calibri" w:cs="Calibri" w:eastAsia="Calibri" w:hAnsi="Calibri"/>
                <w:b w:val="false"/>
                <w:bCs w:val="false"/>
                <w:sz w:val="18"/>
                <w:szCs w:val="18"/>
              </w:rPr>
              <w:t xml:space="preserve">Blocked — see Part 4</w:t>
            </w:r>
          </w:p>
        </w:tc>
      </w:tr>
    </w:tbl>
    <w:p>
      <w:pPr>
        <w:spacing w:after="200" w:line="300"/>
      </w:pPr>
      <w:r>
        <w:rPr>
          <w:rFonts w:ascii="Calibri" w:cs="Calibri" w:eastAsia="Calibri" w:hAnsi="Calibri"/>
          <w:b w:val="false"/>
          <w:bCs w:val="false"/>
          <w:i w:val="false"/>
          <w:iCs w:val="false"/>
          <w:color w:val="000000"/>
          <w:sz w:val="20"/>
          <w:szCs w:val="20"/>
        </w:rPr>
        <w:t xml:space="preserve"/>
      </w:r>
    </w:p>
    <w:p>
      <w:pPr>
        <w:pStyle w:val="Heading2"/>
        <w:spacing w:after="140" w:before="380"/>
      </w:pPr>
      <w:r>
        <w:rPr>
          <w:rFonts w:ascii="Cambria" w:cs="Cambria" w:eastAsia="Cambria" w:hAnsi="Cambria"/>
          <w:b/>
          <w:bCs/>
          <w:color w:val="1A1A1A"/>
          <w:sz w:val="26"/>
          <w:szCs w:val="26"/>
        </w:rPr>
        <w:t xml:space="preserve">10.  New Chapter — Results (ISO/IEC 5055 section)</w:t>
      </w:r>
    </w:p>
    <w:p>
      <w:pPr>
        <w:spacing w:after="120"/>
      </w:pPr>
      <w:r>
        <w:rPr>
          <w:rFonts w:ascii="Calibri" w:cs="Calibri" w:eastAsia="Calibri" w:hAnsi="Calibri"/>
          <w:b/>
          <w:bCs/>
          <w:color w:val="1F6F8B"/>
          <w:sz w:val="19"/>
          <w:szCs w:val="19"/>
        </w:rPr>
        <w:t xml:space="preserve">Location:  </w:t>
      </w:r>
      <w:r>
        <w:rPr>
          <w:rFonts w:ascii="Calibri" w:cs="Calibri" w:eastAsia="Calibri" w:hAnsi="Calibri"/>
          <w:sz w:val="19"/>
          <w:szCs w:val="19"/>
        </w:rPr>
        <w:t xml:space="preserve">Insert as a new chapter after Ethical Consideration (page 34) and before References (page 35). The text below is the ISO/IEC 5055 section only; the algorithm-benchmark section and the survey section are separate.</w:t>
      </w:r>
    </w:p>
    <w:p>
      <w:pPr>
        <w:spacing w:after="60" w:before="200"/>
      </w:pPr>
      <w:r>
        <w:rPr>
          <w:rFonts w:ascii="Calibri" w:cs="Calibri" w:eastAsia="Calibri" w:hAnsi="Calibri"/>
          <w:b/>
          <w:bCs/>
          <w:color w:val="3F6B3F"/>
          <w:spacing w:val="20"/>
          <w:sz w:val="17"/>
          <w:szCs w:val="17"/>
        </w:rPr>
        <w:t xml:space="preserve">TEXT TO INSERT</w:t>
      </w:r>
    </w:p>
    <w:p>
      <w:pPr>
        <w:pBdr>
          <w:left w:val="single" w:color="B9CFB9" w:sz="12" w:space="8"/>
        </w:pBdr>
        <w:shd w:fill="EDF3ED" w:val="clear"/>
        <w:spacing w:after="100" w:line="300"/>
        <w:ind w:left="340" w:right="200"/>
      </w:pPr>
      <w:r>
        <w:rPr>
          <w:rFonts w:ascii="Cambria" w:cs="Cambria" w:eastAsia="Cambria" w:hAnsi="Cambria"/>
          <w:sz w:val="20"/>
          <w:szCs w:val="20"/>
        </w:rPr>
        <w:t xml:space="preserve">Automated Source-Code Measurement</w:t>
      </w:r>
    </w:p>
    <w:p>
      <w:pPr>
        <w:pBdr>
          <w:left w:val="single" w:color="B9CFB9" w:sz="12" w:space="8"/>
        </w:pBdr>
        <w:shd w:fill="EDF3ED" w:val="clear"/>
        <w:spacing w:after="100" w:line="300"/>
        <w:ind w:left="340" w:right="200"/>
      </w:pPr>
      <w:r>
        <w:rPr>
          <w:rFonts w:ascii="Cambria" w:cs="Cambria" w:eastAsia="Cambria" w:hAnsi="Cambria"/>
          <w:sz w:val="20"/>
          <w:szCs w:val="20"/>
        </w:rPr>
        <w:t xml:space="preserve">Automated detection at commit 048c2fc covered 7,780 lines of first-party source: 6,620 lines of Python across 22 modules and 1,159 lines in the C++17 accelerator. The analysers returned 79 CWE-bearing findings. A further 11 Cppcheck entries at information severity carried no CWE and describe the analyser’s own coverage limits rather than properties of the source; these were excluded from the counts rather than triaged.</w:t>
      </w:r>
    </w:p>
    <w:p>
      <w:pPr>
        <w:pBdr>
          <w:left w:val="single" w:color="B9CFB9" w:sz="12" w:space="8"/>
        </w:pBdr>
        <w:shd w:fill="EDF3ED" w:val="clear"/>
        <w:spacing w:after="100" w:line="300"/>
        <w:ind w:left="340" w:right="200"/>
      </w:pPr>
      <w:r>
        <w:rPr>
          <w:rFonts w:ascii="Cambria" w:cs="Cambria" w:eastAsia="Cambria" w:hAnsi="Cambria"/>
          <w:sz w:val="20"/>
          <w:szCs w:val="20"/>
        </w:rPr>
        <w:t xml:space="preserve">Fifty-two findings were triaged by source inspection: five Bandit findings at Medium severity or above, nine Flawfinder findings, and 38 Cppcheck findings. Thirty-one were confirmed and 21 identified as false positives. The remaining 27 Bandit findings, all below Medium severity, were not individually triaged.</w:t>
      </w:r>
    </w:p>
    <w:p>
      <w:pPr>
        <w:pBdr>
          <w:left w:val="single" w:color="B9CFB9" w:sz="12" w:space="8"/>
        </w:pBdr>
        <w:shd w:fill="EDF3ED" w:val="clear"/>
        <w:spacing w:after="100" w:line="300"/>
        <w:ind w:left="340" w:right="200"/>
      </w:pPr>
      <w:r>
        <w:rPr>
          <w:rFonts w:ascii="Cambria" w:cs="Cambria" w:eastAsia="Cambria" w:hAnsi="Cambria"/>
          <w:sz w:val="20"/>
          <w:szCs w:val="20"/>
        </w:rPr>
        <w:t xml:space="preserve">Reliability. Three instances of an unchecked malloc return value preceding a memcpy were confirmed in the native accelerator (CWE-476). If allocation fails, the subsequent copy writes to a null pointer. Two further allocation sites in the same file perform the check correctly, making this an internal inconsistency rather than a uniform omission. Confirmed density was 0.39 per KLOC over the full 7,780-line scope.</w:t>
      </w:r>
    </w:p>
    <w:p>
      <w:pPr>
        <w:pBdr>
          <w:left w:val="single" w:color="B9CFB9" w:sz="12" w:space="8"/>
        </w:pBdr>
        <w:shd w:fill="EDF3ED" w:val="clear"/>
        <w:spacing w:after="100" w:line="300"/>
        <w:ind w:left="340" w:right="200"/>
      </w:pPr>
      <w:r>
        <w:rPr>
          <w:rFonts w:ascii="Cambria" w:cs="Cambria" w:eastAsia="Cambria" w:hAnsi="Cambria"/>
          <w:sz w:val="20"/>
          <w:szCs w:val="20"/>
        </w:rPr>
        <w:t xml:space="preserve">Security. Two weaknesses were confirmed. One exported kernel accepts a buffer-length parameter and does not use it before reading four bytes from that buffer (CWE-125); the parameter name is commented out at the declaration, indicating the length was available and deliberately unused. One benchmark utility uses a hardcoded temporary-directory fallback (CWE-377). Confirmed density was 0.26 per KLOC over the full scope.</w:t>
      </w:r>
    </w:p>
    <w:p>
      <w:pPr>
        <w:pBdr>
          <w:left w:val="single" w:color="B9CFB9" w:sz="12" w:space="8"/>
        </w:pBdr>
        <w:shd w:fill="EDF3ED" w:val="clear"/>
        <w:spacing w:after="100" w:line="300"/>
        <w:ind w:left="340" w:right="200"/>
      </w:pPr>
      <w:r>
        <w:rPr>
          <w:rFonts w:ascii="Cambria" w:cs="Cambria" w:eastAsia="Cambria" w:hAnsi="Cambria"/>
          <w:sz w:val="20"/>
          <w:szCs w:val="20"/>
        </w:rPr>
        <w:t xml:space="preserve">Performance Efficiency. No findings. No analyser in the toolchain emits Performance Efficiency weaknesses, so this reflects absence of measurement rather than a measured absence of weaknesses, and no density is reported.</w:t>
      </w:r>
    </w:p>
    <w:p>
      <w:pPr>
        <w:pBdr>
          <w:left w:val="single" w:color="B9CFB9" w:sz="12" w:space="8"/>
        </w:pBdr>
        <w:shd w:fill="EDF3ED" w:val="clear"/>
        <w:spacing w:after="100" w:line="300"/>
        <w:ind w:left="340" w:right="200"/>
      </w:pPr>
      <w:r>
        <w:rPr>
          <w:rFonts w:ascii="Cambria" w:cs="Cambria" w:eastAsia="Cambria" w:hAnsi="Cambria"/>
          <w:sz w:val="20"/>
          <w:szCs w:val="20"/>
        </w:rPr>
        <w:t xml:space="preserve">Maintainability. Twenty-six of 38 Cppcheck findings were confirmed, comprising 15 instances of a reference that could be declared const and 11 old-style C casts where a C++ cast would state intent. Eight findings recommending replacement of explicit loops with standard-library algorithms were classified as false positives, on the grounds that explicit iteration in a compression kernel preserves control over early exit and iteration order and does not represent maintainability debt. Confirmed density was 22.4 per KLOC over the 1,159-line C++ scope. This figure is not comparable to the Reliability and Security densities: it is computed over the C++ accelerator alone, because no analyser in the toolchain emits maintainability CWEs for Python.</w:t>
      </w:r>
    </w:p>
    <w:p>
      <w:pPr>
        <w:pBdr>
          <w:left w:val="single" w:color="B9CFB9" w:sz="12" w:space="8"/>
        </w:pBdr>
        <w:shd w:fill="EDF3ED" w:val="clear"/>
        <w:spacing w:after="100" w:line="300"/>
        <w:ind w:left="340" w:right="200"/>
      </w:pPr>
      <w:r>
        <w:rPr>
          <w:rFonts w:ascii="Cambria" w:cs="Cambria" w:eastAsia="Cambria" w:hAnsi="Cambria"/>
          <w:sz w:val="20"/>
          <w:szCs w:val="20"/>
        </w:rPr>
        <w:t xml:space="preserve">No finding at high severity survived triage, and no memory-safety defect was confirmed in the C++ accelerator.</w:t>
      </w:r>
    </w:p>
    <w:p>
      <w:pPr>
        <w:pBdr>
          <w:left w:val="single" w:color="B9CFB9" w:sz="12" w:space="8"/>
        </w:pBdr>
        <w:shd w:fill="EDF3ED" w:val="clear"/>
        <w:spacing w:after="100" w:line="300"/>
        <w:ind w:left="340" w:right="200"/>
      </w:pPr>
      <w:r>
        <w:rPr>
          <w:rFonts w:ascii="Cambria" w:cs="Cambria" w:eastAsia="Cambria" w:hAnsi="Cambria"/>
          <w:sz w:val="20"/>
          <w:szCs w:val="20"/>
        </w:rPr>
        <w:t xml:space="preserve">Triage Reclassification</w:t>
      </w:r>
    </w:p>
    <w:p>
      <w:pPr>
        <w:pBdr>
          <w:left w:val="single" w:color="B9CFB9" w:sz="12" w:space="8"/>
        </w:pBdr>
        <w:shd w:fill="EDF3ED" w:val="clear"/>
        <w:spacing w:after="100" w:line="300"/>
        <w:ind w:left="340" w:right="200"/>
      </w:pPr>
      <w:r>
        <w:rPr>
          <w:rFonts w:ascii="Cambria" w:cs="Cambria" w:eastAsia="Cambria" w:hAnsi="Cambria"/>
          <w:sz w:val="20"/>
          <w:szCs w:val="20"/>
        </w:rPr>
        <w:t xml:space="preserve">Triage altered both the count and the measure assignment of findings. All four Bandit findings reporting possible SQL injection (CWE-89) were false positives: three arise from a helper returning one of two hardcoded literal fragments with the user identifier passed as a bound parameter, and the fourth from a count query assembled entirely from constant fragments, the interpolating clause being appended only after that query executes and its column and direction being constrained by a seven-member allowlist and a two-valued coercion respectively.</w:t>
      </w:r>
    </w:p>
    <w:p>
      <w:pPr>
        <w:pBdr>
          <w:left w:val="single" w:color="B9CFB9" w:sz="12" w:space="8"/>
        </w:pBdr>
        <w:shd w:fill="EDF3ED" w:val="clear"/>
        <w:spacing w:after="100" w:line="300"/>
        <w:ind w:left="340" w:right="200"/>
      </w:pPr>
      <w:r>
        <w:rPr>
          <w:rFonts w:ascii="Cambria" w:cs="Cambria" w:eastAsia="Cambria" w:hAnsi="Cambria"/>
          <w:sz w:val="20"/>
          <w:szCs w:val="20"/>
        </w:rPr>
        <w:t xml:space="preserve">All nine Flawfinder findings were reported as CWE-120. No confirmed defect was CWE-120. Triage reassigned three findings to CWE-476 and one to CWE-125, moving three of the four from the Security measure to Reliability. Cppcheck likewise reported all 38 CWE-bearing findings as CWE-398, including three uninitialised-member warnings that are properly CWE-457; those three were false positives on inspection, as the structure is constructed only by aggregate initialisation supplying every member. Measure assignment therefore cannot be taken from analyser output and was determined on inspection in every case.</w:t>
      </w:r>
    </w:p>
    <w:p>
      <w:pPr>
        <w:pBdr>
          <w:left w:val="single" w:color="B9CFB9" w:sz="12" w:space="8"/>
        </w:pBdr>
        <w:shd w:fill="EDF3ED" w:val="clear"/>
        <w:spacing w:after="100" w:line="300"/>
        <w:ind w:left="340" w:right="200"/>
      </w:pPr>
      <w:r>
        <w:rPr>
          <w:rFonts w:ascii="Cambria" w:cs="Cambria" w:eastAsia="Cambria" w:hAnsi="Cambria"/>
          <w:sz w:val="20"/>
          <w:szCs w:val="20"/>
        </w:rPr>
        <w:t xml:space="preserve">Complexity and Maintainability Index</w:t>
      </w:r>
    </w:p>
    <w:p>
      <w:pPr>
        <w:pBdr>
          <w:left w:val="single" w:color="B9CFB9" w:sz="12" w:space="8"/>
        </w:pBdr>
        <w:shd w:fill="EDF3ED" w:val="clear"/>
        <w:spacing w:after="100" w:line="300"/>
        <w:ind w:left="340" w:right="200"/>
      </w:pPr>
      <w:r>
        <w:rPr>
          <w:rFonts w:ascii="Cambria" w:cs="Cambria" w:eastAsia="Cambria" w:hAnsi="Cambria"/>
          <w:sz w:val="20"/>
          <w:szCs w:val="20"/>
        </w:rPr>
        <w:t xml:space="preserve">Complexity analysis across 403 blocks returned an average cyclomatic complexity of B (5.93). The maintainability index placed 12 of 14 application modules at grade A. The module containers.py, which implements PDF, DOCX, and ZIP container handling, was the sole module at grade C and also contained three functions at complexity grade E; deflate_tokens.py was at grade B with one function at grade E. Maintainability debt is therefore concentrated in container-format handling rather than distributed across the codebase.</w:t>
      </w:r>
    </w:p>
    <w:p>
      <w:pPr>
        <w:pBdr>
          <w:left w:val="single" w:color="B9CFB9" w:sz="12" w:space="8"/>
        </w:pBdr>
        <w:shd w:fill="EDF3ED" w:val="clear"/>
        <w:spacing w:after="100" w:line="300"/>
        <w:ind w:left="340" w:right="200"/>
      </w:pPr>
      <w:r>
        <w:rPr>
          <w:rFonts w:ascii="Cambria" w:cs="Cambria" w:eastAsia="Cambria" w:hAnsi="Cambria"/>
          <w:sz w:val="20"/>
          <w:szCs w:val="20"/>
        </w:rPr>
        <w:t xml:space="preserve">Limitations of the Measurement</w:t>
      </w:r>
    </w:p>
    <w:p>
      <w:pPr>
        <w:pBdr>
          <w:left w:val="single" w:color="B9CFB9" w:sz="12" w:space="8"/>
        </w:pBdr>
        <w:shd w:fill="EDF3ED" w:val="clear"/>
        <w:spacing w:after="100" w:line="300"/>
        <w:ind w:left="340" w:right="200"/>
      </w:pPr>
      <w:r>
        <w:rPr>
          <w:rFonts w:ascii="Cambria" w:cs="Cambria" w:eastAsia="Cambria" w:hAnsi="Cambria"/>
          <w:sz w:val="20"/>
          <w:szCs w:val="20"/>
        </w:rPr>
        <w:t xml:space="preserve">Five limitations apply. First, Bandit findings below Medium severity (n=27) were not individually triaged. Second, no analyser in the toolchain emits Performance Efficiency weaknesses, so that measure was not obtained. Third, maintainability weaknesses were measured on the C++ accelerator only, as no analyser in the toolchain emits maintainability CWEs for Python; Python maintainability was assessed through cyclomatic complexity and maintainability index instead, and the two forms of evidence are not combined. Fourth, Semgrep was not run, so the Python and JavaScript layers were covered for Security by Bandit alone. Fifth, the CWE-to-measure mapping is researcher-assigned from the published measure definitions rather than taken from the standard’s normative list, which is licensed.</w:t>
      </w:r>
    </w:p>
    <w:p>
      <w:pPr>
        <w:spacing w:after="60" w:before="200"/>
      </w:pPr>
      <w:r>
        <w:rPr>
          <w:rFonts w:ascii="Calibri" w:cs="Calibri" w:eastAsia="Calibri" w:hAnsi="Calibri"/>
          <w:b/>
          <w:bCs/>
          <w:color w:val="1F6F8B"/>
          <w:spacing w:val="20"/>
          <w:sz w:val="17"/>
          <w:szCs w:val="17"/>
        </w:rPr>
        <w:t xml:space="preserve">WHY</w:t>
      </w:r>
    </w:p>
    <w:p>
      <w:pPr>
        <w:spacing w:after="240" w:line="300"/>
        <w:ind w:left="340"/>
      </w:pPr>
      <w:r>
        <w:rPr>
          <w:rFonts w:ascii="Calibri" w:cs="Calibri" w:eastAsia="Calibri" w:hAnsi="Calibri"/>
          <w:color w:val="3A3A3A"/>
          <w:sz w:val="19"/>
          <w:szCs w:val="19"/>
        </w:rPr>
        <w:t xml:space="preserve">Your objective commits the study to measuring the source code against ISO/IEC 5055. Without this section the objective is unmet, and a panel comparing objectives to results will find nothing answering it.</w:t>
      </w:r>
    </w:p>
    <w:p>
      <w:pPr>
        <w:spacing w:after="240" w:line="300"/>
        <w:ind w:left="340"/>
      </w:pPr>
      <w:r>
        <w:rPr>
          <w:rFonts w:ascii="Calibri" w:cs="Calibri" w:eastAsia="Calibri" w:hAnsi="Calibri"/>
          <w:color w:val="3A3A3A"/>
          <w:sz w:val="19"/>
          <w:szCs w:val="19"/>
        </w:rPr>
        <w:t xml:space="preserve">On tense: the text says the defects “were confirmed.” If you remediate them before submission, change to “were confirmed and subsequently remediated at commit ‹hash›” and report the post-fix density alongside. A measurement that drove a fix demonstrates the method worked; a clean sheet demonstrates nothing.</w:t>
      </w:r>
    </w:p>
    <w:p>
      <w:pPr>
        <w:pStyle w:val="Heading2"/>
        <w:spacing w:after="140" w:before="380"/>
      </w:pPr>
      <w:r>
        <w:rPr>
          <w:rFonts w:ascii="Cambria" w:cs="Cambria" w:eastAsia="Cambria" w:hAnsi="Cambria"/>
          <w:b/>
          <w:bCs/>
          <w:color w:val="1A1A1A"/>
          <w:sz w:val="26"/>
          <w:szCs w:val="26"/>
        </w:rPr>
        <w:t xml:space="preserve">11.  New Appendix — Automated Source-Code Measurement Record</w:t>
      </w:r>
    </w:p>
    <w:p>
      <w:pPr>
        <w:spacing w:after="120"/>
      </w:pPr>
      <w:r>
        <w:rPr>
          <w:rFonts w:ascii="Calibri" w:cs="Calibri" w:eastAsia="Calibri" w:hAnsi="Calibri"/>
          <w:b/>
          <w:bCs/>
          <w:color w:val="1F6F8B"/>
          <w:sz w:val="19"/>
          <w:szCs w:val="19"/>
        </w:rPr>
        <w:t xml:space="preserve">Location:  </w:t>
      </w:r>
      <w:r>
        <w:rPr>
          <w:rFonts w:ascii="Calibri" w:cs="Calibri" w:eastAsia="Calibri" w:hAnsi="Calibri"/>
          <w:sz w:val="19"/>
          <w:szCs w:val="19"/>
        </w:rPr>
        <w:t xml:space="preserve">Add with the other instrument appendices. Your table of contents lists Appendices A through J at page 00; assign this one the next available letter.</w:t>
      </w:r>
    </w:p>
    <w:p>
      <w:pPr>
        <w:spacing w:after="60" w:before="200"/>
      </w:pPr>
      <w:r>
        <w:rPr>
          <w:rFonts w:ascii="Calibri" w:cs="Calibri" w:eastAsia="Calibri" w:hAnsi="Calibri"/>
          <w:b/>
          <w:bCs/>
          <w:color w:val="3F6B3F"/>
          <w:spacing w:val="20"/>
          <w:sz w:val="17"/>
          <w:szCs w:val="17"/>
        </w:rPr>
        <w:t xml:space="preserve">CONTENTS</w:t>
      </w:r>
    </w:p>
    <w:p>
      <w:pPr>
        <w:pStyle w:val="ListParagraph"/>
        <w:numPr>
          <w:ilvl w:val="0"/>
          <w:numId w:val="1"/>
        </w:numPr>
        <w:spacing w:after="90" w:line="300"/>
      </w:pPr>
      <w:r>
        <w:rPr>
          <w:rFonts w:ascii="Calibri" w:cs="Calibri" w:eastAsia="Calibri" w:hAnsi="Calibri"/>
          <w:sz w:val="20"/>
          <w:szCs w:val="20"/>
        </w:rPr>
        <w:t xml:space="preserve">Commit hash: 048c2fc</w:t>
      </w:r>
    </w:p>
    <w:p>
      <w:pPr>
        <w:pStyle w:val="ListParagraph"/>
        <w:numPr>
          <w:ilvl w:val="0"/>
          <w:numId w:val="1"/>
        </w:numPr>
        <w:spacing w:after="90" w:line="300"/>
      </w:pPr>
      <w:r>
        <w:rPr>
          <w:rFonts w:ascii="Calibri" w:cs="Calibri" w:eastAsia="Calibri" w:hAnsi="Calibri"/>
          <w:sz w:val="20"/>
          <w:szCs w:val="20"/>
        </w:rPr>
        <w:t xml:space="preserve">Analyser versions: Bandit 1.9.4, Flawfinder 2.0.20, Cppcheck 2.21.0, Radon 6.0.1, Python 3.13.14</w:t>
      </w:r>
    </w:p>
    <w:p>
      <w:pPr>
        <w:pStyle w:val="ListParagraph"/>
        <w:numPr>
          <w:ilvl w:val="0"/>
          <w:numId w:val="1"/>
        </w:numPr>
        <w:spacing w:after="90" w:line="300"/>
      </w:pPr>
      <w:r>
        <w:rPr>
          <w:rFonts w:ascii="Calibri" w:cs="Calibri" w:eastAsia="Calibri" w:hAnsi="Calibri"/>
          <w:sz w:val="20"/>
          <w:szCs w:val="20"/>
        </w:rPr>
        <w:t xml:space="preserve">Exact commands executed, with their scope arguments</w:t>
      </w:r>
    </w:p>
    <w:p>
      <w:pPr>
        <w:pStyle w:val="ListParagraph"/>
        <w:numPr>
          <w:ilvl w:val="0"/>
          <w:numId w:val="1"/>
        </w:numPr>
        <w:spacing w:after="90" w:line="300"/>
      </w:pPr>
      <w:r>
        <w:rPr>
          <w:rFonts w:ascii="Calibri" w:cs="Calibri" w:eastAsia="Calibri" w:hAnsi="Calibri"/>
          <w:sz w:val="20"/>
          <w:szCs w:val="20"/>
        </w:rPr>
        <w:t xml:space="preserve">Scope statement: 22 Python modules (6,620 lines) and afc_native.cpp (1,159 lines)</w:t>
      </w:r>
    </w:p>
    <w:p>
      <w:pPr>
        <w:pStyle w:val="ListParagraph"/>
        <w:numPr>
          <w:ilvl w:val="0"/>
          <w:numId w:val="1"/>
        </w:numPr>
        <w:spacing w:after="90" w:line="300"/>
      </w:pPr>
      <w:r>
        <w:rPr>
          <w:rFonts w:ascii="Calibri" w:cs="Calibri" w:eastAsia="Calibri" w:hAnsi="Calibri"/>
          <w:sz w:val="20"/>
          <w:szCs w:val="20"/>
        </w:rPr>
        <w:t xml:space="preserve">Full triage table — one row per finding: tool, reported CWE, file, line, tool severity, verdict, confirmed CWE, and justification</w:t>
      </w:r>
    </w:p>
    <w:p>
      <w:pPr>
        <w:pStyle w:val="ListParagraph"/>
        <w:numPr>
          <w:ilvl w:val="0"/>
          <w:numId w:val="1"/>
        </w:numPr>
        <w:spacing w:after="90" w:line="300"/>
      </w:pPr>
      <w:r>
        <w:rPr>
          <w:rFonts w:ascii="Calibri" w:cs="Calibri" w:eastAsia="Calibri" w:hAnsi="Calibri"/>
          <w:sz w:val="20"/>
          <w:szCs w:val="20"/>
        </w:rPr>
        <w:t xml:space="preserve">Density table — per measure: raw count, confirmed count, false-positive rate, per-KLOC density and the scope it is computed over</w:t>
      </w:r>
    </w:p>
    <w:p>
      <w:pPr>
        <w:pStyle w:val="ListParagraph"/>
        <w:numPr>
          <w:ilvl w:val="0"/>
          <w:numId w:val="1"/>
        </w:numPr>
        <w:spacing w:after="90" w:line="300"/>
      </w:pPr>
      <w:r>
        <w:rPr>
          <w:rFonts w:ascii="Calibri" w:cs="Calibri" w:eastAsia="Calibri" w:hAnsi="Calibri"/>
          <w:sz w:val="20"/>
          <w:szCs w:val="20"/>
        </w:rPr>
        <w:t xml:space="preserve">Raw analyser output as generated</w:t>
      </w:r>
    </w:p>
    <w:p>
      <w:pPr>
        <w:spacing w:after="240" w:line="300"/>
        <w:ind w:left="340"/>
      </w:pPr>
      <w:r>
        <w:rPr>
          <w:rFonts w:ascii="Calibri" w:cs="Calibri" w:eastAsia="Calibri" w:hAnsi="Calibri"/>
          <w:color w:val="3A3A3A"/>
          <w:sz w:val="19"/>
          <w:szCs w:val="19"/>
        </w:rPr>
        <w:t xml:space="preserve">The triage table is the substantive item. Each justification should be short enough for a reader to verify against the cited line in under a minute. Without it, the confirmed counts are assertions rather than evidence.</w:t>
      </w:r>
    </w:p>
    <w:p>
      <w:pPr>
        <w:pStyle w:val="Heading2"/>
        <w:spacing w:after="140" w:before="380"/>
      </w:pPr>
      <w:r>
        <w:rPr>
          <w:rFonts w:ascii="Cambria" w:cs="Cambria" w:eastAsia="Cambria" w:hAnsi="Cambria"/>
          <w:b/>
          <w:bCs/>
          <w:color w:val="1A1A1A"/>
          <w:sz w:val="26"/>
          <w:szCs w:val="26"/>
        </w:rPr>
        <w:t xml:space="preserve">12.  New Chapter — Discussion, Conclusion, and Recommendations</w:t>
      </w:r>
    </w:p>
    <w:p>
      <w:pPr>
        <w:spacing w:after="120"/>
      </w:pPr>
      <w:r>
        <w:rPr>
          <w:rFonts w:ascii="Calibri" w:cs="Calibri" w:eastAsia="Calibri" w:hAnsi="Calibri"/>
          <w:b/>
          <w:bCs/>
          <w:color w:val="1F6F8B"/>
          <w:sz w:val="19"/>
          <w:szCs w:val="19"/>
        </w:rPr>
        <w:t xml:space="preserve">Location:  </w:t>
      </w:r>
      <w:r>
        <w:rPr>
          <w:rFonts w:ascii="Calibri" w:cs="Calibri" w:eastAsia="Calibri" w:hAnsi="Calibri"/>
          <w:sz w:val="19"/>
          <w:szCs w:val="19"/>
        </w:rPr>
        <w:t xml:space="preserve">Insert after Results and before References.</w:t>
      </w:r>
    </w:p>
    <w:p>
      <w:pPr>
        <w:spacing w:after="160" w:line="300"/>
      </w:pPr>
      <w:r>
        <w:rPr>
          <w:rFonts w:ascii="Calibri" w:cs="Calibri" w:eastAsia="Calibri" w:hAnsi="Calibri"/>
          <w:b w:val="false"/>
          <w:bCs w:val="false"/>
          <w:i w:val="false"/>
          <w:iCs w:val="false"/>
          <w:color w:val="000000"/>
          <w:sz w:val="20"/>
          <w:szCs w:val="20"/>
        </w:rPr>
        <w:t xml:space="preserve">Absent entirely from the current manuscript. It cannot be drafted from the ISO/IEC 5055 work alone, since it must also interpret the algorithm benchmarks and the survey results. Three points from this measurement belong in it:</w:t>
      </w:r>
    </w:p>
    <w:p>
      <w:pPr>
        <w:pStyle w:val="ListParagraph"/>
        <w:numPr>
          <w:ilvl w:val="0"/>
          <w:numId w:val="1"/>
        </w:numPr>
        <w:spacing w:after="90" w:line="300"/>
      </w:pPr>
      <w:r>
        <w:rPr>
          <w:rFonts w:ascii="Calibri" w:cs="Calibri" w:eastAsia="Calibri" w:hAnsi="Calibri"/>
          <w:sz w:val="20"/>
          <w:szCs w:val="20"/>
        </w:rPr>
        <w:t xml:space="preserve">The four confirmed defects and their disposition — whether remediated or reported as future work.</w:t>
      </w:r>
    </w:p>
    <w:p>
      <w:pPr>
        <w:pStyle w:val="ListParagraph"/>
        <w:numPr>
          <w:ilvl w:val="0"/>
          <w:numId w:val="1"/>
        </w:numPr>
        <w:spacing w:after="90" w:line="300"/>
      </w:pPr>
      <w:r>
        <w:rPr>
          <w:rFonts w:ascii="Calibri" w:cs="Calibri" w:eastAsia="Calibri" w:hAnsi="Calibri"/>
          <w:sz w:val="20"/>
          <w:szCs w:val="20"/>
        </w:rPr>
        <w:t xml:space="preserve">The reclassification finding: every analyser mislabelled its own findings, so measure assignment required inspection in every case. This is the study’s clearest evidence for pairing automated measurement with expert review rather than treating either alone as sufficient.</w:t>
      </w:r>
    </w:p>
    <w:p>
      <w:pPr>
        <w:pStyle w:val="ListParagraph"/>
        <w:numPr>
          <w:ilvl w:val="0"/>
          <w:numId w:val="1"/>
        </w:numPr>
        <w:spacing w:after="90" w:line="300"/>
      </w:pPr>
      <w:r>
        <w:rPr>
          <w:rFonts w:ascii="Calibri" w:cs="Calibri" w:eastAsia="Calibri" w:hAnsi="Calibri"/>
          <w:sz w:val="20"/>
          <w:szCs w:val="20"/>
        </w:rPr>
        <w:t xml:space="preserve">The concentration of maintainability debt in container-format handling, and whether that is inherent to PDF and DOCX parsing or represents genuine debt — a question the expert panel is positioned to answer.</w:t>
      </w:r>
    </w:p>
    <w:p>
      <w:pPr>
        <w:pStyle w:val="Heading1"/>
        <w:pageBreakBefore/>
        <w:pBdr>
          <w:bottom w:val="single" w:color="1F6F8B" w:sz="8" w:space="6"/>
        </w:pBdr>
        <w:spacing w:after="220" w:before="200"/>
      </w:pPr>
      <w:r>
        <w:rPr>
          <w:rFonts w:ascii="Cambria" w:cs="Cambria" w:eastAsia="Cambria" w:hAnsi="Cambria"/>
          <w:b/>
          <w:bCs/>
          <w:color w:val="1F6F8B"/>
          <w:sz w:val="30"/>
          <w:szCs w:val="30"/>
        </w:rPr>
        <w:t xml:space="preserve">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400"/>
      </w:tblGrid>
      <w:tr>
        <w:tc>
          <w:tcPr>
            <w:tcW w:type="dxa" w:w="3600"/>
            <w:shd w:fill="E3EEF2" w:val="clear"/>
            <w:tcMar>
              <w:top w:type="dxa" w:w="90"/>
              <w:left w:type="dxa" w:w="120"/>
              <w:bottom w:type="dxa" w:w="90"/>
              <w:right w:type="dxa" w:w="120"/>
            </w:tcMar>
          </w:tcPr>
          <w:p>
            <w:r>
              <w:rPr>
                <w:rFonts w:ascii="Calibri" w:cs="Calibri" w:eastAsia="Calibri" w:hAnsi="Calibri"/>
                <w:b/>
                <w:bCs/>
                <w:sz w:val="18"/>
                <w:szCs w:val="18"/>
              </w:rPr>
              <w:t xml:space="preserve">Part</w:t>
            </w:r>
          </w:p>
        </w:tc>
        <w:tc>
          <w:tcPr>
            <w:tcW w:type="dxa" w:w="2200"/>
            <w:shd w:fill="E3EEF2" w:val="clear"/>
            <w:tcMar>
              <w:top w:type="dxa" w:w="90"/>
              <w:left w:type="dxa" w:w="120"/>
              <w:bottom w:type="dxa" w:w="90"/>
              <w:right w:type="dxa" w:w="120"/>
            </w:tcMar>
          </w:tcPr>
          <w:p>
            <w:r>
              <w:rPr>
                <w:rFonts w:ascii="Calibri" w:cs="Calibri" w:eastAsia="Calibri" w:hAnsi="Calibri"/>
                <w:b/>
                <w:bCs/>
                <w:sz w:val="18"/>
                <w:szCs w:val="18"/>
              </w:rPr>
              <w:t xml:space="preserve">Edits</w:t>
            </w:r>
          </w:p>
        </w:tc>
        <w:tc>
          <w:tcPr>
            <w:tcW w:type="dxa" w:w="3400"/>
            <w:shd w:fill="E3EEF2" w:val="clear"/>
            <w:tcMar>
              <w:top w:type="dxa" w:w="90"/>
              <w:left w:type="dxa" w:w="120"/>
              <w:bottom w:type="dxa" w:w="90"/>
              <w:right w:type="dxa" w:w="120"/>
            </w:tcMar>
          </w:tcPr>
          <w:p>
            <w:r>
              <w:rPr>
                <w:rFonts w:ascii="Calibri" w:cs="Calibri" w:eastAsia="Calibri" w:hAnsi="Calibri"/>
                <w:b/>
                <w:bCs/>
                <w:sz w:val="18"/>
                <w:szCs w:val="18"/>
              </w:rPr>
              <w:t xml:space="preserve">Can you do it now?</w:t>
            </w:r>
          </w:p>
        </w:tc>
      </w:tr>
      <w:tr>
        <w:tc>
          <w:tcPr>
            <w:tcW w:type="dxa" w:w="3600"/>
            <w:tcMar>
              <w:top w:type="dxa" w:w="90"/>
              <w:left w:type="dxa" w:w="120"/>
              <w:bottom w:type="dxa" w:w="90"/>
              <w:right w:type="dxa" w:w="120"/>
            </w:tcMar>
          </w:tcPr>
          <w:p>
            <w:r>
              <w:rPr>
                <w:rFonts w:ascii="Calibri" w:cs="Calibri" w:eastAsia="Calibri" w:hAnsi="Calibri"/>
                <w:b w:val="false"/>
                <w:bCs w:val="false"/>
                <w:sz w:val="18"/>
                <w:szCs w:val="18"/>
              </w:rPr>
              <w:t xml:space="preserve">1 — ISO/IEC 5055 measurement</w:t>
            </w:r>
          </w:p>
        </w:tc>
        <w:tc>
          <w:tcPr>
            <w:tcW w:type="dxa" w:w="2200"/>
            <w:tcMar>
              <w:top w:type="dxa" w:w="90"/>
              <w:left w:type="dxa" w:w="120"/>
              <w:bottom w:type="dxa" w:w="90"/>
              <w:right w:type="dxa" w:w="120"/>
            </w:tcMar>
          </w:tcPr>
          <w:p>
            <w:r>
              <w:rPr>
                <w:rFonts w:ascii="Calibri" w:cs="Calibri" w:eastAsia="Calibri" w:hAnsi="Calibri"/>
                <w:b w:val="false"/>
                <w:bCs w:val="false"/>
                <w:sz w:val="18"/>
                <w:szCs w:val="18"/>
              </w:rPr>
              <w:t xml:space="preserve">Edits 1–5</w:t>
            </w:r>
          </w:p>
        </w:tc>
        <w:tc>
          <w:tcPr>
            <w:tcW w:type="dxa" w:w="3400"/>
            <w:tcMar>
              <w:top w:type="dxa" w:w="90"/>
              <w:left w:type="dxa" w:w="120"/>
              <w:bottom w:type="dxa" w:w="90"/>
              <w:right w:type="dxa" w:w="120"/>
            </w:tcMar>
          </w:tcPr>
          <w:p>
            <w:r>
              <w:rPr>
                <w:rFonts w:ascii="Calibri" w:cs="Calibri" w:eastAsia="Calibri" w:hAnsi="Calibri"/>
                <w:b w:val="false"/>
                <w:bCs w:val="false"/>
                <w:sz w:val="18"/>
                <w:szCs w:val="18"/>
              </w:rPr>
              <w:t xml:space="preserve">Yes</w:t>
            </w:r>
          </w:p>
        </w:tc>
      </w:tr>
      <w:tr>
        <w:tc>
          <w:tcPr>
            <w:tcW w:type="dxa" w:w="3600"/>
            <w:tcMar>
              <w:top w:type="dxa" w:w="90"/>
              <w:left w:type="dxa" w:w="120"/>
              <w:bottom w:type="dxa" w:w="90"/>
              <w:right w:type="dxa" w:w="120"/>
            </w:tcMar>
          </w:tcPr>
          <w:p>
            <w:r>
              <w:rPr>
                <w:rFonts w:ascii="Calibri" w:cs="Calibri" w:eastAsia="Calibri" w:hAnsi="Calibri"/>
                <w:b w:val="false"/>
                <w:bCs w:val="false"/>
                <w:sz w:val="18"/>
                <w:szCs w:val="18"/>
              </w:rPr>
              <w:t xml:space="preserve">2 — Tense conversion</w:t>
            </w:r>
          </w:p>
        </w:tc>
        <w:tc>
          <w:tcPr>
            <w:tcW w:type="dxa" w:w="2200"/>
            <w:tcMar>
              <w:top w:type="dxa" w:w="90"/>
              <w:left w:type="dxa" w:w="120"/>
              <w:bottom w:type="dxa" w:w="90"/>
              <w:right w:type="dxa" w:w="120"/>
            </w:tcMar>
          </w:tcPr>
          <w:p>
            <w:r>
              <w:rPr>
                <w:rFonts w:ascii="Calibri" w:cs="Calibri" w:eastAsia="Calibri" w:hAnsi="Calibri"/>
                <w:b w:val="false"/>
                <w:bCs w:val="false"/>
                <w:sz w:val="18"/>
                <w:szCs w:val="18"/>
              </w:rPr>
              <w:t xml:space="preserve">Edits 6–8</w:t>
            </w:r>
          </w:p>
        </w:tc>
        <w:tc>
          <w:tcPr>
            <w:tcW w:type="dxa" w:w="3400"/>
            <w:tcMar>
              <w:top w:type="dxa" w:w="90"/>
              <w:left w:type="dxa" w:w="120"/>
              <w:bottom w:type="dxa" w:w="90"/>
              <w:right w:type="dxa" w:w="120"/>
            </w:tcMar>
          </w:tcPr>
          <w:p>
            <w:r>
              <w:rPr>
                <w:rFonts w:ascii="Calibri" w:cs="Calibri" w:eastAsia="Calibri" w:hAnsi="Calibri"/>
                <w:b w:val="false"/>
                <w:bCs w:val="false"/>
                <w:sz w:val="18"/>
                <w:szCs w:val="18"/>
              </w:rPr>
              <w:t xml:space="preserve">Yes</w:t>
            </w:r>
          </w:p>
        </w:tc>
      </w:tr>
      <w:tr>
        <w:tc>
          <w:tcPr>
            <w:tcW w:type="dxa" w:w="3600"/>
            <w:tcMar>
              <w:top w:type="dxa" w:w="90"/>
              <w:left w:type="dxa" w:w="120"/>
              <w:bottom w:type="dxa" w:w="90"/>
              <w:right w:type="dxa" w:w="120"/>
            </w:tcMar>
          </w:tcPr>
          <w:p>
            <w:r>
              <w:rPr>
                <w:rFonts w:ascii="Calibri" w:cs="Calibri" w:eastAsia="Calibri" w:hAnsi="Calibri"/>
                <w:b w:val="false"/>
                <w:bCs w:val="false"/>
                <w:sz w:val="18"/>
                <w:szCs w:val="18"/>
              </w:rPr>
              <w:t xml:space="preserve">3 — Conditional timing study</w:t>
            </w:r>
          </w:p>
        </w:tc>
        <w:tc>
          <w:tcPr>
            <w:tcW w:type="dxa" w:w="2200"/>
            <w:tcMar>
              <w:top w:type="dxa" w:w="90"/>
              <w:left w:type="dxa" w:w="120"/>
              <w:bottom w:type="dxa" w:w="90"/>
              <w:right w:type="dxa" w:w="120"/>
            </w:tcMar>
          </w:tcPr>
          <w:p>
            <w:r>
              <w:rPr>
                <w:rFonts w:ascii="Calibri" w:cs="Calibri" w:eastAsia="Calibri" w:hAnsi="Calibri"/>
                <w:b w:val="false"/>
                <w:bCs w:val="false"/>
                <w:sz w:val="18"/>
                <w:szCs w:val="18"/>
              </w:rPr>
              <w:t xml:space="preserve">Edit 9</w:t>
            </w:r>
          </w:p>
        </w:tc>
        <w:tc>
          <w:tcPr>
            <w:tcW w:type="dxa" w:w="3400"/>
            <w:tcMar>
              <w:top w:type="dxa" w:w="90"/>
              <w:left w:type="dxa" w:w="120"/>
              <w:bottom w:type="dxa" w:w="90"/>
              <w:right w:type="dxa" w:w="120"/>
            </w:tcMar>
          </w:tcPr>
          <w:p>
            <w:r>
              <w:rPr>
                <w:rFonts w:ascii="Calibri" w:cs="Calibri" w:eastAsia="Calibri" w:hAnsi="Calibri"/>
                <w:b w:val="false"/>
                <w:bCs w:val="false"/>
                <w:sz w:val="18"/>
                <w:szCs w:val="18"/>
              </w:rPr>
              <w:t xml:space="preserve">Yes — pick the true branch</w:t>
            </w:r>
          </w:p>
        </w:tc>
      </w:tr>
      <w:tr>
        <w:tc>
          <w:tcPr>
            <w:tcW w:type="dxa" w:w="3600"/>
            <w:tcMar>
              <w:top w:type="dxa" w:w="90"/>
              <w:left w:type="dxa" w:w="120"/>
              <w:bottom w:type="dxa" w:w="90"/>
              <w:right w:type="dxa" w:w="120"/>
            </w:tcMar>
          </w:tcPr>
          <w:p>
            <w:r>
              <w:rPr>
                <w:rFonts w:ascii="Calibri" w:cs="Calibri" w:eastAsia="Calibri" w:hAnsi="Calibri"/>
                <w:b w:val="false"/>
                <w:bCs w:val="false"/>
                <w:sz w:val="18"/>
                <w:szCs w:val="18"/>
              </w:rPr>
              <w:t xml:space="preserve">4 — Human-evaluation passages</w:t>
            </w:r>
          </w:p>
        </w:tc>
        <w:tc>
          <w:tcPr>
            <w:tcW w:type="dxa" w:w="2200"/>
            <w:tcMar>
              <w:top w:type="dxa" w:w="90"/>
              <w:left w:type="dxa" w:w="120"/>
              <w:bottom w:type="dxa" w:w="90"/>
              <w:right w:type="dxa" w:w="120"/>
            </w:tcMar>
          </w:tcPr>
          <w:p>
            <w:r>
              <w:rPr>
                <w:rFonts w:ascii="Calibri" w:cs="Calibri" w:eastAsia="Calibri" w:hAnsi="Calibri"/>
                <w:b w:val="false"/>
                <w:bCs w:val="false"/>
                <w:sz w:val="18"/>
                <w:szCs w:val="18"/>
              </w:rPr>
              <w:t xml:space="preserve">11 passages</w:t>
            </w:r>
          </w:p>
        </w:tc>
        <w:tc>
          <w:tcPr>
            <w:tcW w:type="dxa" w:w="3400"/>
            <w:tcMar>
              <w:top w:type="dxa" w:w="90"/>
              <w:left w:type="dxa" w:w="120"/>
              <w:bottom w:type="dxa" w:w="90"/>
              <w:right w:type="dxa" w:w="120"/>
            </w:tcMar>
          </w:tcPr>
          <w:p>
            <w:r>
              <w:rPr>
                <w:rFonts w:ascii="Calibri" w:cs="Calibri" w:eastAsia="Calibri" w:hAnsi="Calibri"/>
                <w:b w:val="false"/>
                <w:bCs w:val="false"/>
                <w:sz w:val="18"/>
                <w:szCs w:val="18"/>
              </w:rPr>
              <w:t xml:space="preserve">No — blocked until the evaluation runs</w:t>
            </w:r>
          </w:p>
        </w:tc>
      </w:tr>
      <w:tr>
        <w:tc>
          <w:tcPr>
            <w:tcW w:type="dxa" w:w="3600"/>
            <w:tcMar>
              <w:top w:type="dxa" w:w="90"/>
              <w:left w:type="dxa" w:w="120"/>
              <w:bottom w:type="dxa" w:w="90"/>
              <w:right w:type="dxa" w:w="120"/>
            </w:tcMar>
          </w:tcPr>
          <w:p>
            <w:r>
              <w:rPr>
                <w:rFonts w:ascii="Calibri" w:cs="Calibri" w:eastAsia="Calibri" w:hAnsi="Calibri"/>
                <w:b w:val="false"/>
                <w:bCs w:val="false"/>
                <w:sz w:val="18"/>
                <w:szCs w:val="18"/>
              </w:rPr>
              <w:t xml:space="preserve">5 — Missing chapters</w:t>
            </w:r>
          </w:p>
        </w:tc>
        <w:tc>
          <w:tcPr>
            <w:tcW w:type="dxa" w:w="2200"/>
            <w:tcMar>
              <w:top w:type="dxa" w:w="90"/>
              <w:left w:type="dxa" w:w="120"/>
              <w:bottom w:type="dxa" w:w="90"/>
              <w:right w:type="dxa" w:w="120"/>
            </w:tcMar>
          </w:tcPr>
          <w:p>
            <w:r>
              <w:rPr>
                <w:rFonts w:ascii="Calibri" w:cs="Calibri" w:eastAsia="Calibri" w:hAnsi="Calibri"/>
                <w:b w:val="false"/>
                <w:bCs w:val="false"/>
                <w:sz w:val="18"/>
                <w:szCs w:val="18"/>
              </w:rPr>
              <w:t xml:space="preserve">Edits 10–12</w:t>
            </w:r>
          </w:p>
        </w:tc>
        <w:tc>
          <w:tcPr>
            <w:tcW w:type="dxa" w:w="3400"/>
            <w:tcMar>
              <w:top w:type="dxa" w:w="90"/>
              <w:left w:type="dxa" w:w="120"/>
              <w:bottom w:type="dxa" w:w="90"/>
              <w:right w:type="dxa" w:w="120"/>
            </w:tcMar>
          </w:tcPr>
          <w:p>
            <w:r>
              <w:rPr>
                <w:rFonts w:ascii="Calibri" w:cs="Calibri" w:eastAsia="Calibri" w:hAnsi="Calibri"/>
                <w:b w:val="false"/>
                <w:bCs w:val="false"/>
                <w:sz w:val="18"/>
                <w:szCs w:val="18"/>
              </w:rPr>
              <w:t xml:space="preserve">Partly — Results section drafted; survey section blocked</w:t>
            </w:r>
          </w:p>
        </w:tc>
      </w:tr>
    </w:tbl>
    <w:p>
      <w:pPr>
        <w:spacing w:after="240" w:line="300"/>
      </w:pPr>
      <w:r>
        <w:rPr>
          <w:rFonts w:ascii="Calibri" w:cs="Calibri" w:eastAsia="Calibri" w:hAnsi="Calibri"/>
          <w:b w:val="false"/>
          <w:bCs w:val="false"/>
          <w:i w:val="false"/>
          <w:iCs w:val="false"/>
          <w:color w:val="000000"/>
          <w:sz w:val="20"/>
          <w:szCs w:val="20"/>
        </w:rPr>
        <w:t xml:space="preserve"/>
      </w:r>
    </w:p>
    <w:p>
      <w:pPr>
        <w:spacing w:after="160" w:line="300"/>
      </w:pPr>
      <w:r>
        <w:rPr>
          <w:rFonts w:ascii="Calibri" w:cs="Calibri" w:eastAsia="Calibri" w:hAnsi="Calibri"/>
          <w:b/>
          <w:bCs/>
          <w:i w:val="false"/>
          <w:iCs w:val="false"/>
          <w:color w:val="000000"/>
          <w:sz w:val="20"/>
          <w:szCs w:val="20"/>
        </w:rPr>
        <w:t xml:space="preserve">The binding constraint is not the writing. It is that the human evaluation has not been run, and no amount of editing produces that data. Distributing the questionnaires is the step everything else waits 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Edit List — ISO/IEC 5055</dc:title>
  <dc:creator>ByteSize research team</dc:creator>
  <cp:lastModifiedBy>Un-named</cp:lastModifiedBy>
  <cp:revision>1</cp:revision>
  <dcterms:created xsi:type="dcterms:W3CDTF">2026-08-26T05:54:01.643Z</dcterms:created>
  <dcterms:modified xsi:type="dcterms:W3CDTF">2026-08-26T05:54:01.643Z</dcterms:modified>
</cp:coreProperties>
</file>

<file path=docProps/custom.xml><?xml version="1.0" encoding="utf-8"?>
<Properties xmlns="http://schemas.openxmlformats.org/officeDocument/2006/custom-properties" xmlns:vt="http://schemas.openxmlformats.org/officeDocument/2006/docPropsVTypes"/>
</file>