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300"/>
      </w:pPr>
      <w:r>
        <w:rPr>
          <w:rFonts w:ascii="Cambria" w:cs="Cambria" w:eastAsia="Cambria" w:hAnsi="Cambria"/>
          <w:b/>
          <w:bCs/>
          <w:sz w:val="44"/>
          <w:szCs w:val="44"/>
        </w:rPr>
        <w:t xml:space="preserve">MANUSCRIPT EDIT LIST</w:t>
      </w:r>
    </w:p>
    <w:p>
      <w:pPr>
        <w:spacing w:after="120"/>
      </w:pPr>
      <w:r>
        <w:rPr>
          <w:rFonts w:ascii="Cambria" w:cs="Cambria" w:eastAsia="Cambria" w:hAnsi="Cambria"/>
          <w:color w:val="1F6F8B"/>
          <w:sz w:val="26"/>
          <w:szCs w:val="26"/>
        </w:rPr>
        <w:t xml:space="preserve">Outstanding items — revision 2</w:t>
      </w:r>
    </w:p>
    <w:p>
      <w:pPr>
        <w:spacing w:after="160" w:line="300"/>
      </w:pPr>
      <w:r>
        <w:rPr>
          <w:rFonts w:ascii="Calibri" w:cs="Calibri" w:eastAsia="Calibri" w:hAnsi="Calibri"/>
          <w:b w:val="false"/>
          <w:bCs w:val="false"/>
          <w:i w:val="false"/>
          <w:iCs w:val="false"/>
          <w:color w:val="000000"/>
          <w:sz w:val="20"/>
          <w:szCs w:val="20"/>
        </w:rPr>
        <w:t xml:space="preserve">Adaptive File Compression System Using Multi-Level Frequency Analysis &amp; Hybrid Huffman</w:t>
      </w:r>
    </w:p>
    <w:p>
      <w:pPr>
        <w:spacing w:after="160" w:line="300"/>
      </w:pPr>
      <w:r>
        <w:rPr>
          <w:rFonts w:ascii="Calibri" w:cs="Calibri" w:eastAsia="Calibri" w:hAnsi="Calibri"/>
          <w:b w:val="false"/>
          <w:bCs w:val="false"/>
          <w:i w:val="false"/>
          <w:iCs w:val="false"/>
          <w:color w:val="000000"/>
          <w:sz w:val="20"/>
          <w:szCs w:val="20"/>
        </w:rPr>
        <w:t xml:space="preserve">School of Computing, Holy Angel University  ·  26 August 2026</w:t>
      </w:r>
    </w:p>
    <w:p>
      <w:pPr>
        <w:pBdr>
          <w:top w:val="single" w:color="CCCCCC" w:sz="8" w:space="10"/>
        </w:pBdr>
        <w:spacing w:after="160" w:before="420"/>
      </w:pPr>
      <w:r>
        <w:rPr>
          <w:rFonts w:ascii="Cambria" w:cs="Cambria" w:eastAsia="Cambria" w:hAnsi="Cambria"/>
          <w:b/>
          <w:bCs/>
          <w:sz w:val="22"/>
          <w:szCs w:val="22"/>
        </w:rPr>
        <w:t xml:space="preserve">What changed since revision 1</w:t>
      </w:r>
    </w:p>
    <w:p>
      <w:pPr>
        <w:spacing w:after="160" w:line="300"/>
      </w:pPr>
      <w:r>
        <w:rPr>
          <w:rFonts w:ascii="Calibri" w:cs="Calibri" w:eastAsia="Calibri" w:hAnsi="Calibri"/>
          <w:b w:val="false"/>
          <w:bCs w:val="false"/>
          <w:i w:val="false"/>
          <w:iCs w:val="false"/>
          <w:color w:val="000000"/>
          <w:sz w:val="20"/>
          <w:szCs w:val="20"/>
        </w:rPr>
        <w:t xml:space="preserve">Three edits have been applied to the manuscript and are removed from this list:</w:t>
      </w:r>
    </w:p>
    <w:p>
      <w:pPr>
        <w:pBdr>
          <w:left w:val="single" w:color="AEC4CE" w:sz="12" w:space="8"/>
        </w:pBdr>
        <w:shd w:fill="EEF3F6" w:val="clear"/>
        <w:spacing w:after="100" w:line="300"/>
        <w:ind w:left="340" w:right="200"/>
      </w:pPr>
      <w:r>
        <w:rPr>
          <w:rFonts w:ascii="Cambria" w:cs="Cambria" w:eastAsia="Cambria" w:hAnsi="Cambria"/>
          <w:sz w:val="20"/>
          <w:szCs w:val="20"/>
        </w:rPr>
        <w:t xml:space="preserve">Applied — Objectives of the Study now reads “To measure the developed system’s source code against the Reliability, Security, Performance Efficiency, and Maintainability characteristics of ISO/IEC 5055 using automated static analysis…”</w:t>
      </w:r>
    </w:p>
    <w:p>
      <w:pPr>
        <w:pBdr>
          <w:left w:val="single" w:color="AEC4CE" w:sz="12" w:space="8"/>
        </w:pBdr>
        <w:shd w:fill="EEF3F6" w:val="clear"/>
        <w:spacing w:after="100" w:line="300"/>
        <w:ind w:left="340" w:right="200"/>
      </w:pPr>
      <w:r>
        <w:rPr>
          <w:rFonts w:ascii="Cambria" w:cs="Cambria" w:eastAsia="Cambria" w:hAnsi="Cambria"/>
          <w:sz w:val="20"/>
          <w:szCs w:val="20"/>
        </w:rPr>
        <w:t xml:space="preserve">Applied — Technical Evaluation Framework now carries the ISO/IEC 5055 and 25010 citations and the paragraph naming the analysers and their versions.</w:t>
      </w:r>
    </w:p>
    <w:p>
      <w:pPr>
        <w:pBdr>
          <w:left w:val="single" w:color="AEC4CE" w:sz="12" w:space="8"/>
        </w:pBdr>
        <w:shd w:fill="EEF3F6" w:val="clear"/>
        <w:spacing w:after="100" w:line="300"/>
        <w:ind w:left="340" w:right="200"/>
      </w:pPr>
      <w:r>
        <w:rPr>
          <w:rFonts w:ascii="Cambria" w:cs="Cambria" w:eastAsia="Cambria" w:hAnsi="Cambria"/>
          <w:sz w:val="20"/>
          <w:szCs w:val="20"/>
        </w:rPr>
        <w:t xml:space="preserve">Applied — Data Collection now opens the measurement paragraph with “Automated source-code measurement was performed at commit 048c2fc…”</w:t>
      </w:r>
    </w:p>
    <w:p>
      <w:pPr>
        <w:spacing w:after="220" w:line="300"/>
      </w:pPr>
      <w:r>
        <w:rPr>
          <w:rFonts w:ascii="Calibri" w:cs="Calibri" w:eastAsia="Calibri" w:hAnsi="Calibri"/>
          <w:b w:val="false"/>
          <w:bCs w:val="false"/>
          <w:i w:val="false"/>
          <w:iCs w:val="false"/>
          <w:color w:val="000000"/>
          <w:sz w:val="20"/>
          <w:szCs w:val="20"/>
        </w:rPr>
        <w:t xml:space="preserve">Six edits remain, and three chapters are still absent. Those are the whole of this document.</w:t>
      </w:r>
    </w:p>
    <w:p>
      <w:pPr>
        <w:spacing w:after="140" w:before="200"/>
      </w:pPr>
      <w:r>
        <w:rPr>
          <w:rFonts w:ascii="Cambria" w:cs="Cambria" w:eastAsia="Cambria" w:hAnsi="Cambria"/>
          <w:b/>
          <w:bCs/>
          <w:sz w:val="22"/>
          <w:szCs w:val="22"/>
        </w:rPr>
        <w:t xml:space="preserve">On locating each passage</w:t>
      </w:r>
    </w:p>
    <w:p>
      <w:pPr>
        <w:spacing w:after="160" w:line="300"/>
      </w:pPr>
      <w:r>
        <w:rPr>
          <w:rFonts w:ascii="Calibri" w:cs="Calibri" w:eastAsia="Calibri" w:hAnsi="Calibri"/>
          <w:b w:val="false"/>
          <w:bCs w:val="false"/>
          <w:i w:val="false"/>
          <w:iCs w:val="false"/>
          <w:color w:val="000000"/>
          <w:sz w:val="20"/>
          <w:szCs w:val="20"/>
        </w:rPr>
        <w:t xml:space="preserve">Page numbers are omitted deliberately. The table of contents in the manuscript is itself out of date — it lists Data Collection at page 29 when the section now falls on page 41 — so a page reference would mislead. Each entry instead gives an exact phrase to search for. Every phrase below was verified present in the current file.</w:t>
      </w:r>
    </w:p>
    <w:p>
      <w:pPr>
        <w:spacing w:after="140" w:before="340"/>
      </w:pPr>
      <w:r>
        <w:rPr>
          <w:rFonts w:ascii="Cambria" w:cs="Cambria" w:eastAsia="Cambria" w:hAnsi="Cambria"/>
          <w:b/>
          <w:bCs/>
          <w:color w:val="A8541F"/>
          <w:sz w:val="22"/>
          <w:szCs w:val="22"/>
        </w:rPr>
        <w:t xml:space="preserve">One development worth noting</w:t>
      </w:r>
    </w:p>
    <w:p>
      <w:pPr>
        <w:spacing w:after="160" w:line="300"/>
      </w:pPr>
      <w:r>
        <w:rPr>
          <w:rFonts w:ascii="Calibri" w:cs="Calibri" w:eastAsia="Calibri" w:hAnsi="Calibri"/>
          <w:b w:val="false"/>
          <w:bCs w:val="false"/>
          <w:i w:val="false"/>
          <w:iCs w:val="false"/>
          <w:color w:val="000000"/>
          <w:sz w:val="20"/>
          <w:szCs w:val="20"/>
        </w:rPr>
        <w:t xml:space="preserve">The manuscript now documents deployment to Microsoft Azure Container Apps, with a system architecture figure, the container image workflow, and filled appendices through Appendix K. The system is live. The human evaluation is therefore no longer blocked by anything except being run.</w:t>
      </w:r>
    </w:p>
    <w:p>
      <w:pPr>
        <w:pStyle w:val="Heading1"/>
        <w:pageBreakBefore/>
        <w:pBdr>
          <w:bottom w:val="single" w:color="1F6F8B" w:sz="8" w:space="6"/>
        </w:pBdr>
        <w:spacing w:after="220" w:before="200"/>
      </w:pPr>
      <w:r>
        <w:rPr>
          <w:rFonts w:ascii="Cambria" w:cs="Cambria" w:eastAsia="Cambria" w:hAnsi="Cambria"/>
          <w:b/>
          <w:bCs/>
          <w:color w:val="1F6F8B"/>
          <w:sz w:val="30"/>
          <w:szCs w:val="30"/>
        </w:rPr>
        <w:t xml:space="preserve">Part 1 — Six Outstanding Edits</w:t>
      </w:r>
    </w:p>
    <w:p>
      <w:pPr>
        <w:pStyle w:val="Heading2"/>
        <w:spacing w:after="140" w:before="380"/>
      </w:pPr>
      <w:r>
        <w:rPr>
          <w:rFonts w:ascii="Cambria" w:cs="Cambria" w:eastAsia="Cambria" w:hAnsi="Cambria"/>
          <w:b/>
          <w:bCs/>
          <w:color w:val="1A1A1A"/>
          <w:sz w:val="26"/>
          <w:szCs w:val="26"/>
        </w:rPr>
        <w:t xml:space="preserve">1.  Data Analysis — Phase 3</w:t>
      </w:r>
    </w:p>
    <w:p>
      <w:pPr>
        <w:spacing w:after="120"/>
      </w:pPr>
      <w:r>
        <w:rPr>
          <w:rFonts w:ascii="Calibri" w:cs="Calibri" w:eastAsia="Calibri" w:hAnsi="Calibri"/>
          <w:b/>
          <w:bCs/>
          <w:color w:val="1F6F8B"/>
          <w:sz w:val="19"/>
          <w:szCs w:val="19"/>
        </w:rPr>
        <w:t xml:space="preserve">Find:  </w:t>
      </w:r>
      <w:r>
        <w:rPr>
          <w:rFonts w:ascii="Consolas" w:cs="Consolas" w:eastAsia="Consolas" w:hAnsi="Consolas"/>
          <w:sz w:val="19"/>
          <w:szCs w:val="19"/>
        </w:rPr>
        <w:t xml:space="preserve">Phase 3 - Source-Code and Expert Review</w:t>
      </w:r>
    </w:p>
    <w:p>
      <w:pPr>
        <w:spacing w:after="120"/>
      </w:pPr>
      <w:r>
        <w:rPr>
          <w:rFonts w:ascii="Calibri" w:cs="Calibri" w:eastAsia="Calibri" w:hAnsi="Calibri"/>
          <w:b/>
          <w:bCs/>
          <w:color w:val="1F6F8B"/>
          <w:sz w:val="19"/>
          <w:szCs w:val="19"/>
        </w:rPr>
        <w:t xml:space="preserve">Then:  </w:t>
      </w:r>
      <w:r>
        <w:rPr>
          <w:rFonts w:ascii="Calibri" w:cs="Calibri" w:eastAsia="Calibri" w:hAnsi="Calibri"/>
          <w:sz w:val="19"/>
          <w:szCs w:val="19"/>
        </w:rPr>
        <w:t xml:space="preserve">Replace the whole paragraph.</w:t>
      </w:r>
    </w:p>
    <w:p>
      <w:pPr>
        <w:spacing w:after="60" w:before="200"/>
      </w:pPr>
      <w:r>
        <w:rPr>
          <w:rFonts w:ascii="Calibri" w:cs="Calibri" w:eastAsia="Calibri" w:hAnsi="Calibri"/>
          <w:b/>
          <w:bCs/>
          <w:color w:val="8A4A4A"/>
          <w:spacing w:val="20"/>
          <w:sz w:val="17"/>
          <w:szCs w:val="17"/>
        </w:rPr>
        <w:t xml:space="preserve">EXISTING TEXT</w:t>
      </w:r>
    </w:p>
    <w:p>
      <w:pPr>
        <w:pBdr>
          <w:left w:val="single" w:color="C9B5B5" w:sz="12" w:space="8"/>
        </w:pBdr>
        <w:shd w:fill="F6F1F1" w:val="clear"/>
        <w:spacing w:after="100" w:line="300"/>
        <w:ind w:left="340" w:right="200"/>
      </w:pPr>
      <w:r>
        <w:rPr>
          <w:rFonts w:ascii="Cambria" w:cs="Cambria" w:eastAsia="Cambria" w:hAnsi="Cambria"/>
          <w:sz w:val="20"/>
          <w:szCs w:val="20"/>
        </w:rPr>
        <w:t xml:space="preserve">Phase 3 - Source-Code and Expert Review: ISO/IEC 5055 automated source-code measures are reported separately from human judgment. Experts audit the Bit Cost Decision Engine, lossless invariants, implementation clarity, and reproducibility using a dedicated review instrument; their Likert responses are not presented as ISO/IEC 5055 measurements.</w:t>
      </w:r>
    </w:p>
    <w:p>
      <w:pPr>
        <w:spacing w:after="60" w:before="200"/>
      </w:pPr>
      <w:r>
        <w:rPr>
          <w:rFonts w:ascii="Calibri" w:cs="Calibri" w:eastAsia="Calibri" w:hAnsi="Calibri"/>
          <w:b/>
          <w:bCs/>
          <w:color w:val="3F6B3F"/>
          <w:spacing w:val="20"/>
          <w:sz w:val="17"/>
          <w:szCs w:val="17"/>
        </w:rPr>
        <w:t xml:space="preserve">REPLACEMENT TEXT</w:t>
      </w:r>
    </w:p>
    <w:p>
      <w:pPr>
        <w:pBdr>
          <w:left w:val="single" w:color="B9CFB9" w:sz="12" w:space="8"/>
        </w:pBdr>
        <w:shd w:fill="EDF3ED" w:val="clear"/>
        <w:spacing w:after="100" w:line="300"/>
        <w:ind w:left="340" w:right="200"/>
      </w:pPr>
      <w:r>
        <w:rPr>
          <w:rFonts w:ascii="Cambria" w:cs="Cambria" w:eastAsia="Cambria" w:hAnsi="Cambria"/>
          <w:sz w:val="20"/>
          <w:szCs w:val="20"/>
        </w:rPr>
        <w:t xml:space="preserve">Phase 3 - Source-Code and Expert Review: ISO/IEC 5055 automated source-code measures are reported separately from human judgment. Automated findings are aggregated per measure and reported as three figures: the raw count returned by the analyzers, the count confirmed on triage, and the resulting false-positive rate. Confirmed counts are normalized as weaknesses per thousand lines of code over the scope the relevant analyzer covered, so a density is never computed over source the analyzer did not examine. A measure returning no findings is reported as such only where an analyzer covering that measure was actually run; otherwise the absence is reported as a coverage limitation rather than as a result. Experts audit the Bit Cost Decision Engine, lossless invariants, implementation clarity, and reproducibility using a dedicated review instrument; their Likert responses are not presented as ISO/IEC 5055 measurements. Expert triage of automated findings, however, does contribute to the reported measures, since the classification of a finding as a true or false positive is a judgment the analyzers cannot make.</w:t>
      </w:r>
    </w:p>
    <w:p>
      <w:pPr>
        <w:spacing w:after="60" w:before="200"/>
      </w:pPr>
      <w:r>
        <w:rPr>
          <w:rFonts w:ascii="Calibri" w:cs="Calibri" w:eastAsia="Calibri" w:hAnsi="Calibri"/>
          <w:b/>
          <w:bCs/>
          <w:color w:val="1F6F8B"/>
          <w:spacing w:val="20"/>
          <w:sz w:val="17"/>
          <w:szCs w:val="17"/>
        </w:rPr>
        <w:t xml:space="preserve">WHY</w:t>
      </w:r>
    </w:p>
    <w:p>
      <w:pPr>
        <w:spacing w:after="240" w:line="300"/>
        <w:ind w:left="340"/>
      </w:pPr>
      <w:r>
        <w:rPr>
          <w:rFonts w:ascii="Calibri" w:cs="Calibri" w:eastAsia="Calibri" w:hAnsi="Calibri"/>
          <w:color w:val="3A3A3A"/>
          <w:sz w:val="19"/>
          <w:szCs w:val="19"/>
        </w:rPr>
        <w:t xml:space="preserve">The existing sentence establishes the correct separation between measurement and judgment but never says how the automated measures are produced or reported. The addition specifies the three-figure reporting format, the normalization rule, and the distinction between a measured zero and an unmeasured characteristic — a distinction that matters in this study, because Performance Efficiency returned nothing for lack of a covering analyzer.</w:t>
      </w:r>
    </w:p>
    <w:p>
      <w:pPr>
        <w:spacing w:after="240" w:line="300"/>
        <w:ind w:left="340"/>
      </w:pPr>
      <w:r>
        <w:rPr>
          <w:rFonts w:ascii="Calibri" w:cs="Calibri" w:eastAsia="Calibri" w:hAnsi="Calibri"/>
          <w:color w:val="3A3A3A"/>
          <w:sz w:val="19"/>
          <w:szCs w:val="19"/>
        </w:rPr>
        <w:t xml:space="preserve">The closing sentence resolves an ambiguity the original leaves open. Expert judgment is excluded from the Likert scores but is required for triage, and without saying so a reader cannot tell how a raw count became a confirmed count.</w:t>
      </w:r>
    </w:p>
    <w:p>
      <w:pPr>
        <w:pStyle w:val="Heading2"/>
        <w:spacing w:after="140" w:before="380"/>
      </w:pPr>
      <w:r>
        <w:rPr>
          <w:rFonts w:ascii="Cambria" w:cs="Cambria" w:eastAsia="Cambria" w:hAnsi="Cambria"/>
          <w:b/>
          <w:bCs/>
          <w:color w:val="1A1A1A"/>
          <w:sz w:val="26"/>
          <w:szCs w:val="26"/>
        </w:rPr>
        <w:t xml:space="preserve">2.  Research Procedure — new step</w:t>
      </w:r>
    </w:p>
    <w:p>
      <w:pPr>
        <w:spacing w:after="120"/>
      </w:pPr>
      <w:r>
        <w:rPr>
          <w:rFonts w:ascii="Calibri" w:cs="Calibri" w:eastAsia="Calibri" w:hAnsi="Calibri"/>
          <w:b/>
          <w:bCs/>
          <w:color w:val="1F6F8B"/>
          <w:sz w:val="19"/>
          <w:szCs w:val="19"/>
        </w:rPr>
        <w:t xml:space="preserve">Find:  </w:t>
      </w:r>
      <w:r>
        <w:rPr>
          <w:rFonts w:ascii="Consolas" w:cs="Consolas" w:eastAsia="Consolas" w:hAnsi="Consolas"/>
          <w:sz w:val="19"/>
          <w:szCs w:val="19"/>
        </w:rPr>
        <w:t xml:space="preserve">before its result is accepted.</w:t>
      </w:r>
    </w:p>
    <w:p>
      <w:pPr>
        <w:spacing w:after="120"/>
      </w:pPr>
      <w:r>
        <w:rPr>
          <w:rFonts w:ascii="Calibri" w:cs="Calibri" w:eastAsia="Calibri" w:hAnsi="Calibri"/>
          <w:b/>
          <w:bCs/>
          <w:color w:val="1F6F8B"/>
          <w:sz w:val="19"/>
          <w:szCs w:val="19"/>
        </w:rPr>
        <w:t xml:space="preserve">Then:  </w:t>
      </w:r>
      <w:r>
        <w:rPr>
          <w:rFonts w:ascii="Calibri" w:cs="Calibri" w:eastAsia="Calibri" w:hAnsi="Calibri"/>
          <w:sz w:val="19"/>
          <w:szCs w:val="19"/>
        </w:rPr>
        <w:t xml:space="preserve">Insert a new step immediately after that sentence, which ends the Controlled Execution and Automated Testing step, and before the step headed Participant Evaluation.</w:t>
      </w:r>
    </w:p>
    <w:p>
      <w:pPr>
        <w:spacing w:after="60" w:before="200"/>
      </w:pPr>
      <w:r>
        <w:rPr>
          <w:rFonts w:ascii="Calibri" w:cs="Calibri" w:eastAsia="Calibri" w:hAnsi="Calibri"/>
          <w:b/>
          <w:bCs/>
          <w:color w:val="3F6B3F"/>
          <w:spacing w:val="20"/>
          <w:sz w:val="17"/>
          <w:szCs w:val="17"/>
        </w:rPr>
        <w:t xml:space="preserve">TEXT TO INSERT</w:t>
      </w:r>
    </w:p>
    <w:p>
      <w:pPr>
        <w:pBdr>
          <w:left w:val="single" w:color="B9CFB9" w:sz="12" w:space="8"/>
        </w:pBdr>
        <w:shd w:fill="EDF3ED" w:val="clear"/>
        <w:spacing w:after="100" w:line="300"/>
        <w:ind w:left="340" w:right="200"/>
      </w:pPr>
      <w:r>
        <w:rPr>
          <w:rFonts w:ascii="Cambria" w:cs="Cambria" w:eastAsia="Cambria" w:hAnsi="Cambria"/>
          <w:sz w:val="20"/>
          <w:szCs w:val="20"/>
        </w:rPr>
        <w:t xml:space="preserve">Automated Source-Code Measurement. The source tree is pinned at a fixed commit and scanned with the CWE-emitting analyzers named in Instruments. Raw output is retained for reproducibility. Every finding is triaged by source inspection against the surrounding control flow, recorded with a verdict and a written justification, and assigned the CWE confirmed on inspection. Only confirmed findings enter the reported measures.</w:t>
      </w:r>
    </w:p>
    <w:p>
      <w:pPr>
        <w:spacing w:after="60" w:before="200"/>
      </w:pPr>
      <w:r>
        <w:rPr>
          <w:rFonts w:ascii="Calibri" w:cs="Calibri" w:eastAsia="Calibri" w:hAnsi="Calibri"/>
          <w:b/>
          <w:bCs/>
          <w:color w:val="1F6F8B"/>
          <w:spacing w:val="20"/>
          <w:sz w:val="17"/>
          <w:szCs w:val="17"/>
        </w:rPr>
        <w:t xml:space="preserve">WHY</w:t>
      </w:r>
    </w:p>
    <w:p>
      <w:pPr>
        <w:spacing w:after="240" w:line="300"/>
        <w:ind w:left="340"/>
      </w:pPr>
      <w:r>
        <w:rPr>
          <w:rFonts w:ascii="Calibri" w:cs="Calibri" w:eastAsia="Calibri" w:hAnsi="Calibri"/>
          <w:color w:val="3A3A3A"/>
          <w:sz w:val="19"/>
          <w:szCs w:val="19"/>
        </w:rPr>
        <w:t xml:space="preserve">Research Procedure lists every other execution step in the study in sequence. Automated measurement is a distinct procedural step with its own inputs, outputs, and control conditions, and its omission leaves a gap between Controlled Execution and Participant Evaluation.</w:t>
      </w:r>
    </w:p>
    <w:p>
      <w:pPr>
        <w:pStyle w:val="Heading2"/>
        <w:spacing w:after="140" w:before="380"/>
      </w:pPr>
      <w:r>
        <w:rPr>
          <w:rFonts w:ascii="Cambria" w:cs="Cambria" w:eastAsia="Cambria" w:hAnsi="Cambria"/>
          <w:b/>
          <w:bCs/>
          <w:color w:val="1A1A1A"/>
          <w:sz w:val="26"/>
          <w:szCs w:val="26"/>
        </w:rPr>
        <w:t xml:space="preserve">3.  Participants — tense</w:t>
      </w:r>
    </w:p>
    <w:p>
      <w:pPr>
        <w:spacing w:after="120"/>
      </w:pPr>
      <w:r>
        <w:rPr>
          <w:rFonts w:ascii="Calibri" w:cs="Calibri" w:eastAsia="Calibri" w:hAnsi="Calibri"/>
          <w:b/>
          <w:bCs/>
          <w:color w:val="1F6F8B"/>
          <w:sz w:val="19"/>
          <w:szCs w:val="19"/>
        </w:rPr>
        <w:t xml:space="preserve">Find:  </w:t>
      </w:r>
      <w:r>
        <w:rPr>
          <w:rFonts w:ascii="Consolas" w:cs="Consolas" w:eastAsia="Consolas" w:hAnsi="Consolas"/>
          <w:sz w:val="19"/>
          <w:szCs w:val="19"/>
        </w:rPr>
        <w:t xml:space="preserve">the study will use purposive sampling</w:t>
      </w:r>
    </w:p>
    <w:p>
      <w:pPr>
        <w:spacing w:after="120"/>
      </w:pPr>
      <w:r>
        <w:rPr>
          <w:rFonts w:ascii="Calibri" w:cs="Calibri" w:eastAsia="Calibri" w:hAnsi="Calibri"/>
          <w:b/>
          <w:bCs/>
          <w:color w:val="1F6F8B"/>
          <w:sz w:val="19"/>
          <w:szCs w:val="19"/>
        </w:rPr>
        <w:t xml:space="preserve">Then:  </w:t>
      </w:r>
      <w:r>
        <w:rPr>
          <w:rFonts w:ascii="Calibri" w:cs="Calibri" w:eastAsia="Calibri" w:hAnsi="Calibri"/>
          <w:sz w:val="19"/>
          <w:szCs w:val="19"/>
        </w:rPr>
        <w:t xml:space="preserve">Change three words in the opening sentence.</w:t>
      </w:r>
    </w:p>
    <w:p>
      <w:pPr>
        <w:spacing w:after="60" w:before="200"/>
      </w:pPr>
      <w:r>
        <w:rPr>
          <w:rFonts w:ascii="Calibri" w:cs="Calibri" w:eastAsia="Calibri" w:hAnsi="Calibri"/>
          <w:b/>
          <w:bCs/>
          <w:color w:val="8A4A4A"/>
          <w:spacing w:val="20"/>
          <w:sz w:val="17"/>
          <w:szCs w:val="17"/>
        </w:rPr>
        <w:t xml:space="preserve">EXISTING TEXT</w:t>
      </w:r>
    </w:p>
    <w:p>
      <w:pPr>
        <w:pBdr>
          <w:left w:val="single" w:color="C9B5B5" w:sz="12" w:space="8"/>
        </w:pBdr>
        <w:shd w:fill="F6F1F1" w:val="clear"/>
        <w:spacing w:after="100" w:line="300"/>
        <w:ind w:left="340" w:right="200"/>
      </w:pPr>
      <w:r>
        <w:rPr>
          <w:rFonts w:ascii="Cambria" w:cs="Cambria" w:eastAsia="Cambria" w:hAnsi="Cambria"/>
          <w:sz w:val="20"/>
          <w:szCs w:val="20"/>
        </w:rPr>
        <w:t xml:space="preserve">To obtain a complete view of system quality, the study will use purposive sampling to select three distinct groups of evaluators, each assessing a different layer of the project.</w:t>
      </w:r>
    </w:p>
    <w:p>
      <w:pPr>
        <w:spacing w:after="60" w:before="200"/>
      </w:pPr>
      <w:r>
        <w:rPr>
          <w:rFonts w:ascii="Calibri" w:cs="Calibri" w:eastAsia="Calibri" w:hAnsi="Calibri"/>
          <w:b/>
          <w:bCs/>
          <w:color w:val="3F6B3F"/>
          <w:spacing w:val="20"/>
          <w:sz w:val="17"/>
          <w:szCs w:val="17"/>
        </w:rPr>
        <w:t xml:space="preserve">REPLACEMENT TEXT</w:t>
      </w:r>
    </w:p>
    <w:p>
      <w:pPr>
        <w:pBdr>
          <w:left w:val="single" w:color="B9CFB9" w:sz="12" w:space="8"/>
        </w:pBdr>
        <w:shd w:fill="EDF3ED" w:val="clear"/>
        <w:spacing w:after="100" w:line="300"/>
        <w:ind w:left="340" w:right="200"/>
      </w:pPr>
      <w:r>
        <w:rPr>
          <w:rFonts w:ascii="Cambria" w:cs="Cambria" w:eastAsia="Cambria" w:hAnsi="Cambria"/>
          <w:sz w:val="20"/>
          <w:szCs w:val="20"/>
        </w:rPr>
        <w:t xml:space="preserve">To obtain a complete view of system quality, the study used purposive sampling to select three distinct groups of evaluators, each assessing a different layer of the project.</w:t>
      </w:r>
    </w:p>
    <w:p>
      <w:pPr>
        <w:spacing w:after="60" w:before="200"/>
      </w:pPr>
      <w:r>
        <w:rPr>
          <w:rFonts w:ascii="Calibri" w:cs="Calibri" w:eastAsia="Calibri" w:hAnsi="Calibri"/>
          <w:b/>
          <w:bCs/>
          <w:color w:val="1F6F8B"/>
          <w:spacing w:val="20"/>
          <w:sz w:val="17"/>
          <w:szCs w:val="17"/>
        </w:rPr>
        <w:t xml:space="preserve">WHY</w:t>
      </w:r>
    </w:p>
    <w:p>
      <w:pPr>
        <w:spacing w:after="240" w:line="300"/>
        <w:ind w:left="340"/>
      </w:pPr>
      <w:r>
        <w:rPr>
          <w:rFonts w:ascii="Calibri" w:cs="Calibri" w:eastAsia="Calibri" w:hAnsi="Calibri"/>
          <w:color w:val="3A3A3A"/>
          <w:sz w:val="19"/>
          <w:szCs w:val="19"/>
        </w:rPr>
        <w:t xml:space="preserve">The sampling strategy was decided and applied; it is not a future intention. The sentences that follow, describing what each group does, remain future-tense and are addressed in Part 2.</w:t>
      </w:r>
    </w:p>
    <w:p>
      <w:pPr>
        <w:pStyle w:val="Heading2"/>
        <w:spacing w:after="140" w:before="380"/>
      </w:pPr>
      <w:r>
        <w:rPr>
          <w:rFonts w:ascii="Cambria" w:cs="Cambria" w:eastAsia="Cambria" w:hAnsi="Cambria"/>
          <w:b/>
          <w:bCs/>
          <w:color w:val="1A1A1A"/>
          <w:sz w:val="26"/>
          <w:szCs w:val="26"/>
        </w:rPr>
        <w:t xml:space="preserve">4.  Instruments — The Control Environment, tense</w:t>
      </w:r>
    </w:p>
    <w:p>
      <w:pPr>
        <w:spacing w:after="120"/>
      </w:pPr>
      <w:r>
        <w:rPr>
          <w:rFonts w:ascii="Calibri" w:cs="Calibri" w:eastAsia="Calibri" w:hAnsi="Calibri"/>
          <w:b/>
          <w:bCs/>
          <w:color w:val="1F6F8B"/>
          <w:sz w:val="19"/>
          <w:szCs w:val="19"/>
        </w:rPr>
        <w:t xml:space="preserve">Find:  </w:t>
      </w:r>
      <w:r>
        <w:rPr>
          <w:rFonts w:ascii="Consolas" w:cs="Consolas" w:eastAsia="Consolas" w:hAnsi="Consolas"/>
          <w:sz w:val="19"/>
          <w:szCs w:val="19"/>
        </w:rPr>
        <w:t xml:space="preserve">all benchmark tests will be executed</w:t>
      </w:r>
    </w:p>
    <w:p>
      <w:pPr>
        <w:spacing w:after="120"/>
      </w:pPr>
      <w:r>
        <w:rPr>
          <w:rFonts w:ascii="Calibri" w:cs="Calibri" w:eastAsia="Calibri" w:hAnsi="Calibri"/>
          <w:b/>
          <w:bCs/>
          <w:color w:val="1F6F8B"/>
          <w:sz w:val="19"/>
          <w:szCs w:val="19"/>
        </w:rPr>
        <w:t xml:space="preserve">Then:  </w:t>
      </w:r>
      <w:r>
        <w:rPr>
          <w:rFonts w:ascii="Calibri" w:cs="Calibri" w:eastAsia="Calibri" w:hAnsi="Calibri"/>
          <w:sz w:val="19"/>
          <w:szCs w:val="19"/>
        </w:rPr>
        <w:t xml:space="preserve">Two sentences, both in the same passage.</w:t>
      </w:r>
    </w:p>
    <w:p>
      <w:pPr>
        <w:spacing w:after="60" w:before="200"/>
      </w:pPr>
      <w:r>
        <w:rPr>
          <w:rFonts w:ascii="Calibri" w:cs="Calibri" w:eastAsia="Calibri" w:hAnsi="Calibri"/>
          <w:b/>
          <w:bCs/>
          <w:color w:val="8A4A4A"/>
          <w:spacing w:val="20"/>
          <w:sz w:val="17"/>
          <w:szCs w:val="17"/>
        </w:rPr>
        <w:t xml:space="preserve">EXISTING TEXT</w:t>
      </w:r>
    </w:p>
    <w:p>
      <w:pPr>
        <w:pBdr>
          <w:left w:val="single" w:color="C9B5B5" w:sz="12" w:space="8"/>
        </w:pBdr>
        <w:shd w:fill="F6F1F1" w:val="clear"/>
        <w:spacing w:after="100" w:line="300"/>
        <w:ind w:left="340" w:right="200"/>
      </w:pPr>
      <w:r>
        <w:rPr>
          <w:rFonts w:ascii="Cambria" w:cs="Cambria" w:eastAsia="Cambria" w:hAnsi="Cambria"/>
          <w:sz w:val="20"/>
          <w:szCs w:val="20"/>
        </w:rPr>
        <w:t xml:space="preserve">The Control Environment: To ensure that speed and memory metrics are accurate, all benchmark tests will be executed in a strictly controlled environment. The testing machine will be isolated from the internet and all non-essential background applications disabled.</w:t>
      </w:r>
    </w:p>
    <w:p>
      <w:pPr>
        <w:spacing w:after="60" w:before="200"/>
      </w:pPr>
      <w:r>
        <w:rPr>
          <w:rFonts w:ascii="Calibri" w:cs="Calibri" w:eastAsia="Calibri" w:hAnsi="Calibri"/>
          <w:b/>
          <w:bCs/>
          <w:color w:val="3F6B3F"/>
          <w:spacing w:val="20"/>
          <w:sz w:val="17"/>
          <w:szCs w:val="17"/>
        </w:rPr>
        <w:t xml:space="preserve">REPLACEMENT TEXT</w:t>
      </w:r>
    </w:p>
    <w:p>
      <w:pPr>
        <w:pBdr>
          <w:left w:val="single" w:color="B9CFB9" w:sz="12" w:space="8"/>
        </w:pBdr>
        <w:shd w:fill="EDF3ED" w:val="clear"/>
        <w:spacing w:after="100" w:line="300"/>
        <w:ind w:left="340" w:right="200"/>
      </w:pPr>
      <w:r>
        <w:rPr>
          <w:rFonts w:ascii="Cambria" w:cs="Cambria" w:eastAsia="Cambria" w:hAnsi="Cambria"/>
          <w:sz w:val="20"/>
          <w:szCs w:val="20"/>
        </w:rPr>
        <w:t xml:space="preserve">The Control Environment: To ensure that speed and memory metrics are accurate, all benchmark tests were executed in a strictly controlled environment. The testing machine was isolated from the internet and all non-essential background applications disabled.</w:t>
      </w:r>
    </w:p>
    <w:p>
      <w:pPr>
        <w:spacing w:after="60" w:before="200"/>
      </w:pPr>
      <w:r>
        <w:rPr>
          <w:rFonts w:ascii="Calibri" w:cs="Calibri" w:eastAsia="Calibri" w:hAnsi="Calibri"/>
          <w:b/>
          <w:bCs/>
          <w:color w:val="1F6F8B"/>
          <w:spacing w:val="20"/>
          <w:sz w:val="17"/>
          <w:szCs w:val="17"/>
        </w:rPr>
        <w:t xml:space="preserve">WHY</w:t>
      </w:r>
    </w:p>
    <w:p>
      <w:pPr>
        <w:spacing w:after="240" w:line="300"/>
        <w:ind w:left="340"/>
      </w:pPr>
      <w:r>
        <w:rPr>
          <w:rFonts w:ascii="Calibri" w:cs="Calibri" w:eastAsia="Calibri" w:hAnsi="Calibri"/>
          <w:color w:val="3A3A3A"/>
          <w:sz w:val="19"/>
          <w:szCs w:val="19"/>
        </w:rPr>
        <w:t xml:space="preserve">Your Abstract reports completed measurements across 980 GovDocs1 documents and the full Canterbury and Silesia corpora, and your appendices now report measured peak resident memory and 549 passing automated checks. Those benchmarks were run under this control environment, so describing the environment as a future arrangement contradicts results stated elsewhere in the same manuscript.</w:t>
      </w:r>
    </w:p>
    <w:p>
      <w:pPr>
        <w:pStyle w:val="Heading2"/>
        <w:spacing w:after="140" w:before="380"/>
      </w:pPr>
      <w:r>
        <w:rPr>
          <w:rFonts w:ascii="Cambria" w:cs="Cambria" w:eastAsia="Cambria" w:hAnsi="Cambria"/>
          <w:b/>
          <w:bCs/>
          <w:color w:val="1A1A1A"/>
          <w:sz w:val="26"/>
          <w:szCs w:val="26"/>
        </w:rPr>
        <w:t xml:space="preserve">5.  Data Analysis — opening sentence, tense</w:t>
      </w:r>
    </w:p>
    <w:p>
      <w:pPr>
        <w:spacing w:after="120"/>
      </w:pPr>
      <w:r>
        <w:rPr>
          <w:rFonts w:ascii="Calibri" w:cs="Calibri" w:eastAsia="Calibri" w:hAnsi="Calibri"/>
          <w:b/>
          <w:bCs/>
          <w:color w:val="1F6F8B"/>
          <w:sz w:val="19"/>
          <w:szCs w:val="19"/>
        </w:rPr>
        <w:t xml:space="preserve">Find:  </w:t>
      </w:r>
      <w:r>
        <w:rPr>
          <w:rFonts w:ascii="Consolas" w:cs="Consolas" w:eastAsia="Consolas" w:hAnsi="Consolas"/>
          <w:sz w:val="19"/>
          <w:szCs w:val="19"/>
        </w:rPr>
        <w:t xml:space="preserve">The researchers will implement a three-phase approach</w:t>
      </w:r>
    </w:p>
    <w:p>
      <w:pPr>
        <w:spacing w:after="120"/>
      </w:pPr>
      <w:r>
        <w:rPr>
          <w:rFonts w:ascii="Calibri" w:cs="Calibri" w:eastAsia="Calibri" w:hAnsi="Calibri"/>
          <w:b/>
          <w:bCs/>
          <w:color w:val="1F6F8B"/>
          <w:sz w:val="19"/>
          <w:szCs w:val="19"/>
        </w:rPr>
        <w:t xml:space="preserve">Then:  </w:t>
      </w:r>
      <w:r>
        <w:rPr>
          <w:rFonts w:ascii="Calibri" w:cs="Calibri" w:eastAsia="Calibri" w:hAnsi="Calibri"/>
          <w:sz w:val="19"/>
          <w:szCs w:val="19"/>
        </w:rPr>
        <w:t xml:space="preserve">Change one word.</w:t>
      </w:r>
    </w:p>
    <w:p>
      <w:pPr>
        <w:spacing w:after="60" w:before="200"/>
      </w:pPr>
      <w:r>
        <w:rPr>
          <w:rFonts w:ascii="Calibri" w:cs="Calibri" w:eastAsia="Calibri" w:hAnsi="Calibri"/>
          <w:b/>
          <w:bCs/>
          <w:color w:val="8A4A4A"/>
          <w:spacing w:val="20"/>
          <w:sz w:val="17"/>
          <w:szCs w:val="17"/>
        </w:rPr>
        <w:t xml:space="preserve">EXISTING TEXT</w:t>
      </w:r>
    </w:p>
    <w:p>
      <w:pPr>
        <w:pBdr>
          <w:left w:val="single" w:color="C9B5B5" w:sz="12" w:space="8"/>
        </w:pBdr>
        <w:shd w:fill="F6F1F1" w:val="clear"/>
        <w:spacing w:after="100" w:line="300"/>
        <w:ind w:left="340" w:right="200"/>
      </w:pPr>
      <w:r>
        <w:rPr>
          <w:rFonts w:ascii="Cambria" w:cs="Cambria" w:eastAsia="Cambria" w:hAnsi="Cambria"/>
          <w:sz w:val="20"/>
          <w:szCs w:val="20"/>
        </w:rPr>
        <w:t xml:space="preserve">The researchers will implement a three-phase approach to data analysis, covering both the mathematical benchmarks and the human feedback.</w:t>
      </w:r>
    </w:p>
    <w:p>
      <w:pPr>
        <w:spacing w:after="60" w:before="200"/>
      </w:pPr>
      <w:r>
        <w:rPr>
          <w:rFonts w:ascii="Calibri" w:cs="Calibri" w:eastAsia="Calibri" w:hAnsi="Calibri"/>
          <w:b/>
          <w:bCs/>
          <w:color w:val="3F6B3F"/>
          <w:spacing w:val="20"/>
          <w:sz w:val="17"/>
          <w:szCs w:val="17"/>
        </w:rPr>
        <w:t xml:space="preserve">REPLACEMENT TEXT</w:t>
      </w:r>
    </w:p>
    <w:p>
      <w:pPr>
        <w:pBdr>
          <w:left w:val="single" w:color="B9CFB9" w:sz="12" w:space="8"/>
        </w:pBdr>
        <w:shd w:fill="EDF3ED" w:val="clear"/>
        <w:spacing w:after="100" w:line="300"/>
        <w:ind w:left="340" w:right="200"/>
      </w:pPr>
      <w:r>
        <w:rPr>
          <w:rFonts w:ascii="Cambria" w:cs="Cambria" w:eastAsia="Cambria" w:hAnsi="Cambria"/>
          <w:sz w:val="20"/>
          <w:szCs w:val="20"/>
        </w:rPr>
        <w:t xml:space="preserve">The researchers implemented a three-phase approach to data analysis, covering both the mathematical benchmarks and the human feedback.</w:t>
      </w:r>
    </w:p>
    <w:p>
      <w:pPr>
        <w:spacing w:after="60" w:before="200"/>
      </w:pPr>
      <w:r>
        <w:rPr>
          <w:rFonts w:ascii="Calibri" w:cs="Calibri" w:eastAsia="Calibri" w:hAnsi="Calibri"/>
          <w:b/>
          <w:bCs/>
          <w:color w:val="1F6F8B"/>
          <w:spacing w:val="20"/>
          <w:sz w:val="17"/>
          <w:szCs w:val="17"/>
        </w:rPr>
        <w:t xml:space="preserve">WHY</w:t>
      </w:r>
    </w:p>
    <w:p>
      <w:pPr>
        <w:spacing w:after="240" w:line="300"/>
        <w:ind w:left="340"/>
      </w:pPr>
      <w:r>
        <w:rPr>
          <w:rFonts w:ascii="Calibri" w:cs="Calibri" w:eastAsia="Calibri" w:hAnsi="Calibri"/>
          <w:color w:val="3A3A3A"/>
          <w:sz w:val="19"/>
          <w:szCs w:val="19"/>
        </w:rPr>
        <w:t xml:space="preserve">Phase 1 is written in the past tense throughout the same section — “A component ablation was conducted in two stages” — so the sentence introducing the three phases is inconsistent with the paragraph it introduces.</w:t>
      </w:r>
    </w:p>
    <w:p>
      <w:pPr>
        <w:pStyle w:val="Heading2"/>
        <w:spacing w:after="140" w:before="380"/>
      </w:pPr>
      <w:r>
        <w:rPr>
          <w:rFonts w:ascii="Cambria" w:cs="Cambria" w:eastAsia="Cambria" w:hAnsi="Cambria"/>
          <w:b/>
          <w:bCs/>
          <w:color w:val="1A1A1A"/>
          <w:sz w:val="26"/>
          <w:szCs w:val="26"/>
        </w:rPr>
        <w:t xml:space="preserve">6.  Data Collection — the conditional timing study</w:t>
      </w:r>
    </w:p>
    <w:p>
      <w:pPr>
        <w:spacing w:after="120"/>
      </w:pPr>
      <w:r>
        <w:rPr>
          <w:rFonts w:ascii="Calibri" w:cs="Calibri" w:eastAsia="Calibri" w:hAnsi="Calibri"/>
          <w:b/>
          <w:bCs/>
          <w:color w:val="1F6F8B"/>
          <w:sz w:val="19"/>
          <w:szCs w:val="19"/>
        </w:rPr>
        <w:t xml:space="preserve">Find:  </w:t>
      </w:r>
      <w:r>
        <w:rPr>
          <w:rFonts w:ascii="Consolas" w:cs="Consolas" w:eastAsia="Consolas" w:hAnsi="Consolas"/>
          <w:sz w:val="19"/>
          <w:szCs w:val="19"/>
        </w:rPr>
        <w:t xml:space="preserve">If completed, compression and decompression timing</w:t>
      </w:r>
    </w:p>
    <w:p>
      <w:pPr>
        <w:spacing w:after="120"/>
      </w:pPr>
      <w:r>
        <w:rPr>
          <w:rFonts w:ascii="Calibri" w:cs="Calibri" w:eastAsia="Calibri" w:hAnsi="Calibri"/>
          <w:b/>
          <w:bCs/>
          <w:color w:val="1F6F8B"/>
          <w:sz w:val="19"/>
          <w:szCs w:val="19"/>
        </w:rPr>
        <w:t xml:space="preserve">Then:  </w:t>
      </w:r>
      <w:r>
        <w:rPr>
          <w:rFonts w:ascii="Calibri" w:cs="Calibri" w:eastAsia="Calibri" w:hAnsi="Calibri"/>
          <w:sz w:val="19"/>
          <w:szCs w:val="19"/>
        </w:rPr>
        <w:t xml:space="preserve">Replace both sentences. Choose the branch that is true and delete the other.</w:t>
      </w:r>
    </w:p>
    <w:p>
      <w:pPr>
        <w:spacing w:after="60" w:before="200"/>
      </w:pPr>
      <w:r>
        <w:rPr>
          <w:rFonts w:ascii="Calibri" w:cs="Calibri" w:eastAsia="Calibri" w:hAnsi="Calibri"/>
          <w:b/>
          <w:bCs/>
          <w:color w:val="8A4A4A"/>
          <w:spacing w:val="20"/>
          <w:sz w:val="17"/>
          <w:szCs w:val="17"/>
        </w:rPr>
        <w:t xml:space="preserve">EXISTING TEXT</w:t>
      </w:r>
    </w:p>
    <w:p>
      <w:pPr>
        <w:pBdr>
          <w:left w:val="single" w:color="C9B5B5" w:sz="12" w:space="8"/>
        </w:pBdr>
        <w:shd w:fill="F6F1F1" w:val="clear"/>
        <w:spacing w:after="100" w:line="300"/>
        <w:ind w:left="340" w:right="200"/>
      </w:pPr>
      <w:r>
        <w:rPr>
          <w:rFonts w:ascii="Cambria" w:cs="Cambria" w:eastAsia="Cambria" w:hAnsi="Cambria"/>
          <w:sz w:val="20"/>
          <w:szCs w:val="20"/>
        </w:rPr>
        <w:t xml:space="preserve">The final repeated timing study remains separate from these deterministic size audits. If completed, compression and decompression timing will be repeated under the fixed control environment so that variability can be summarized without treating repeated measurements of the same file as independent experimental units.</w:t>
      </w:r>
    </w:p>
    <w:p>
      <w:pPr>
        <w:spacing w:after="60" w:before="200"/>
      </w:pPr>
      <w:r>
        <w:rPr>
          <w:rFonts w:ascii="Calibri" w:cs="Calibri" w:eastAsia="Calibri" w:hAnsi="Calibri"/>
          <w:b/>
          <w:bCs/>
          <w:color w:val="3F6B3F"/>
          <w:spacing w:val="20"/>
          <w:sz w:val="17"/>
          <w:szCs w:val="17"/>
        </w:rPr>
        <w:t xml:space="preserve">REPLACEMENT TEXT</w:t>
      </w:r>
    </w:p>
    <w:p>
      <w:pPr>
        <w:pBdr>
          <w:left w:val="single" w:color="B9CFB9" w:sz="12" w:space="8"/>
        </w:pBdr>
        <w:shd w:fill="EDF3ED" w:val="clear"/>
        <w:spacing w:after="100" w:line="300"/>
        <w:ind w:left="340" w:right="200"/>
      </w:pPr>
      <w:r>
        <w:rPr>
          <w:rFonts w:ascii="Cambria" w:cs="Cambria" w:eastAsia="Cambria" w:hAnsi="Cambria"/>
          <w:sz w:val="20"/>
          <w:szCs w:val="20"/>
        </w:rPr>
        <w:t xml:space="preserve">If the repeated timing study was run, use:</w:t>
      </w:r>
    </w:p>
    <w:p>
      <w:pPr>
        <w:pBdr>
          <w:left w:val="single" w:color="B9CFB9" w:sz="12" w:space="8"/>
        </w:pBdr>
        <w:shd w:fill="EDF3ED" w:val="clear"/>
        <w:spacing w:after="100" w:line="300"/>
        <w:ind w:left="340" w:right="200"/>
      </w:pPr>
      <w:r>
        <w:rPr>
          <w:rFonts w:ascii="Cambria" w:cs="Cambria" w:eastAsia="Cambria" w:hAnsi="Cambria"/>
          <w:sz w:val="20"/>
          <w:szCs w:val="20"/>
        </w:rPr>
        <w:t xml:space="preserve">The final repeated timing study is reported separately from these deterministic size audits. Compression and decompression timing was repeated under the fixed control environment so that variability could be summarized without treating repeated measurements of the same file as independent experimental units.</w:t>
      </w:r>
    </w:p>
    <w:p>
      <w:pPr>
        <w:pBdr>
          <w:left w:val="single" w:color="B9CFB9" w:sz="12" w:space="8"/>
        </w:pBdr>
        <w:shd w:fill="EDF3ED" w:val="clear"/>
        <w:spacing w:after="100" w:line="300"/>
        <w:ind w:left="340" w:right="200"/>
      </w:pPr>
      <w:r>
        <w:rPr>
          <w:rFonts w:ascii="Cambria" w:cs="Cambria" w:eastAsia="Cambria" w:hAnsi="Cambria"/>
          <w:sz w:val="20"/>
          <w:szCs w:val="20"/>
        </w:rPr>
        <w:t xml:space="preserve">If it was not run, use:</w:t>
      </w:r>
    </w:p>
    <w:p>
      <w:pPr>
        <w:pBdr>
          <w:left w:val="single" w:color="B9CFB9" w:sz="12" w:space="8"/>
        </w:pBdr>
        <w:shd w:fill="EDF3ED" w:val="clear"/>
        <w:spacing w:after="100" w:line="300"/>
        <w:ind w:left="340" w:right="200"/>
      </w:pPr>
      <w:r>
        <w:rPr>
          <w:rFonts w:ascii="Cambria" w:cs="Cambria" w:eastAsia="Cambria" w:hAnsi="Cambria"/>
          <w:sz w:val="20"/>
          <w:szCs w:val="20"/>
        </w:rPr>
        <w:t xml:space="preserve">A repeated timing study was not conducted. Timing is therefore reported from the deterministic single-measurement audits only, and no claim is made about run-to-run variability. A repeated-measures timing study under the fixed control environment is identified in Recommendations as future work.</w:t>
      </w:r>
    </w:p>
    <w:p>
      <w:pPr>
        <w:spacing w:after="60" w:before="200"/>
      </w:pPr>
      <w:r>
        <w:rPr>
          <w:rFonts w:ascii="Calibri" w:cs="Calibri" w:eastAsia="Calibri" w:hAnsi="Calibri"/>
          <w:b/>
          <w:bCs/>
          <w:color w:val="1F6F8B"/>
          <w:spacing w:val="20"/>
          <w:sz w:val="17"/>
          <w:szCs w:val="17"/>
        </w:rPr>
        <w:t xml:space="preserve">WHY</w:t>
      </w:r>
    </w:p>
    <w:p>
      <w:pPr>
        <w:spacing w:after="240" w:line="300"/>
        <w:ind w:left="340"/>
      </w:pPr>
      <w:r>
        <w:rPr>
          <w:rFonts w:ascii="Calibri" w:cs="Calibri" w:eastAsia="Calibri" w:hAnsi="Calibri"/>
          <w:color w:val="3A3A3A"/>
          <w:sz w:val="19"/>
          <w:szCs w:val="19"/>
        </w:rPr>
        <w:t xml:space="preserve">A completed study cannot describe its own procedure as conditional. “If completed” tells a reader that the researchers do not know whether part of their own methodology was carried out. Of everything remaining in the manuscript, this is the sentence most likely to be raised during defense.</w:t>
      </w:r>
    </w:p>
    <w:p>
      <w:pPr>
        <w:spacing w:after="240" w:line="300"/>
        <w:ind w:left="340"/>
      </w:pPr>
      <w:r>
        <w:rPr>
          <w:rFonts w:ascii="Calibri" w:cs="Calibri" w:eastAsia="Calibri" w:hAnsi="Calibri"/>
          <w:color w:val="3A3A3A"/>
          <w:sz w:val="19"/>
          <w:szCs w:val="19"/>
        </w:rPr>
        <w:t xml:space="preserve">Your appendices now describe wall-clock timing through time.perf_counter_ns and a 1 ms operating-system memory sampler, so the timing infrastructure demonstrably exists. Whether the repeated study was run with it is a question only your team can answer. Either answer is defensible; the conditional is not.</w:t>
      </w:r>
    </w:p>
    <w:p>
      <w:pPr>
        <w:pStyle w:val="Heading1"/>
        <w:pageBreakBefore/>
        <w:pBdr>
          <w:bottom w:val="single" w:color="1F6F8B" w:sz="8" w:space="6"/>
        </w:pBdr>
        <w:spacing w:after="220" w:before="200"/>
      </w:pPr>
      <w:r>
        <w:rPr>
          <w:rFonts w:ascii="Cambria" w:cs="Cambria" w:eastAsia="Cambria" w:hAnsi="Cambria"/>
          <w:b/>
          <w:bCs/>
          <w:color w:val="1F6F8B"/>
          <w:sz w:val="30"/>
          <w:szCs w:val="30"/>
        </w:rPr>
        <w:t xml:space="preserve">Part 2 — Passages Awaiting the Human Evaluation</w:t>
      </w:r>
    </w:p>
    <w:p>
      <w:pPr>
        <w:spacing w:after="180" w:line="300"/>
      </w:pPr>
      <w:r>
        <w:rPr>
          <w:rFonts w:ascii="Calibri" w:cs="Calibri" w:eastAsia="Calibri" w:hAnsi="Calibri"/>
          <w:b w:val="false"/>
          <w:bCs w:val="false"/>
          <w:i w:val="false"/>
          <w:iCs w:val="false"/>
          <w:color w:val="000000"/>
          <w:sz w:val="20"/>
          <w:szCs w:val="20"/>
        </w:rPr>
        <w:t xml:space="preserve">Eleven passages remain in the future tense because the work they describe has not taken place. They must not be converted until the evaluation actually runs; converting them early would state that data was collected when it was not.</w:t>
      </w:r>
    </w:p>
    <w:p>
      <w:pPr>
        <w:spacing w:after="180" w:line="300"/>
      </w:pPr>
      <w:r>
        <w:rPr>
          <w:rFonts w:ascii="Calibri" w:cs="Calibri" w:eastAsia="Calibri" w:hAnsi="Calibri"/>
          <w:b/>
          <w:bCs/>
          <w:i w:val="false"/>
          <w:iCs w:val="false"/>
          <w:color w:val="A8541F"/>
          <w:sz w:val="20"/>
          <w:szCs w:val="20"/>
        </w:rPr>
        <w:t xml:space="preserve">This is no longer blocked by the system. Azure deployment is documented in the manuscript and the questionnaires are prepared. What remains is distributing them and recruiting evaluators.</w:t>
      </w:r>
    </w:p>
    <w:p>
      <w:pPr>
        <w:pStyle w:val="ListParagraph"/>
        <w:numPr>
          <w:ilvl w:val="0"/>
          <w:numId w:val="1"/>
        </w:numPr>
        <w:spacing w:after="90" w:line="300"/>
      </w:pPr>
      <w:r>
        <w:rPr>
          <w:rFonts w:ascii="Calibri" w:cs="Calibri" w:eastAsia="Calibri" w:hAnsi="Calibri"/>
          <w:sz w:val="20"/>
          <w:szCs w:val="20"/>
        </w:rPr>
        <w:t xml:space="preserve">“Human evaluation will begin only after the deployed ByteSize system and the survey instruments are finalized.”  — Data Collection</w:t>
      </w:r>
    </w:p>
    <w:p>
      <w:pPr>
        <w:pStyle w:val="ListParagraph"/>
        <w:numPr>
          <w:ilvl w:val="0"/>
          <w:numId w:val="1"/>
        </w:numPr>
        <w:spacing w:after="90" w:line="300"/>
      </w:pPr>
      <w:r>
        <w:rPr>
          <w:rFonts w:ascii="Calibri" w:cs="Calibri" w:eastAsia="Calibri" w:hAnsi="Calibri"/>
          <w:sz w:val="20"/>
          <w:szCs w:val="20"/>
        </w:rPr>
        <w:t xml:space="preserve">“End users will first complete the assigned ByteSize tasks and will then answer the adapted PSSUQ-based questionnaire…”  — Data Collection</w:t>
      </w:r>
    </w:p>
    <w:p>
      <w:pPr>
        <w:pStyle w:val="ListParagraph"/>
        <w:numPr>
          <w:ilvl w:val="0"/>
          <w:numId w:val="1"/>
        </w:numPr>
        <w:spacing w:after="90" w:line="300"/>
      </w:pPr>
      <w:r>
        <w:rPr>
          <w:rFonts w:ascii="Calibri" w:cs="Calibri" w:eastAsia="Calibri" w:hAnsi="Calibri"/>
          <w:sz w:val="20"/>
          <w:szCs w:val="20"/>
        </w:rPr>
        <w:t xml:space="preserve">“Technical evaluators will review the source code, system documentation, automated test evidence, and demonstrated behavior…”  — Data Collection</w:t>
      </w:r>
    </w:p>
    <w:p>
      <w:pPr>
        <w:pStyle w:val="ListParagraph"/>
        <w:numPr>
          <w:ilvl w:val="0"/>
          <w:numId w:val="1"/>
        </w:numPr>
        <w:spacing w:after="90" w:line="300"/>
      </w:pPr>
      <w:r>
        <w:rPr>
          <w:rFonts w:ascii="Calibri" w:cs="Calibri" w:eastAsia="Calibri" w:hAnsi="Calibri"/>
          <w:sz w:val="20"/>
          <w:szCs w:val="20"/>
        </w:rPr>
        <w:t xml:space="preserve">“Both questionnaires will be administered through Google Forms.”  — Data Collection</w:t>
      </w:r>
    </w:p>
    <w:p>
      <w:pPr>
        <w:pStyle w:val="ListParagraph"/>
        <w:numPr>
          <w:ilvl w:val="0"/>
          <w:numId w:val="1"/>
        </w:numPr>
        <w:spacing w:after="90" w:line="300"/>
      </w:pPr>
      <w:r>
        <w:rPr>
          <w:rFonts w:ascii="Calibri" w:cs="Calibri" w:eastAsia="Calibri" w:hAnsi="Calibri"/>
          <w:sz w:val="20"/>
          <w:szCs w:val="20"/>
        </w:rPr>
        <w:t xml:space="preserve">“The forms will present the Data Privacy Notice and informed-consent statement before any evaluation items.”  — Data Collection</w:t>
      </w:r>
    </w:p>
    <w:p>
      <w:pPr>
        <w:pStyle w:val="ListParagraph"/>
        <w:numPr>
          <w:ilvl w:val="0"/>
          <w:numId w:val="1"/>
        </w:numPr>
        <w:spacing w:after="90" w:line="300"/>
      </w:pPr>
      <w:r>
        <w:rPr>
          <w:rFonts w:ascii="Calibri" w:cs="Calibri" w:eastAsia="Calibri" w:hAnsi="Calibri"/>
          <w:sz w:val="20"/>
          <w:szCs w:val="20"/>
        </w:rPr>
        <w:t xml:space="preserve">“The forms will be configured not to collect respondent email addresses and not to require sign-in.”  — Data Collection</w:t>
      </w:r>
    </w:p>
    <w:p>
      <w:pPr>
        <w:pStyle w:val="ListParagraph"/>
        <w:numPr>
          <w:ilvl w:val="0"/>
          <w:numId w:val="1"/>
        </w:numPr>
        <w:spacing w:after="90" w:line="300"/>
      </w:pPr>
      <w:r>
        <w:rPr>
          <w:rFonts w:ascii="Calibri" w:cs="Calibri" w:eastAsia="Calibri" w:hAnsi="Calibri"/>
          <w:sz w:val="20"/>
          <w:szCs w:val="20"/>
        </w:rPr>
        <w:t xml:space="preserve">“Respondents who do not consent will not proceed to the questionnaire.”  — Data Collection</w:t>
      </w:r>
    </w:p>
    <w:p>
      <w:pPr>
        <w:pStyle w:val="ListParagraph"/>
        <w:numPr>
          <w:ilvl w:val="0"/>
          <w:numId w:val="1"/>
        </w:numPr>
        <w:spacing w:after="90" w:line="300"/>
      </w:pPr>
      <w:r>
        <w:rPr>
          <w:rFonts w:ascii="Calibri" w:cs="Calibri" w:eastAsia="Calibri" w:hAnsi="Calibri"/>
          <w:sz w:val="20"/>
          <w:szCs w:val="20"/>
        </w:rPr>
        <w:t xml:space="preserve">“After data collection closes, responses will be exported for offline analysis.”  — Data Collection</w:t>
      </w:r>
    </w:p>
    <w:p>
      <w:pPr>
        <w:pStyle w:val="ListParagraph"/>
        <w:numPr>
          <w:ilvl w:val="0"/>
          <w:numId w:val="1"/>
        </w:numPr>
        <w:spacing w:after="90" w:line="300"/>
      </w:pPr>
      <w:r>
        <w:rPr>
          <w:rFonts w:ascii="Calibri" w:cs="Calibri" w:eastAsia="Calibri" w:hAnsi="Calibri"/>
          <w:sz w:val="20"/>
          <w:szCs w:val="20"/>
        </w:rPr>
        <w:t xml:space="preserve">“The system will be deployed for participant access.”  — Research Procedure</w:t>
      </w:r>
    </w:p>
    <w:p>
      <w:pPr>
        <w:pStyle w:val="ListParagraph"/>
        <w:numPr>
          <w:ilvl w:val="0"/>
          <w:numId w:val="1"/>
        </w:numPr>
        <w:spacing w:after="90" w:line="300"/>
      </w:pPr>
      <w:r>
        <w:rPr>
          <w:rFonts w:ascii="Calibri" w:cs="Calibri" w:eastAsia="Calibri" w:hAnsi="Calibri"/>
          <w:sz w:val="20"/>
          <w:szCs w:val="20"/>
        </w:rPr>
        <w:t xml:space="preserve">“End users will complete the assigned interface tasks before answering the usability form…”  — Research Procedure</w:t>
      </w:r>
    </w:p>
    <w:p>
      <w:pPr>
        <w:pStyle w:val="ListParagraph"/>
        <w:numPr>
          <w:ilvl w:val="0"/>
          <w:numId w:val="1"/>
        </w:numPr>
        <w:spacing w:after="90" w:line="300"/>
      </w:pPr>
      <w:r>
        <w:rPr>
          <w:rFonts w:ascii="Calibri" w:cs="Calibri" w:eastAsia="Calibri" w:hAnsi="Calibri"/>
          <w:sz w:val="20"/>
          <w:szCs w:val="20"/>
        </w:rPr>
        <w:t xml:space="preserve">“All participants in the expert, student, and end-user groups will receive a written explanation…”  — Ethical Consideration</w:t>
      </w:r>
    </w:p>
    <w:p>
      <w:pPr>
        <w:spacing w:after="160" w:line="300"/>
      </w:pPr>
      <w:r>
        <w:rPr>
          <w:rFonts w:ascii="Calibri" w:cs="Calibri" w:eastAsia="Calibri" w:hAnsi="Calibri"/>
          <w:b w:val="false"/>
          <w:bCs w:val="false"/>
          <w:i w:val="false"/>
          <w:iCs w:val="false"/>
          <w:color w:val="000000"/>
          <w:sz w:val="20"/>
          <w:szCs w:val="20"/>
        </w:rPr>
        <w:t xml:space="preserve">Convert all eleven in a single pass once responses are in, so the Method chapter reads consistently. Two further future-tense passages are legitimate and should be left alone: the withdrawal commitment in Ethical Consideration, and the database constraint claim in Instruments, which is a logical assertion rather than a procedure.</w:t>
      </w:r>
    </w:p>
    <w:p>
      <w:pPr>
        <w:spacing w:after="140" w:before="240"/>
      </w:pPr>
      <w:r>
        <w:rPr>
          <w:rFonts w:ascii="Cambria" w:cs="Cambria" w:eastAsia="Cambria" w:hAnsi="Cambria"/>
          <w:b/>
          <w:bCs/>
          <w:color w:val="A8541F"/>
          <w:sz w:val="22"/>
          <w:szCs w:val="22"/>
        </w:rPr>
        <w:t xml:space="preserve">One passage that has changed and now needs care</w:t>
      </w:r>
    </w:p>
    <w:p>
      <w:pPr>
        <w:spacing w:after="160" w:line="300"/>
      </w:pPr>
      <w:r>
        <w:rPr>
          <w:rFonts w:ascii="Calibri" w:cs="Calibri" w:eastAsia="Calibri" w:hAnsi="Calibri"/>
          <w:b w:val="false"/>
          <w:bCs w:val="false"/>
          <w:i w:val="false"/>
          <w:iCs w:val="false"/>
          <w:color w:val="000000"/>
          <w:sz w:val="20"/>
          <w:szCs w:val="20"/>
        </w:rPr>
        <w:t xml:space="preserve">Ethical Consideration now states that technical experts are “confidential but not anonymous” and that the expert branch records full name, professional role, and organization. That matches the instruments as built, which collect name and email. Confirm the end-user section says the same, since that form also collects name and email — an anonymity claim there would be inaccurate.</w:t>
      </w:r>
    </w:p>
    <w:p>
      <w:pPr>
        <w:pStyle w:val="Heading1"/>
        <w:pageBreakBefore/>
        <w:pBdr>
          <w:bottom w:val="single" w:color="1F6F8B" w:sz="8" w:space="6"/>
        </w:pBdr>
        <w:spacing w:after="220" w:before="200"/>
      </w:pPr>
      <w:r>
        <w:rPr>
          <w:rFonts w:ascii="Cambria" w:cs="Cambria" w:eastAsia="Cambria" w:hAnsi="Cambria"/>
          <w:b/>
          <w:bCs/>
          <w:color w:val="1F6F8B"/>
          <w:sz w:val="30"/>
          <w:szCs w:val="30"/>
        </w:rPr>
        <w:t xml:space="preserve">Part 3 — Chapters Still Absent</w:t>
      </w:r>
    </w:p>
    <w:p>
      <w:pPr>
        <w:spacing w:after="200" w:line="300"/>
      </w:pPr>
      <w:r>
        <w:rPr>
          <w:rFonts w:ascii="Calibri" w:cs="Calibri" w:eastAsia="Calibri" w:hAnsi="Calibri"/>
          <w:b w:val="false"/>
          <w:bCs w:val="false"/>
          <w:i w:val="false"/>
          <w:iCs w:val="false"/>
          <w:color w:val="000000"/>
          <w:sz w:val="20"/>
          <w:szCs w:val="20"/>
        </w:rPr>
        <w:t xml:space="preserve">The table of contents runs Method → Ethical Consideration → References → Appendices A through K. There is no Results chapter and no Discussion or Conclusion chapter. Appendices are otherwise complete.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4600"/>
        <w:gridCol w:w="4600"/>
      </w:tblGrid>
      <w:tr>
        <w:tc>
          <w:tcPr>
            <w:tcW w:type="dxa" w:w="4600"/>
            <w:shd w:fill="E3EEF2" w:val="clear"/>
            <w:tcMar>
              <w:top w:type="dxa" w:w="90"/>
              <w:left w:type="dxa" w:w="120"/>
              <w:bottom w:type="dxa" w:w="90"/>
              <w:right w:type="dxa" w:w="120"/>
            </w:tcMar>
          </w:tcPr>
          <w:p>
            <w:r>
              <w:rPr>
                <w:rFonts w:ascii="Calibri" w:cs="Calibri" w:eastAsia="Calibri" w:hAnsi="Calibri"/>
                <w:b/>
                <w:bCs/>
                <w:sz w:val="18"/>
                <w:szCs w:val="18"/>
              </w:rPr>
              <w:t xml:space="preserve">Results component</w:t>
            </w:r>
          </w:p>
        </w:tc>
        <w:tc>
          <w:tcPr>
            <w:tcW w:type="dxa" w:w="4600"/>
            <w:shd w:fill="E3EEF2" w:val="clear"/>
            <w:tcMar>
              <w:top w:type="dxa" w:w="90"/>
              <w:left w:type="dxa" w:w="120"/>
              <w:bottom w:type="dxa" w:w="90"/>
              <w:right w:type="dxa" w:w="120"/>
            </w:tcMar>
          </w:tcPr>
          <w:p>
            <w:r>
              <w:rPr>
                <w:rFonts w:ascii="Calibri" w:cs="Calibri" w:eastAsia="Calibri" w:hAnsi="Calibri"/>
                <w:b/>
                <w:bCs/>
                <w:sz w:val="18"/>
                <w:szCs w:val="18"/>
              </w:rPr>
              <w:t xml:space="preserve">Status</w:t>
            </w:r>
          </w:p>
        </w:tc>
      </w:tr>
      <w:tr>
        <w:tc>
          <w:tcPr>
            <w:tcW w:type="dxa" w:w="4600"/>
            <w:tcMar>
              <w:top w:type="dxa" w:w="90"/>
              <w:left w:type="dxa" w:w="120"/>
              <w:bottom w:type="dxa" w:w="90"/>
              <w:right w:type="dxa" w:w="120"/>
            </w:tcMar>
          </w:tcPr>
          <w:p>
            <w:r>
              <w:rPr>
                <w:rFonts w:ascii="Calibri" w:cs="Calibri" w:eastAsia="Calibri" w:hAnsi="Calibri"/>
                <w:b w:val="false"/>
                <w:bCs w:val="false"/>
                <w:sz w:val="18"/>
                <w:szCs w:val="18"/>
              </w:rPr>
              <w:t xml:space="preserve">Algorithm benchmarks — Canterbury, Silesia, GovDocs1, ablation</w:t>
            </w:r>
          </w:p>
        </w:tc>
        <w:tc>
          <w:tcPr>
            <w:tcW w:type="dxa" w:w="4600"/>
            <w:tcMar>
              <w:top w:type="dxa" w:w="90"/>
              <w:left w:type="dxa" w:w="120"/>
              <w:bottom w:type="dxa" w:w="90"/>
              <w:right w:type="dxa" w:w="120"/>
            </w:tcMar>
          </w:tcPr>
          <w:p>
            <w:r>
              <w:rPr>
                <w:rFonts w:ascii="Calibri" w:cs="Calibri" w:eastAsia="Calibri" w:hAnsi="Calibri"/>
                <w:b w:val="false"/>
                <w:bCs w:val="false"/>
                <w:sz w:val="18"/>
                <w:szCs w:val="18"/>
              </w:rPr>
              <w:t xml:space="preserve">Data exists; summarized in Abstract and appendices</w:t>
            </w:r>
          </w:p>
        </w:tc>
      </w:tr>
      <w:tr>
        <w:tc>
          <w:tcPr>
            <w:tcW w:type="dxa" w:w="4600"/>
            <w:tcMar>
              <w:top w:type="dxa" w:w="90"/>
              <w:left w:type="dxa" w:w="120"/>
              <w:bottom w:type="dxa" w:w="90"/>
              <w:right w:type="dxa" w:w="120"/>
            </w:tcMar>
          </w:tcPr>
          <w:p>
            <w:r>
              <w:rPr>
                <w:rFonts w:ascii="Calibri" w:cs="Calibri" w:eastAsia="Calibri" w:hAnsi="Calibri"/>
                <w:b w:val="false"/>
                <w:bCs w:val="false"/>
                <w:sz w:val="18"/>
                <w:szCs w:val="18"/>
              </w:rPr>
              <w:t xml:space="preserve">ISO/IEC 5055 automated measurement</w:t>
            </w:r>
          </w:p>
        </w:tc>
        <w:tc>
          <w:tcPr>
            <w:tcW w:type="dxa" w:w="4600"/>
            <w:tcMar>
              <w:top w:type="dxa" w:w="90"/>
              <w:left w:type="dxa" w:w="120"/>
              <w:bottom w:type="dxa" w:w="90"/>
              <w:right w:type="dxa" w:w="120"/>
            </w:tcMar>
          </w:tcPr>
          <w:p>
            <w:r>
              <w:rPr>
                <w:rFonts w:ascii="Calibri" w:cs="Calibri" w:eastAsia="Calibri" w:hAnsi="Calibri"/>
                <w:b w:val="false"/>
                <w:bCs w:val="false"/>
                <w:sz w:val="18"/>
                <w:szCs w:val="18"/>
              </w:rPr>
              <w:t xml:space="preserve">Complete; text supplied below</w:t>
            </w:r>
          </w:p>
        </w:tc>
      </w:tr>
      <w:tr>
        <w:tc>
          <w:tcPr>
            <w:tcW w:type="dxa" w:w="4600"/>
            <w:tcMar>
              <w:top w:type="dxa" w:w="90"/>
              <w:left w:type="dxa" w:w="120"/>
              <w:bottom w:type="dxa" w:w="90"/>
              <w:right w:type="dxa" w:w="120"/>
            </w:tcMar>
          </w:tcPr>
          <w:p>
            <w:r>
              <w:rPr>
                <w:rFonts w:ascii="Calibri" w:cs="Calibri" w:eastAsia="Calibri" w:hAnsi="Calibri"/>
                <w:b w:val="false"/>
                <w:bCs w:val="false"/>
                <w:sz w:val="18"/>
                <w:szCs w:val="18"/>
              </w:rPr>
              <w:t xml:space="preserve">Expert panel and end-user PSSUQ</w:t>
            </w:r>
          </w:p>
        </w:tc>
        <w:tc>
          <w:tcPr>
            <w:tcW w:type="dxa" w:w="4600"/>
            <w:tcMar>
              <w:top w:type="dxa" w:w="90"/>
              <w:left w:type="dxa" w:w="120"/>
              <w:bottom w:type="dxa" w:w="90"/>
              <w:right w:type="dxa" w:w="120"/>
            </w:tcMar>
          </w:tcPr>
          <w:p>
            <w:r>
              <w:rPr>
                <w:rFonts w:ascii="Calibri" w:cs="Calibri" w:eastAsia="Calibri" w:hAnsi="Calibri"/>
                <w:b w:val="false"/>
                <w:bCs w:val="false"/>
                <w:sz w:val="18"/>
                <w:szCs w:val="18"/>
              </w:rPr>
              <w:t xml:space="preserve">Not run</w:t>
            </w:r>
          </w:p>
        </w:tc>
      </w:tr>
    </w:tbl>
    <w:p>
      <w:pPr>
        <w:spacing w:after="200" w:line="300"/>
      </w:pPr>
      <w:r>
        <w:rPr>
          <w:rFonts w:ascii="Calibri" w:cs="Calibri" w:eastAsia="Calibri" w:hAnsi="Calibri"/>
          <w:b w:val="false"/>
          <w:bCs w:val="false"/>
          <w:i w:val="false"/>
          <w:iCs w:val="false"/>
          <w:color w:val="000000"/>
          <w:sz w:val="20"/>
          <w:szCs w:val="20"/>
        </w:rPr>
        <w:t xml:space="preserve"/>
      </w:r>
    </w:p>
    <w:p>
      <w:pPr>
        <w:pStyle w:val="Heading2"/>
        <w:spacing w:after="140" w:before="380"/>
      </w:pPr>
      <w:r>
        <w:rPr>
          <w:rFonts w:ascii="Cambria" w:cs="Cambria" w:eastAsia="Cambria" w:hAnsi="Cambria"/>
          <w:b/>
          <w:bCs/>
          <w:color w:val="1A1A1A"/>
          <w:sz w:val="26"/>
          <w:szCs w:val="26"/>
        </w:rPr>
        <w:t xml:space="preserve">7.  New chapter — Results, ISO/IEC 5055 section</w:t>
      </w:r>
    </w:p>
    <w:p>
      <w:pPr>
        <w:spacing w:after="120"/>
      </w:pPr>
      <w:r>
        <w:rPr>
          <w:rFonts w:ascii="Calibri" w:cs="Calibri" w:eastAsia="Calibri" w:hAnsi="Calibri"/>
          <w:b/>
          <w:bCs/>
          <w:color w:val="1F6F8B"/>
          <w:sz w:val="19"/>
          <w:szCs w:val="19"/>
        </w:rPr>
        <w:t xml:space="preserve">Find:  </w:t>
      </w:r>
      <w:r>
        <w:rPr>
          <w:rFonts w:ascii="Consolas" w:cs="Consolas" w:eastAsia="Consolas" w:hAnsi="Consolas"/>
          <w:sz w:val="19"/>
          <w:szCs w:val="19"/>
        </w:rPr>
        <w:t xml:space="preserve">Ethical Consideration</w:t>
      </w:r>
    </w:p>
    <w:p>
      <w:pPr>
        <w:spacing w:after="120"/>
      </w:pPr>
      <w:r>
        <w:rPr>
          <w:rFonts w:ascii="Calibri" w:cs="Calibri" w:eastAsia="Calibri" w:hAnsi="Calibri"/>
          <w:b/>
          <w:bCs/>
          <w:color w:val="1F6F8B"/>
          <w:sz w:val="19"/>
          <w:szCs w:val="19"/>
        </w:rPr>
        <w:t xml:space="preserve">Then:  </w:t>
      </w:r>
      <w:r>
        <w:rPr>
          <w:rFonts w:ascii="Calibri" w:cs="Calibri" w:eastAsia="Calibri" w:hAnsi="Calibri"/>
          <w:sz w:val="19"/>
          <w:szCs w:val="19"/>
        </w:rPr>
        <w:t xml:space="preserve">Insert a new Results chapter after that section and before References. The text below is the ISO/IEC 5055 section only; the algorithm-benchmark section and the survey section are separate and are written by you.</w:t>
      </w:r>
    </w:p>
    <w:p>
      <w:pPr>
        <w:spacing w:after="60" w:before="200"/>
      </w:pPr>
      <w:r>
        <w:rPr>
          <w:rFonts w:ascii="Calibri" w:cs="Calibri" w:eastAsia="Calibri" w:hAnsi="Calibri"/>
          <w:b/>
          <w:bCs/>
          <w:color w:val="3F6B3F"/>
          <w:spacing w:val="20"/>
          <w:sz w:val="17"/>
          <w:szCs w:val="17"/>
        </w:rPr>
        <w:t xml:space="preserve">TEXT TO INSERT</w:t>
      </w:r>
    </w:p>
    <w:p>
      <w:pPr>
        <w:pBdr>
          <w:left w:val="single" w:color="B9CFB9" w:sz="12" w:space="8"/>
        </w:pBdr>
        <w:shd w:fill="EDF3ED" w:val="clear"/>
        <w:spacing w:after="100" w:line="300"/>
        <w:ind w:left="340" w:right="200"/>
      </w:pPr>
      <w:r>
        <w:rPr>
          <w:rFonts w:ascii="Cambria" w:cs="Cambria" w:eastAsia="Cambria" w:hAnsi="Cambria"/>
          <w:sz w:val="20"/>
          <w:szCs w:val="20"/>
        </w:rPr>
        <w:t xml:space="preserve">Automated Source-Code Measurement</w:t>
      </w:r>
    </w:p>
    <w:p>
      <w:pPr>
        <w:pBdr>
          <w:left w:val="single" w:color="B9CFB9" w:sz="12" w:space="8"/>
        </w:pBdr>
        <w:shd w:fill="EDF3ED" w:val="clear"/>
        <w:spacing w:after="100" w:line="300"/>
        <w:ind w:left="340" w:right="200"/>
      </w:pPr>
      <w:r>
        <w:rPr>
          <w:rFonts w:ascii="Cambria" w:cs="Cambria" w:eastAsia="Cambria" w:hAnsi="Cambria"/>
          <w:sz w:val="20"/>
          <w:szCs w:val="20"/>
        </w:rPr>
        <w:t xml:space="preserve">Automated detection at commit 048c2fc covered 7,780 lines of first-party source: 6,620 lines of Python across 22 modules and 1,159 lines in the C++17 accelerator. The analyzers returned 79 CWE-bearing findings. A further 11 Cppcheck entries at information severity carried no CWE and describe the analyzer's own coverage limits rather than properties of the source; these were excluded from the counts rather than triaged.</w:t>
      </w:r>
    </w:p>
    <w:p>
      <w:pPr>
        <w:pBdr>
          <w:left w:val="single" w:color="B9CFB9" w:sz="12" w:space="8"/>
        </w:pBdr>
        <w:shd w:fill="EDF3ED" w:val="clear"/>
        <w:spacing w:after="100" w:line="300"/>
        <w:ind w:left="340" w:right="200"/>
      </w:pPr>
      <w:r>
        <w:rPr>
          <w:rFonts w:ascii="Cambria" w:cs="Cambria" w:eastAsia="Cambria" w:hAnsi="Cambria"/>
          <w:sz w:val="20"/>
          <w:szCs w:val="20"/>
        </w:rPr>
        <w:t xml:space="preserve">Fifty-two findings were triaged by source inspection: five Bandit findings at Medium severity or above, nine Flawfinder findings, and 38 Cppcheck findings. Thirty-one were confirmed and 21 identified as false positives. The remaining 27 Bandit findings, all below Medium severity, were not individually triaged.</w:t>
      </w:r>
    </w:p>
    <w:p>
      <w:pPr>
        <w:pBdr>
          <w:left w:val="single" w:color="B9CFB9" w:sz="12" w:space="8"/>
        </w:pBdr>
        <w:shd w:fill="EDF3ED" w:val="clear"/>
        <w:spacing w:after="100" w:line="300"/>
        <w:ind w:left="340" w:right="200"/>
      </w:pPr>
      <w:r>
        <w:rPr>
          <w:rFonts w:ascii="Cambria" w:cs="Cambria" w:eastAsia="Cambria" w:hAnsi="Cambria"/>
          <w:sz w:val="20"/>
          <w:szCs w:val="20"/>
        </w:rPr>
        <w:t xml:space="preserve">Reliability. Three instances of an unchecked malloc return value preceding a memcpy were confirmed in the native accelerator (CWE-476). If allocation fails, the subsequent copy writes to a null pointer. Two further allocation sites in the same file perform the check correctly, making this an internal inconsistency rather than a uniform omission. Confirmed density was 0.39 per KLOC over the full 7,780-line scope.</w:t>
      </w:r>
    </w:p>
    <w:p>
      <w:pPr>
        <w:pBdr>
          <w:left w:val="single" w:color="B9CFB9" w:sz="12" w:space="8"/>
        </w:pBdr>
        <w:shd w:fill="EDF3ED" w:val="clear"/>
        <w:spacing w:after="100" w:line="300"/>
        <w:ind w:left="340" w:right="200"/>
      </w:pPr>
      <w:r>
        <w:rPr>
          <w:rFonts w:ascii="Cambria" w:cs="Cambria" w:eastAsia="Cambria" w:hAnsi="Cambria"/>
          <w:sz w:val="20"/>
          <w:szCs w:val="20"/>
        </w:rPr>
        <w:t xml:space="preserve">Security. Two weaknesses were confirmed. One exported kernel accepts a buffer-length parameter and does not use it before reading four bytes from that buffer (CWE-125); the parameter name is commented out at the declaration, indicating the length was available and deliberately unused. One benchmark utility uses a hardcoded temporary-directory fallback (CWE-377). Confirmed density was 0.26 per KLOC over the full scope.</w:t>
      </w:r>
    </w:p>
    <w:p>
      <w:pPr>
        <w:pBdr>
          <w:left w:val="single" w:color="B9CFB9" w:sz="12" w:space="8"/>
        </w:pBdr>
        <w:shd w:fill="EDF3ED" w:val="clear"/>
        <w:spacing w:after="100" w:line="300"/>
        <w:ind w:left="340" w:right="200"/>
      </w:pPr>
      <w:r>
        <w:rPr>
          <w:rFonts w:ascii="Cambria" w:cs="Cambria" w:eastAsia="Cambria" w:hAnsi="Cambria"/>
          <w:sz w:val="20"/>
          <w:szCs w:val="20"/>
        </w:rPr>
        <w:t xml:space="preserve">Performance Efficiency. No findings. No analyzer in the toolchain emits Performance Efficiency weaknesses, so this reflects absence of measurement rather than a measured absence of weaknesses, and no density is reported.</w:t>
      </w:r>
    </w:p>
    <w:p>
      <w:pPr>
        <w:pBdr>
          <w:left w:val="single" w:color="B9CFB9" w:sz="12" w:space="8"/>
        </w:pBdr>
        <w:shd w:fill="EDF3ED" w:val="clear"/>
        <w:spacing w:after="100" w:line="300"/>
        <w:ind w:left="340" w:right="200"/>
      </w:pPr>
      <w:r>
        <w:rPr>
          <w:rFonts w:ascii="Cambria" w:cs="Cambria" w:eastAsia="Cambria" w:hAnsi="Cambria"/>
          <w:sz w:val="20"/>
          <w:szCs w:val="20"/>
        </w:rPr>
        <w:t xml:space="preserve">Maintainability. Twenty-six of 38 Cppcheck findings were confirmed, comprising 15 instances of a reference that could be declared const and 11 old-style C casts where a C++ cast would state intent. Eight findings recommending replacement of explicit loops with standard-library algorithms were classified as false positives, on the grounds that explicit iteration in a compression kernel preserves control over early exit and iteration order and does not represent maintainability debt. Confirmed density was 22.4 per KLOC over the 1,159-line C++ scope. This figure is not comparable to the Reliability and Security densities: it is computed over the C++ accelerator alone, because no analyzer in the toolchain emits maintainability CWEs for Python.</w:t>
      </w:r>
    </w:p>
    <w:p>
      <w:pPr>
        <w:pBdr>
          <w:left w:val="single" w:color="B9CFB9" w:sz="12" w:space="8"/>
        </w:pBdr>
        <w:shd w:fill="EDF3ED" w:val="clear"/>
        <w:spacing w:after="100" w:line="300"/>
        <w:ind w:left="340" w:right="200"/>
      </w:pPr>
      <w:r>
        <w:rPr>
          <w:rFonts w:ascii="Cambria" w:cs="Cambria" w:eastAsia="Cambria" w:hAnsi="Cambria"/>
          <w:sz w:val="20"/>
          <w:szCs w:val="20"/>
        </w:rPr>
        <w:t xml:space="preserve">No finding at high severity survived triage, and no memory-safety defect was confirmed in the C++ accelerator.</w:t>
      </w:r>
    </w:p>
    <w:p>
      <w:pPr>
        <w:pBdr>
          <w:left w:val="single" w:color="B9CFB9" w:sz="12" w:space="8"/>
        </w:pBdr>
        <w:shd w:fill="EDF3ED" w:val="clear"/>
        <w:spacing w:after="100" w:line="300"/>
        <w:ind w:left="340" w:right="200"/>
      </w:pPr>
      <w:r>
        <w:rPr>
          <w:rFonts w:ascii="Cambria" w:cs="Cambria" w:eastAsia="Cambria" w:hAnsi="Cambria"/>
          <w:sz w:val="20"/>
          <w:szCs w:val="20"/>
        </w:rPr>
        <w:t xml:space="preserve">Triage Reclassification</w:t>
      </w:r>
    </w:p>
    <w:p>
      <w:pPr>
        <w:pBdr>
          <w:left w:val="single" w:color="B9CFB9" w:sz="12" w:space="8"/>
        </w:pBdr>
        <w:shd w:fill="EDF3ED" w:val="clear"/>
        <w:spacing w:after="100" w:line="300"/>
        <w:ind w:left="340" w:right="200"/>
      </w:pPr>
      <w:r>
        <w:rPr>
          <w:rFonts w:ascii="Cambria" w:cs="Cambria" w:eastAsia="Cambria" w:hAnsi="Cambria"/>
          <w:sz w:val="20"/>
          <w:szCs w:val="20"/>
        </w:rPr>
        <w:t xml:space="preserve">Triage altered both the count and the measure assignment of findings. All four Bandit findings reporting possible SQL injection (CWE-89) were false positives: three arise from a helper returning one of two hardcoded literal fragments with the user identifier passed as a bound parameter, and the fourth from a count query assembled entirely from constant fragments, the interpolating clause being appended only after that query executes and its column and direction being constrained by a seven-member allowlist and a two-valued coercion respectively.</w:t>
      </w:r>
    </w:p>
    <w:p>
      <w:pPr>
        <w:pBdr>
          <w:left w:val="single" w:color="B9CFB9" w:sz="12" w:space="8"/>
        </w:pBdr>
        <w:shd w:fill="EDF3ED" w:val="clear"/>
        <w:spacing w:after="100" w:line="300"/>
        <w:ind w:left="340" w:right="200"/>
      </w:pPr>
      <w:r>
        <w:rPr>
          <w:rFonts w:ascii="Cambria" w:cs="Cambria" w:eastAsia="Cambria" w:hAnsi="Cambria"/>
          <w:sz w:val="20"/>
          <w:szCs w:val="20"/>
        </w:rPr>
        <w:t xml:space="preserve">All nine Flawfinder findings were reported as CWE-120. No confirmed defect was CWE-120. Triage reassigned three findings to CWE-476 and one to CWE-125, moving three of the four from the Security measure to Reliability. Cppcheck likewise reported all 38 CWE-bearing findings as CWE-398, including three uninitialized-member warnings that are properly CWE-457; those three were false positives on inspection, as the structure is constructed only by aggregate initialization supplying every member. Measure assignment therefore cannot be taken from analyzer output and was determined on inspection in every case.</w:t>
      </w:r>
    </w:p>
    <w:p>
      <w:pPr>
        <w:pBdr>
          <w:left w:val="single" w:color="B9CFB9" w:sz="12" w:space="8"/>
        </w:pBdr>
        <w:shd w:fill="EDF3ED" w:val="clear"/>
        <w:spacing w:after="100" w:line="300"/>
        <w:ind w:left="340" w:right="200"/>
      </w:pPr>
      <w:r>
        <w:rPr>
          <w:rFonts w:ascii="Cambria" w:cs="Cambria" w:eastAsia="Cambria" w:hAnsi="Cambria"/>
          <w:sz w:val="20"/>
          <w:szCs w:val="20"/>
        </w:rPr>
        <w:t xml:space="preserve">Complexity and Maintainability Index</w:t>
      </w:r>
    </w:p>
    <w:p>
      <w:pPr>
        <w:pBdr>
          <w:left w:val="single" w:color="B9CFB9" w:sz="12" w:space="8"/>
        </w:pBdr>
        <w:shd w:fill="EDF3ED" w:val="clear"/>
        <w:spacing w:after="100" w:line="300"/>
        <w:ind w:left="340" w:right="200"/>
      </w:pPr>
      <w:r>
        <w:rPr>
          <w:rFonts w:ascii="Cambria" w:cs="Cambria" w:eastAsia="Cambria" w:hAnsi="Cambria"/>
          <w:sz w:val="20"/>
          <w:szCs w:val="20"/>
        </w:rPr>
        <w:t xml:space="preserve">Complexity analysis across 403 blocks returned an average cyclomatic complexity of B (5.93). The maintainability index placed 12 of 14 application modules at grade A. The module containers.py, which implements PDF, DOCX, and ZIP container handling, was the sole module at grade C and also contained three functions at complexity grade E; deflate_tokens.py was at grade B with one function at grade E. Maintainability debt is therefore concentrated in container-format handling rather than distributed across the codebase.</w:t>
      </w:r>
    </w:p>
    <w:p>
      <w:pPr>
        <w:pBdr>
          <w:left w:val="single" w:color="B9CFB9" w:sz="12" w:space="8"/>
        </w:pBdr>
        <w:shd w:fill="EDF3ED" w:val="clear"/>
        <w:spacing w:after="100" w:line="300"/>
        <w:ind w:left="340" w:right="200"/>
      </w:pPr>
      <w:r>
        <w:rPr>
          <w:rFonts w:ascii="Cambria" w:cs="Cambria" w:eastAsia="Cambria" w:hAnsi="Cambria"/>
          <w:sz w:val="20"/>
          <w:szCs w:val="20"/>
        </w:rPr>
        <w:t xml:space="preserve">Limitations of the Measurement</w:t>
      </w:r>
    </w:p>
    <w:p>
      <w:pPr>
        <w:pBdr>
          <w:left w:val="single" w:color="B9CFB9" w:sz="12" w:space="8"/>
        </w:pBdr>
        <w:shd w:fill="EDF3ED" w:val="clear"/>
        <w:spacing w:after="100" w:line="300"/>
        <w:ind w:left="340" w:right="200"/>
      </w:pPr>
      <w:r>
        <w:rPr>
          <w:rFonts w:ascii="Cambria" w:cs="Cambria" w:eastAsia="Cambria" w:hAnsi="Cambria"/>
          <w:sz w:val="20"/>
          <w:szCs w:val="20"/>
        </w:rPr>
        <w:t xml:space="preserve">Five limitations apply. First, Bandit findings below Medium severity (n=27) were not individually triaged. Second, no analyzer in the toolchain emits Performance Efficiency weaknesses, so that measure was not obtained. Third, maintainability weaknesses were measured on the C++ accelerator only, as no analyzer in the toolchain emits maintainability CWEs for Python; Python maintainability was assessed through cyclomatic complexity and maintainability index instead, and the two forms of evidence are not combined. Fourth, Semgrep was not run, so the Python and JavaScript layers were covered for Security by Bandit alone. Fifth, the CWE-to-measure mapping is researcher-assigned from the published measure definitions rather than taken from the standard's normative list, which is licensed.</w:t>
      </w:r>
    </w:p>
    <w:p>
      <w:pPr>
        <w:spacing w:after="60" w:before="200"/>
      </w:pPr>
      <w:r>
        <w:rPr>
          <w:rFonts w:ascii="Calibri" w:cs="Calibri" w:eastAsia="Calibri" w:hAnsi="Calibri"/>
          <w:b/>
          <w:bCs/>
          <w:color w:val="1F6F8B"/>
          <w:spacing w:val="20"/>
          <w:sz w:val="17"/>
          <w:szCs w:val="17"/>
        </w:rPr>
        <w:t xml:space="preserve">WHY</w:t>
      </w:r>
    </w:p>
    <w:p>
      <w:pPr>
        <w:spacing w:after="240" w:line="300"/>
        <w:ind w:left="340"/>
      </w:pPr>
      <w:r>
        <w:rPr>
          <w:rFonts w:ascii="Calibri" w:cs="Calibri" w:eastAsia="Calibri" w:hAnsi="Calibri"/>
          <w:color w:val="3A3A3A"/>
          <w:sz w:val="19"/>
          <w:szCs w:val="19"/>
        </w:rPr>
        <w:t xml:space="preserve">Your objective now commits the study to measuring the source code against ISO/IEC 5055 using automated static analysis. Without this section that objective is unmet, and a reader comparing objectives to results finds nothing answering it.</w:t>
      </w:r>
    </w:p>
    <w:p>
      <w:pPr>
        <w:spacing w:after="240" w:line="300"/>
        <w:ind w:left="340"/>
      </w:pPr>
      <w:r>
        <w:rPr>
          <w:rFonts w:ascii="Calibri" w:cs="Calibri" w:eastAsia="Calibri" w:hAnsi="Calibri"/>
          <w:color w:val="3A3A3A"/>
          <w:sz w:val="19"/>
          <w:szCs w:val="19"/>
        </w:rPr>
        <w:t xml:space="preserve">On tense: the text says the defects “were confirmed.” If you remediate them before submission, change to “were confirmed and subsequently remediated at commit ‹hash›” and report the post-fix density alongside. A measurement that drove a fix demonstrates the method worked.</w:t>
      </w:r>
    </w:p>
    <w:p>
      <w:pPr>
        <w:pStyle w:val="Heading2"/>
        <w:spacing w:after="140" w:before="380"/>
      </w:pPr>
      <w:r>
        <w:rPr>
          <w:rFonts w:ascii="Cambria" w:cs="Cambria" w:eastAsia="Cambria" w:hAnsi="Cambria"/>
          <w:b/>
          <w:bCs/>
          <w:color w:val="1A1A1A"/>
          <w:sz w:val="26"/>
          <w:szCs w:val="26"/>
        </w:rPr>
        <w:t xml:space="preserve">8.  New appendix — Automated Source-Code Measurement Record</w:t>
      </w:r>
    </w:p>
    <w:p>
      <w:pPr>
        <w:spacing w:after="120"/>
      </w:pPr>
      <w:r>
        <w:rPr>
          <w:rFonts w:ascii="Calibri" w:cs="Calibri" w:eastAsia="Calibri" w:hAnsi="Calibri"/>
          <w:b/>
          <w:bCs/>
          <w:color w:val="1F6F8B"/>
          <w:sz w:val="19"/>
          <w:szCs w:val="19"/>
        </w:rPr>
        <w:t xml:space="preserve">Then:  </w:t>
      </w:r>
      <w:r>
        <w:rPr>
          <w:rFonts w:ascii="Calibri" w:cs="Calibri" w:eastAsia="Calibri" w:hAnsi="Calibri"/>
          <w:sz w:val="19"/>
          <w:szCs w:val="19"/>
        </w:rPr>
        <w:t xml:space="preserve">Your appendices currently run A through K, so this becomes Appendix L. Add it to the table of contents alongside the others.</w:t>
      </w:r>
    </w:p>
    <w:p>
      <w:pPr>
        <w:spacing w:after="60" w:before="200"/>
      </w:pPr>
      <w:r>
        <w:rPr>
          <w:rFonts w:ascii="Calibri" w:cs="Calibri" w:eastAsia="Calibri" w:hAnsi="Calibri"/>
          <w:b/>
          <w:bCs/>
          <w:color w:val="3F6B3F"/>
          <w:spacing w:val="20"/>
          <w:sz w:val="17"/>
          <w:szCs w:val="17"/>
        </w:rPr>
        <w:t xml:space="preserve">CONTENTS</w:t>
      </w:r>
    </w:p>
    <w:p>
      <w:pPr>
        <w:pStyle w:val="ListParagraph"/>
        <w:numPr>
          <w:ilvl w:val="0"/>
          <w:numId w:val="1"/>
        </w:numPr>
        <w:spacing w:after="90" w:line="300"/>
      </w:pPr>
      <w:r>
        <w:rPr>
          <w:rFonts w:ascii="Calibri" w:cs="Calibri" w:eastAsia="Calibri" w:hAnsi="Calibri"/>
          <w:sz w:val="20"/>
          <w:szCs w:val="20"/>
        </w:rPr>
        <w:t xml:space="preserve">Commit hash: 048c2fc</w:t>
      </w:r>
    </w:p>
    <w:p>
      <w:pPr>
        <w:pStyle w:val="ListParagraph"/>
        <w:numPr>
          <w:ilvl w:val="0"/>
          <w:numId w:val="1"/>
        </w:numPr>
        <w:spacing w:after="90" w:line="300"/>
      </w:pPr>
      <w:r>
        <w:rPr>
          <w:rFonts w:ascii="Calibri" w:cs="Calibri" w:eastAsia="Calibri" w:hAnsi="Calibri"/>
          <w:sz w:val="20"/>
          <w:szCs w:val="20"/>
        </w:rPr>
        <w:t xml:space="preserve">Analyzer versions: Bandit 1.9.4, Flawfinder 2.0.20, Cppcheck 2.21.0, Radon 6.0.1, Python 3.13.14</w:t>
      </w:r>
    </w:p>
    <w:p>
      <w:pPr>
        <w:pStyle w:val="ListParagraph"/>
        <w:numPr>
          <w:ilvl w:val="0"/>
          <w:numId w:val="1"/>
        </w:numPr>
        <w:spacing w:after="90" w:line="300"/>
      </w:pPr>
      <w:r>
        <w:rPr>
          <w:rFonts w:ascii="Calibri" w:cs="Calibri" w:eastAsia="Calibri" w:hAnsi="Calibri"/>
          <w:sz w:val="20"/>
          <w:szCs w:val="20"/>
        </w:rPr>
        <w:t xml:space="preserve">Exact commands executed, with their scope arguments</w:t>
      </w:r>
    </w:p>
    <w:p>
      <w:pPr>
        <w:pStyle w:val="ListParagraph"/>
        <w:numPr>
          <w:ilvl w:val="0"/>
          <w:numId w:val="1"/>
        </w:numPr>
        <w:spacing w:after="90" w:line="300"/>
      </w:pPr>
      <w:r>
        <w:rPr>
          <w:rFonts w:ascii="Calibri" w:cs="Calibri" w:eastAsia="Calibri" w:hAnsi="Calibri"/>
          <w:sz w:val="20"/>
          <w:szCs w:val="20"/>
        </w:rPr>
        <w:t xml:space="preserve">Scope statement: 22 Python modules (6,620 lines) and afc_native.cpp (1,159 lines)</w:t>
      </w:r>
    </w:p>
    <w:p>
      <w:pPr>
        <w:pStyle w:val="ListParagraph"/>
        <w:numPr>
          <w:ilvl w:val="0"/>
          <w:numId w:val="1"/>
        </w:numPr>
        <w:spacing w:after="90" w:line="300"/>
      </w:pPr>
      <w:r>
        <w:rPr>
          <w:rFonts w:ascii="Calibri" w:cs="Calibri" w:eastAsia="Calibri" w:hAnsi="Calibri"/>
          <w:sz w:val="20"/>
          <w:szCs w:val="20"/>
        </w:rPr>
        <w:t xml:space="preserve">Full triage table — one row per finding: tool, reported CWE, file, line, tool severity, verdict, confirmed CWE, and justification</w:t>
      </w:r>
    </w:p>
    <w:p>
      <w:pPr>
        <w:pStyle w:val="ListParagraph"/>
        <w:numPr>
          <w:ilvl w:val="0"/>
          <w:numId w:val="1"/>
        </w:numPr>
        <w:spacing w:after="90" w:line="300"/>
      </w:pPr>
      <w:r>
        <w:rPr>
          <w:rFonts w:ascii="Calibri" w:cs="Calibri" w:eastAsia="Calibri" w:hAnsi="Calibri"/>
          <w:sz w:val="20"/>
          <w:szCs w:val="20"/>
        </w:rPr>
        <w:t xml:space="preserve">Density table — per measure: raw count, confirmed count, false-positive rate, per-KLOC density, and the scope it is computed over</w:t>
      </w:r>
    </w:p>
    <w:p>
      <w:pPr>
        <w:pStyle w:val="ListParagraph"/>
        <w:numPr>
          <w:ilvl w:val="0"/>
          <w:numId w:val="1"/>
        </w:numPr>
        <w:spacing w:after="90" w:line="300"/>
      </w:pPr>
      <w:r>
        <w:rPr>
          <w:rFonts w:ascii="Calibri" w:cs="Calibri" w:eastAsia="Calibri" w:hAnsi="Calibri"/>
          <w:sz w:val="20"/>
          <w:szCs w:val="20"/>
        </w:rPr>
        <w:t xml:space="preserve">Raw analyzer output as generated</w:t>
      </w:r>
    </w:p>
    <w:p>
      <w:pPr>
        <w:spacing w:after="240" w:line="300"/>
        <w:ind w:left="340"/>
      </w:pPr>
      <w:r>
        <w:rPr>
          <w:rFonts w:ascii="Calibri" w:cs="Calibri" w:eastAsia="Calibri" w:hAnsi="Calibri"/>
          <w:color w:val="3A3A3A"/>
          <w:sz w:val="19"/>
          <w:szCs w:val="19"/>
        </w:rPr>
        <w:t xml:space="preserve">Bandit, Flawfinder, Cppcheck, and Radon each appear exactly once in the current manuscript, all within the single paragraph added to Instruments. There is no appendix holding the evidence. The triage table is the substantive item: without it the confirmed counts are assertions rather than evidence, and each justification should be short enough for a reader to verify against the cited line in under a minute.</w:t>
      </w:r>
    </w:p>
    <w:p>
      <w:pPr>
        <w:pStyle w:val="Heading2"/>
        <w:spacing w:after="140" w:before="380"/>
      </w:pPr>
      <w:r>
        <w:rPr>
          <w:rFonts w:ascii="Cambria" w:cs="Cambria" w:eastAsia="Cambria" w:hAnsi="Cambria"/>
          <w:b/>
          <w:bCs/>
          <w:color w:val="1A1A1A"/>
          <w:sz w:val="26"/>
          <w:szCs w:val="26"/>
        </w:rPr>
        <w:t xml:space="preserve">9.  New chapter — Discussion, Conclusion, and Recommendations</w:t>
      </w:r>
    </w:p>
    <w:p>
      <w:pPr>
        <w:spacing w:after="120"/>
      </w:pPr>
      <w:r>
        <w:rPr>
          <w:rFonts w:ascii="Calibri" w:cs="Calibri" w:eastAsia="Calibri" w:hAnsi="Calibri"/>
          <w:b/>
          <w:bCs/>
          <w:color w:val="1F6F8B"/>
          <w:sz w:val="19"/>
          <w:szCs w:val="19"/>
        </w:rPr>
        <w:t xml:space="preserve">Then:  </w:t>
      </w:r>
      <w:r>
        <w:rPr>
          <w:rFonts w:ascii="Calibri" w:cs="Calibri" w:eastAsia="Calibri" w:hAnsi="Calibri"/>
          <w:sz w:val="19"/>
          <w:szCs w:val="19"/>
        </w:rPr>
        <w:t xml:space="preserve">Insert after Results and before References.</w:t>
      </w:r>
    </w:p>
    <w:p>
      <w:pPr>
        <w:spacing w:after="160" w:line="300"/>
      </w:pPr>
      <w:r>
        <w:rPr>
          <w:rFonts w:ascii="Calibri" w:cs="Calibri" w:eastAsia="Calibri" w:hAnsi="Calibri"/>
          <w:b w:val="false"/>
          <w:bCs w:val="false"/>
          <w:i w:val="false"/>
          <w:iCs w:val="false"/>
          <w:color w:val="000000"/>
          <w:sz w:val="20"/>
          <w:szCs w:val="20"/>
        </w:rPr>
        <w:t xml:space="preserve">Absent entirely. It cannot be drafted from the ISO/IEC 5055 work alone, since it must also interpret the algorithm benchmarks and the survey results. Three points from this measurement belong in it:</w:t>
      </w:r>
    </w:p>
    <w:p>
      <w:pPr>
        <w:pStyle w:val="ListParagraph"/>
        <w:numPr>
          <w:ilvl w:val="0"/>
          <w:numId w:val="1"/>
        </w:numPr>
        <w:spacing w:after="90" w:line="300"/>
      </w:pPr>
      <w:r>
        <w:rPr>
          <w:rFonts w:ascii="Calibri" w:cs="Calibri" w:eastAsia="Calibri" w:hAnsi="Calibri"/>
          <w:sz w:val="20"/>
          <w:szCs w:val="20"/>
        </w:rPr>
        <w:t xml:space="preserve">The four confirmed defects and their disposition — whether remediated or carried into future work.</w:t>
      </w:r>
    </w:p>
    <w:p>
      <w:pPr>
        <w:pStyle w:val="ListParagraph"/>
        <w:numPr>
          <w:ilvl w:val="0"/>
          <w:numId w:val="1"/>
        </w:numPr>
        <w:spacing w:after="90" w:line="300"/>
      </w:pPr>
      <w:r>
        <w:rPr>
          <w:rFonts w:ascii="Calibri" w:cs="Calibri" w:eastAsia="Calibri" w:hAnsi="Calibri"/>
          <w:sz w:val="20"/>
          <w:szCs w:val="20"/>
        </w:rPr>
        <w:t xml:space="preserve">The reclassification finding: every analyzer mislabeled its own findings, so measure assignment required inspection in every case. This is the study's clearest evidence for pairing automated measurement with expert review rather than treating either alone as sufficient.</w:t>
      </w:r>
    </w:p>
    <w:p>
      <w:pPr>
        <w:pStyle w:val="ListParagraph"/>
        <w:numPr>
          <w:ilvl w:val="0"/>
          <w:numId w:val="1"/>
        </w:numPr>
        <w:spacing w:after="90" w:line="300"/>
      </w:pPr>
      <w:r>
        <w:rPr>
          <w:rFonts w:ascii="Calibri" w:cs="Calibri" w:eastAsia="Calibri" w:hAnsi="Calibri"/>
          <w:sz w:val="20"/>
          <w:szCs w:val="20"/>
        </w:rPr>
        <w:t xml:space="preserve">The concentration of maintainability debt in container-format handling, and whether that is inherent to PDF and DOCX parsing or represents genuine debt — a question the expert panel is positioned to answer.</w:t>
      </w:r>
    </w:p>
    <w:p>
      <w:pPr>
        <w:pStyle w:val="Heading1"/>
        <w:pageBreakBefore/>
        <w:pBdr>
          <w:bottom w:val="single" w:color="1F6F8B" w:sz="8" w:space="6"/>
        </w:pBdr>
        <w:spacing w:after="220" w:before="200"/>
      </w:pPr>
      <w:r>
        <w:rPr>
          <w:rFonts w:ascii="Cambria" w:cs="Cambria" w:eastAsia="Cambria" w:hAnsi="Cambria"/>
          <w:b/>
          <w:bCs/>
          <w:color w:val="1F6F8B"/>
          <w:sz w:val="30"/>
          <w:szCs w:val="30"/>
        </w:rPr>
        <w:t xml:space="preserve">Summary</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4400"/>
        <w:gridCol w:w="1600"/>
        <w:gridCol w:w="3200"/>
      </w:tblGrid>
      <w:tr>
        <w:tc>
          <w:tcPr>
            <w:tcW w:type="dxa" w:w="4400"/>
            <w:shd w:fill="E3EEF2" w:val="clear"/>
            <w:tcMar>
              <w:top w:type="dxa" w:w="90"/>
              <w:left w:type="dxa" w:w="120"/>
              <w:bottom w:type="dxa" w:w="90"/>
              <w:right w:type="dxa" w:w="120"/>
            </w:tcMar>
          </w:tcPr>
          <w:p>
            <w:r>
              <w:rPr>
                <w:rFonts w:ascii="Calibri" w:cs="Calibri" w:eastAsia="Calibri" w:hAnsi="Calibri"/>
                <w:b/>
                <w:bCs/>
                <w:sz w:val="18"/>
                <w:szCs w:val="18"/>
              </w:rPr>
              <w:t xml:space="preserve">Item</w:t>
            </w:r>
          </w:p>
        </w:tc>
        <w:tc>
          <w:tcPr>
            <w:tcW w:type="dxa" w:w="1600"/>
            <w:shd w:fill="E3EEF2" w:val="clear"/>
            <w:tcMar>
              <w:top w:type="dxa" w:w="90"/>
              <w:left w:type="dxa" w:w="120"/>
              <w:bottom w:type="dxa" w:w="90"/>
              <w:right w:type="dxa" w:w="120"/>
            </w:tcMar>
          </w:tcPr>
          <w:p>
            <w:r>
              <w:rPr>
                <w:rFonts w:ascii="Calibri" w:cs="Calibri" w:eastAsia="Calibri" w:hAnsi="Calibri"/>
                <w:b/>
                <w:bCs/>
                <w:sz w:val="18"/>
                <w:szCs w:val="18"/>
              </w:rPr>
              <w:t xml:space="preserve">Count</w:t>
            </w:r>
          </w:p>
        </w:tc>
        <w:tc>
          <w:tcPr>
            <w:tcW w:type="dxa" w:w="3200"/>
            <w:shd w:fill="E3EEF2" w:val="clear"/>
            <w:tcMar>
              <w:top w:type="dxa" w:w="90"/>
              <w:left w:type="dxa" w:w="120"/>
              <w:bottom w:type="dxa" w:w="90"/>
              <w:right w:type="dxa" w:w="120"/>
            </w:tcMar>
          </w:tcPr>
          <w:p>
            <w:r>
              <w:rPr>
                <w:rFonts w:ascii="Calibri" w:cs="Calibri" w:eastAsia="Calibri" w:hAnsi="Calibri"/>
                <w:b/>
                <w:bCs/>
                <w:sz w:val="18"/>
                <w:szCs w:val="18"/>
              </w:rPr>
              <w:t xml:space="preserve">Blocked?</w:t>
            </w:r>
          </w:p>
        </w:tc>
      </w:tr>
      <w:tr>
        <w:tc>
          <w:tcPr>
            <w:tcW w:type="dxa" w:w="4400"/>
            <w:tcMar>
              <w:top w:type="dxa" w:w="90"/>
              <w:left w:type="dxa" w:w="120"/>
              <w:bottom w:type="dxa" w:w="90"/>
              <w:right w:type="dxa" w:w="120"/>
            </w:tcMar>
          </w:tcPr>
          <w:p>
            <w:r>
              <w:rPr>
                <w:rFonts w:ascii="Calibri" w:cs="Calibri" w:eastAsia="Calibri" w:hAnsi="Calibri"/>
                <w:b w:val="false"/>
                <w:bCs w:val="false"/>
                <w:sz w:val="18"/>
                <w:szCs w:val="18"/>
              </w:rPr>
              <w:t xml:space="preserve">Edits applied since revision 1</w:t>
            </w:r>
          </w:p>
        </w:tc>
        <w:tc>
          <w:tcPr>
            <w:tcW w:type="dxa" w:w="1600"/>
            <w:tcMar>
              <w:top w:type="dxa" w:w="90"/>
              <w:left w:type="dxa" w:w="120"/>
              <w:bottom w:type="dxa" w:w="90"/>
              <w:right w:type="dxa" w:w="120"/>
            </w:tcMar>
          </w:tcPr>
          <w:p>
            <w:r>
              <w:rPr>
                <w:rFonts w:ascii="Calibri" w:cs="Calibri" w:eastAsia="Calibri" w:hAnsi="Calibri"/>
                <w:b w:val="false"/>
                <w:bCs w:val="false"/>
                <w:sz w:val="18"/>
                <w:szCs w:val="18"/>
              </w:rPr>
              <w:t xml:space="preserve">3</w:t>
            </w:r>
          </w:p>
        </w:tc>
        <w:tc>
          <w:tcPr>
            <w:tcW w:type="dxa" w:w="3200"/>
            <w:tcMar>
              <w:top w:type="dxa" w:w="90"/>
              <w:left w:type="dxa" w:w="120"/>
              <w:bottom w:type="dxa" w:w="90"/>
              <w:right w:type="dxa" w:w="120"/>
            </w:tcMar>
          </w:tcPr>
          <w:p>
            <w:r>
              <w:rPr>
                <w:rFonts w:ascii="Calibri" w:cs="Calibri" w:eastAsia="Calibri" w:hAnsi="Calibri"/>
                <w:b w:val="false"/>
                <w:bCs w:val="false"/>
                <w:sz w:val="18"/>
                <w:szCs w:val="18"/>
              </w:rPr>
              <w:t xml:space="preserve">—</w:t>
            </w:r>
          </w:p>
        </w:tc>
      </w:tr>
      <w:tr>
        <w:tc>
          <w:tcPr>
            <w:tcW w:type="dxa" w:w="4400"/>
            <w:tcMar>
              <w:top w:type="dxa" w:w="90"/>
              <w:left w:type="dxa" w:w="120"/>
              <w:bottom w:type="dxa" w:w="90"/>
              <w:right w:type="dxa" w:w="120"/>
            </w:tcMar>
          </w:tcPr>
          <w:p>
            <w:r>
              <w:rPr>
                <w:rFonts w:ascii="Calibri" w:cs="Calibri" w:eastAsia="Calibri" w:hAnsi="Calibri"/>
                <w:b w:val="false"/>
                <w:bCs w:val="false"/>
                <w:sz w:val="18"/>
                <w:szCs w:val="18"/>
              </w:rPr>
              <w:t xml:space="preserve">Edits outstanding (Part 1)</w:t>
            </w:r>
          </w:p>
        </w:tc>
        <w:tc>
          <w:tcPr>
            <w:tcW w:type="dxa" w:w="1600"/>
            <w:tcMar>
              <w:top w:type="dxa" w:w="90"/>
              <w:left w:type="dxa" w:w="120"/>
              <w:bottom w:type="dxa" w:w="90"/>
              <w:right w:type="dxa" w:w="120"/>
            </w:tcMar>
          </w:tcPr>
          <w:p>
            <w:r>
              <w:rPr>
                <w:rFonts w:ascii="Calibri" w:cs="Calibri" w:eastAsia="Calibri" w:hAnsi="Calibri"/>
                <w:b w:val="false"/>
                <w:bCs w:val="false"/>
                <w:sz w:val="18"/>
                <w:szCs w:val="18"/>
              </w:rPr>
              <w:t xml:space="preserve">6</w:t>
            </w:r>
          </w:p>
        </w:tc>
        <w:tc>
          <w:tcPr>
            <w:tcW w:type="dxa" w:w="3200"/>
            <w:tcMar>
              <w:top w:type="dxa" w:w="90"/>
              <w:left w:type="dxa" w:w="120"/>
              <w:bottom w:type="dxa" w:w="90"/>
              <w:right w:type="dxa" w:w="120"/>
            </w:tcMar>
          </w:tcPr>
          <w:p>
            <w:r>
              <w:rPr>
                <w:rFonts w:ascii="Calibri" w:cs="Calibri" w:eastAsia="Calibri" w:hAnsi="Calibri"/>
                <w:b w:val="false"/>
                <w:bCs w:val="false"/>
                <w:sz w:val="18"/>
                <w:szCs w:val="18"/>
              </w:rPr>
              <w:t xml:space="preserve">No</w:t>
            </w:r>
          </w:p>
        </w:tc>
      </w:tr>
      <w:tr>
        <w:tc>
          <w:tcPr>
            <w:tcW w:type="dxa" w:w="4400"/>
            <w:tcMar>
              <w:top w:type="dxa" w:w="90"/>
              <w:left w:type="dxa" w:w="120"/>
              <w:bottom w:type="dxa" w:w="90"/>
              <w:right w:type="dxa" w:w="120"/>
            </w:tcMar>
          </w:tcPr>
          <w:p>
            <w:r>
              <w:rPr>
                <w:rFonts w:ascii="Calibri" w:cs="Calibri" w:eastAsia="Calibri" w:hAnsi="Calibri"/>
                <w:b w:val="false"/>
                <w:bCs w:val="false"/>
                <w:sz w:val="18"/>
                <w:szCs w:val="18"/>
              </w:rPr>
              <w:t xml:space="preserve">Passages awaiting the evaluation (Part 2)</w:t>
            </w:r>
          </w:p>
        </w:tc>
        <w:tc>
          <w:tcPr>
            <w:tcW w:type="dxa" w:w="1600"/>
            <w:tcMar>
              <w:top w:type="dxa" w:w="90"/>
              <w:left w:type="dxa" w:w="120"/>
              <w:bottom w:type="dxa" w:w="90"/>
              <w:right w:type="dxa" w:w="120"/>
            </w:tcMar>
          </w:tcPr>
          <w:p>
            <w:r>
              <w:rPr>
                <w:rFonts w:ascii="Calibri" w:cs="Calibri" w:eastAsia="Calibri" w:hAnsi="Calibri"/>
                <w:b w:val="false"/>
                <w:bCs w:val="false"/>
                <w:sz w:val="18"/>
                <w:szCs w:val="18"/>
              </w:rPr>
              <w:t xml:space="preserve">11</w:t>
            </w:r>
          </w:p>
        </w:tc>
        <w:tc>
          <w:tcPr>
            <w:tcW w:type="dxa" w:w="3200"/>
            <w:tcMar>
              <w:top w:type="dxa" w:w="90"/>
              <w:left w:type="dxa" w:w="120"/>
              <w:bottom w:type="dxa" w:w="90"/>
              <w:right w:type="dxa" w:w="120"/>
            </w:tcMar>
          </w:tcPr>
          <w:p>
            <w:r>
              <w:rPr>
                <w:rFonts w:ascii="Calibri" w:cs="Calibri" w:eastAsia="Calibri" w:hAnsi="Calibri"/>
                <w:b w:val="false"/>
                <w:bCs w:val="false"/>
                <w:sz w:val="18"/>
                <w:szCs w:val="18"/>
              </w:rPr>
              <w:t xml:space="preserve">Until responses are collected</w:t>
            </w:r>
          </w:p>
        </w:tc>
      </w:tr>
      <w:tr>
        <w:tc>
          <w:tcPr>
            <w:tcW w:type="dxa" w:w="4400"/>
            <w:tcMar>
              <w:top w:type="dxa" w:w="90"/>
              <w:left w:type="dxa" w:w="120"/>
              <w:bottom w:type="dxa" w:w="90"/>
              <w:right w:type="dxa" w:w="120"/>
            </w:tcMar>
          </w:tcPr>
          <w:p>
            <w:r>
              <w:rPr>
                <w:rFonts w:ascii="Calibri" w:cs="Calibri" w:eastAsia="Calibri" w:hAnsi="Calibri"/>
                <w:b w:val="false"/>
                <w:bCs w:val="false"/>
                <w:sz w:val="18"/>
                <w:szCs w:val="18"/>
              </w:rPr>
              <w:t xml:space="preserve">Chapters and appendices absent (Part 3)</w:t>
            </w:r>
          </w:p>
        </w:tc>
        <w:tc>
          <w:tcPr>
            <w:tcW w:type="dxa" w:w="1600"/>
            <w:tcMar>
              <w:top w:type="dxa" w:w="90"/>
              <w:left w:type="dxa" w:w="120"/>
              <w:bottom w:type="dxa" w:w="90"/>
              <w:right w:type="dxa" w:w="120"/>
            </w:tcMar>
          </w:tcPr>
          <w:p>
            <w:r>
              <w:rPr>
                <w:rFonts w:ascii="Calibri" w:cs="Calibri" w:eastAsia="Calibri" w:hAnsi="Calibri"/>
                <w:b w:val="false"/>
                <w:bCs w:val="false"/>
                <w:sz w:val="18"/>
                <w:szCs w:val="18"/>
              </w:rPr>
              <w:t xml:space="preserve">3</w:t>
            </w:r>
          </w:p>
        </w:tc>
        <w:tc>
          <w:tcPr>
            <w:tcW w:type="dxa" w:w="3200"/>
            <w:tcMar>
              <w:top w:type="dxa" w:w="90"/>
              <w:left w:type="dxa" w:w="120"/>
              <w:bottom w:type="dxa" w:w="90"/>
              <w:right w:type="dxa" w:w="120"/>
            </w:tcMar>
          </w:tcPr>
          <w:p>
            <w:r>
              <w:rPr>
                <w:rFonts w:ascii="Calibri" w:cs="Calibri" w:eastAsia="Calibri" w:hAnsi="Calibri"/>
                <w:b w:val="false"/>
                <w:bCs w:val="false"/>
                <w:sz w:val="18"/>
                <w:szCs w:val="18"/>
              </w:rPr>
              <w:t xml:space="preserve">Results is partly writable now</w:t>
            </w:r>
          </w:p>
        </w:tc>
      </w:tr>
    </w:tbl>
    <w:p>
      <w:pPr>
        <w:spacing w:after="240" w:line="300"/>
      </w:pPr>
      <w:r>
        <w:rPr>
          <w:rFonts w:ascii="Calibri" w:cs="Calibri" w:eastAsia="Calibri" w:hAnsi="Calibri"/>
          <w:b w:val="false"/>
          <w:bCs w:val="false"/>
          <w:i w:val="false"/>
          <w:iCs w:val="false"/>
          <w:color w:val="000000"/>
          <w:sz w:val="20"/>
          <w:szCs w:val="20"/>
        </w:rPr>
        <w:t xml:space="preserve"/>
      </w:r>
    </w:p>
    <w:p>
      <w:pPr>
        <w:spacing w:after="160" w:line="300"/>
      </w:pPr>
      <w:r>
        <w:rPr>
          <w:rFonts w:ascii="Calibri" w:cs="Calibri" w:eastAsia="Calibri" w:hAnsi="Calibri"/>
          <w:b/>
          <w:bCs/>
          <w:i w:val="false"/>
          <w:iCs w:val="false"/>
          <w:color w:val="000000"/>
          <w:sz w:val="20"/>
          <w:szCs w:val="20"/>
        </w:rPr>
        <w:t xml:space="preserve">The six edits in Part 1 can be applied in a single sitting. Everything else depends on running the human evaluation, and the system is deployed, so nothing stands in the way of distributing the questionnaires.</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Manuscript Edit List rev 2</dc:title>
  <dc:creator>ByteSize research team</dc:creator>
  <cp:lastModifiedBy>Un-named</cp:lastModifiedBy>
  <cp:revision>1</cp:revision>
  <dcterms:created xsi:type="dcterms:W3CDTF">2026-08-26T06:20:28.952Z</dcterms:created>
  <dcterms:modified xsi:type="dcterms:W3CDTF">2026-08-26T06:20:28.968Z</dcterms:modified>
</cp:coreProperties>
</file>

<file path=docProps/custom.xml><?xml version="1.0" encoding="utf-8"?>
<Properties xmlns="http://schemas.openxmlformats.org/officeDocument/2006/custom-properties" xmlns:vt="http://schemas.openxmlformats.org/officeDocument/2006/docPropsVTypes"/>
</file>