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100"/>
      </w:pPr>
      <w:r>
        <w:rPr>
          <w:rFonts w:ascii="Cambria" w:cs="Cambria" w:eastAsia="Cambria" w:hAnsi="Cambria"/>
          <w:b/>
          <w:bCs/>
          <w:sz w:val="42"/>
          <w:szCs w:val="42"/>
        </w:rPr>
        <w:t xml:space="preserve">CHAPTER 4</w:t>
      </w:r>
    </w:p>
    <w:p>
      <w:pPr>
        <w:spacing w:after="120"/>
      </w:pPr>
      <w:r>
        <w:rPr>
          <w:rFonts w:ascii="Cambria" w:cs="Cambria" w:eastAsia="Cambria" w:hAnsi="Cambria"/>
          <w:color w:val="1F6F8B"/>
          <w:sz w:val="26"/>
          <w:szCs w:val="26"/>
        </w:rPr>
        <w:t xml:space="preserve">Presentation, Analysis, and Interpretation of Results</w:t>
      </w:r>
    </w:p>
    <w:p>
      <w:pPr>
        <w:spacing w:after="170" w:line="300"/>
      </w:pPr>
      <w:r>
        <w:rPr>
          <w:rFonts w:ascii="Cambria" w:cs="Cambria" w:eastAsia="Cambria" w:hAnsi="Cambria"/>
          <w:b w:val="false"/>
          <w:bCs w:val="false"/>
          <w:i w:val="false"/>
          <w:iCs w:val="false"/>
          <w:color w:val="000000"/>
          <w:sz w:val="21"/>
          <w:szCs w:val="21"/>
        </w:rPr>
        <w:t xml:space="preserve">Working draft — Adaptive File Compression System Using Multi-Level Frequency Analysis &amp; Hybrid Huffman</w:t>
      </w:r>
    </w:p>
    <w:p>
      <w:pPr>
        <w:spacing w:after="170" w:line="300"/>
      </w:pPr>
      <w:r>
        <w:rPr>
          <w:rFonts w:ascii="Cambria" w:cs="Cambria" w:eastAsia="Cambria" w:hAnsi="Cambria"/>
          <w:b w:val="false"/>
          <w:bCs w:val="false"/>
          <w:i w:val="false"/>
          <w:iCs w:val="false"/>
          <w:color w:val="000000"/>
          <w:sz w:val="21"/>
          <w:szCs w:val="21"/>
        </w:rPr>
        <w:t xml:space="preserve">School of Computing, Holy Angel University</w:t>
      </w:r>
    </w:p>
    <w:p>
      <w:pPr>
        <w:pBdr>
          <w:top w:val="single" w:color="CCCCCC" w:sz="8" w:space="10"/>
        </w:pBdr>
        <w:spacing w:after="140" w:before="400"/>
      </w:pPr>
      <w:r>
        <w:rPr>
          <w:rFonts w:ascii="Cambria" w:cs="Cambria" w:eastAsia="Cambria" w:hAnsi="Cambria"/>
          <w:b/>
          <w:bCs/>
          <w:sz w:val="22"/>
          <w:szCs w:val="22"/>
        </w:rPr>
        <w:t xml:space="preserve">How this draft was built</w:t>
      </w:r>
    </w:p>
    <w:p>
      <w:pPr>
        <w:spacing w:after="170" w:line="300"/>
      </w:pPr>
      <w:r>
        <w:rPr>
          <w:rFonts w:ascii="Cambria" w:cs="Cambria" w:eastAsia="Cambria" w:hAnsi="Cambria"/>
          <w:b w:val="false"/>
          <w:bCs w:val="false"/>
          <w:i w:val="false"/>
          <w:iCs w:val="false"/>
          <w:color w:val="000000"/>
          <w:sz w:val="21"/>
          <w:szCs w:val="21"/>
        </w:rPr>
        <w:t xml:space="preserve">Every figure below was checked against your manuscript before use. Sections whose data does not yet exist are marked and contain placeholder text rather than numbers.</w:t>
      </w:r>
    </w:p>
    <w:p>
      <w:pPr>
        <w:pBdr>
          <w:left w:val="single" w:color="B9CFB9" w:sz="12" w:space="8"/>
        </w:pBdr>
        <w:shd w:fill="EDF3ED" w:val="clear"/>
        <w:spacing w:after="200" w:before="160"/>
        <w:ind w:left="300" w:right="220"/>
      </w:pPr>
      <w:r>
        <w:rPr>
          <w:rFonts w:ascii="Calibri" w:cs="Calibri" w:eastAsia="Calibri" w:hAnsi="Calibri"/>
          <w:sz w:val="20"/>
          <w:szCs w:val="20"/>
        </w:rPr>
        <w:t xml:space="preserve">Verified and safe to use: all corpus totals, preset results, format percentages, ablation byte counts, verification counts, and the PDF routing figures (454 / 145 / 1 across 600 measurements).</w:t>
      </w:r>
    </w:p>
    <w:p>
      <w:pPr>
        <w:pBdr>
          <w:left w:val="single" w:color="A8541F" w:sz="12" w:space="8"/>
        </w:pBdr>
        <w:shd w:fill="F7ECE3" w:val="clear"/>
        <w:spacing w:after="200" w:before="160"/>
        <w:ind w:left="300" w:right="220"/>
      </w:pPr>
      <w:r>
        <w:rPr>
          <w:rFonts w:ascii="Calibri" w:cs="Calibri" w:eastAsia="Calibri" w:hAnsi="Calibri"/>
          <w:sz w:val="20"/>
          <w:szCs w:val="20"/>
        </w:rPr>
        <w:t xml:space="preserve">Two figure sets circulating in your drafts do NOT appear anywhere in your manuscript and must not be used. First, absolute byte counts for the single-tier baseline and the reference compressors (483,818,402 / 363,636,460 / 344,398,593 / 321,292,604). Recomputing them from your F3 percentages gives values 6,000 to 21,000 bytes different, so they reconcile with nothing. Report percentages, which is what you measured. Second, ablation percentages of 0.81, 7.47 and 17.54, which use the full-system output as denominator. Your Appendix F4b uses the build each component is measured against and reports 0.80, 6.95 and 14.92. Keep yours or the chapter contradicts its own appendix.</w:t>
      </w:r>
    </w:p>
    <w:p>
      <w:pPr>
        <w:pStyle w:val="Heading1"/>
        <w:pageBreakBefore/>
        <w:pBdr>
          <w:bottom w:val="single" w:color="1F6F8B" w:sz="8" w:space="6"/>
        </w:pBdr>
        <w:spacing w:after="200" w:before="200"/>
      </w:pPr>
      <w:r>
        <w:rPr>
          <w:rFonts w:ascii="Cambria" w:cs="Cambria" w:eastAsia="Cambria" w:hAnsi="Cambria"/>
          <w:b/>
          <w:bCs/>
          <w:color w:val="1F6F8B"/>
          <w:sz w:val="28"/>
          <w:szCs w:val="28"/>
        </w:rPr>
        <w:t xml:space="preserve">4.1  Introduction</w:t>
      </w:r>
    </w:p>
    <w:p>
      <w:pPr>
        <w:spacing w:after="170" w:line="300"/>
      </w:pPr>
      <w:r>
        <w:rPr>
          <w:rFonts w:ascii="Cambria" w:cs="Cambria" w:eastAsia="Cambria" w:hAnsi="Cambria"/>
          <w:b w:val="false"/>
          <w:bCs w:val="false"/>
          <w:i w:val="false"/>
          <w:iCs w:val="false"/>
          <w:color w:val="000000"/>
          <w:sz w:val="21"/>
          <w:szCs w:val="21"/>
        </w:rPr>
        <w:t xml:space="preserve">This chapter presents, analyzes, and interprets the results of evaluating the ByteSize Adaptive File Compression System. The evaluation covers lossless reconstruction; compression effectiveness across the Canterbury, Silesia, and GovDocs1 corpora; comparison against a single-tier Huffman baseline and established reference compressors; component ablation; source-code quality aligned with ISO/IEC 5055; and human evaluation of technical quality and usability. Detailed file-level measurements and reproducibility records are provided in Appendix F, while this chapter presents the aggregate findings that answer the objectives directly.</w:t>
      </w:r>
    </w:p>
    <w:p>
      <w:pPr>
        <w:spacing w:after="170" w:line="300"/>
      </w:pPr>
      <w:r>
        <w:rPr>
          <w:rFonts w:ascii="Cambria" w:cs="Cambria" w:eastAsia="Cambria" w:hAnsi="Cambria"/>
          <w:b w:val="false"/>
          <w:bCs w:val="false"/>
          <w:i w:val="false"/>
          <w:iCs w:val="false"/>
          <w:color w:val="000000"/>
          <w:sz w:val="21"/>
          <w:szCs w:val="21"/>
        </w:rPr>
        <w:t xml:space="preserve">At the time of this revision the automated compression and source-code evaluations had been completed, while the repeated timing experiment and the technical-expert and end-user questionnaires had not yet been administered. Sections 4.7, 4.9, and 4.10 are therefore reported as pending and contain no results.</w:t>
      </w:r>
    </w:p>
    <w:p>
      <w:pPr>
        <w:pStyle w:val="Heading1"/>
        <w:pageBreakBefore/>
        <w:pBdr>
          <w:bottom w:val="single" w:color="1F6F8B" w:sz="8" w:space="6"/>
        </w:pBdr>
        <w:spacing w:after="200" w:before="200"/>
      </w:pPr>
      <w:r>
        <w:rPr>
          <w:rFonts w:ascii="Cambria" w:cs="Cambria" w:eastAsia="Cambria" w:hAnsi="Cambria"/>
          <w:b/>
          <w:bCs/>
          <w:color w:val="1F6F8B"/>
          <w:sz w:val="28"/>
          <w:szCs w:val="28"/>
        </w:rPr>
        <w:t xml:space="preserve">4.2  Verification of Lossless Reconstruction</w:t>
      </w:r>
    </w:p>
    <w:p>
      <w:pPr>
        <w:spacing w:after="170" w:line="300"/>
      </w:pPr>
      <w:r>
        <w:rPr>
          <w:rFonts w:ascii="Cambria" w:cs="Cambria" w:eastAsia="Cambria" w:hAnsi="Cambria"/>
          <w:b w:val="false"/>
          <w:bCs w:val="false"/>
          <w:i w:val="false"/>
          <w:iCs w:val="false"/>
          <w:color w:val="000000"/>
          <w:sz w:val="21"/>
          <w:szCs w:val="21"/>
        </w:rPr>
        <w:t xml:space="preserve">Correctness is reported before compression savings, because a reduction in output size is meaningful only if the original bytes can be recovered exactly. Every configuration reported in this chapter was decompressed and checked by exact byte comparison and by SHA-256 digest comparison against its source file.</w:t>
      </w:r>
    </w:p>
    <w:p>
      <w:pPr>
        <w:spacing w:after="40" w:before="280"/>
      </w:pPr>
      <w:r>
        <w:rPr>
          <w:rFonts w:ascii="Calibri" w:cs="Calibri" w:eastAsia="Calibri" w:hAnsi="Calibri"/>
          <w:b/>
          <w:bCs/>
          <w:sz w:val="20"/>
          <w:szCs w:val="20"/>
        </w:rPr>
        <w:t xml:space="preserve">Table 4.1</w:t>
      </w:r>
    </w:p>
    <w:p>
      <w:pPr>
        <w:spacing w:after="120"/>
      </w:pPr>
      <w:r>
        <w:rPr>
          <w:rFonts w:ascii="Calibri" w:cs="Calibri" w:eastAsia="Calibri" w:hAnsi="Calibri"/>
          <w:i/>
          <w:iCs/>
          <w:sz w:val="20"/>
          <w:szCs w:val="20"/>
        </w:rPr>
        <w:t xml:space="preserve">Summary of Lossless Verification by Corpus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1800"/>
        <w:gridCol w:w="1400"/>
        <w:gridCol w:w="1700"/>
        <w:gridCol w:w="1000"/>
      </w:tblGrid>
      <w:tr>
        <w:trPr>
          <w:tblHeader/>
        </w:trPr>
        <w:tc>
          <w:tcPr>
            <w:tcW w:type="dxa" w:w="2900"/>
            <w:shd w:fill="E3EEF2" w:val="clear"/>
            <w:tcMar>
              <w:top w:type="dxa" w:w="75"/>
              <w:left w:type="dxa" w:w="100"/>
              <w:bottom w:type="dxa" w:w="75"/>
              <w:right w:type="dxa" w:w="100"/>
            </w:tcMar>
          </w:tcPr>
          <w:p>
            <w:pPr>
              <w:jc w:val="left"/>
            </w:pPr>
            <w:r>
              <w:rPr>
                <w:rFonts w:ascii="Calibri" w:cs="Calibri" w:eastAsia="Calibri" w:hAnsi="Calibri"/>
                <w:b/>
                <w:bCs/>
                <w:sz w:val="16"/>
                <w:szCs w:val="16"/>
              </w:rPr>
              <w:t xml:space="preserve">Corpus</w:t>
            </w:r>
          </w:p>
        </w:tc>
        <w:tc>
          <w:tcPr>
            <w:tcW w:type="dxa" w:w="900"/>
            <w:shd w:fill="E3EEF2" w:val="clear"/>
            <w:tcMar>
              <w:top w:type="dxa" w:w="75"/>
              <w:left w:type="dxa" w:w="100"/>
              <w:bottom w:type="dxa" w:w="75"/>
              <w:right w:type="dxa" w:w="100"/>
            </w:tcMar>
          </w:tcPr>
          <w:p>
            <w:pPr>
              <w:jc w:val="right"/>
            </w:pPr>
            <w:r>
              <w:rPr>
                <w:rFonts w:ascii="Calibri" w:cs="Calibri" w:eastAsia="Calibri" w:hAnsi="Calibri"/>
                <w:b/>
                <w:bCs/>
                <w:sz w:val="16"/>
                <w:szCs w:val="16"/>
              </w:rPr>
              <w:t xml:space="preserve">Files</w:t>
            </w:r>
          </w:p>
        </w:tc>
        <w:tc>
          <w:tcPr>
            <w:tcW w:type="dxa" w:w="1800"/>
            <w:shd w:fill="E3EEF2" w:val="clear"/>
            <w:tcMar>
              <w:top w:type="dxa" w:w="75"/>
              <w:left w:type="dxa" w:w="100"/>
              <w:bottom w:type="dxa" w:w="75"/>
              <w:right w:type="dxa" w:w="100"/>
            </w:tcMar>
          </w:tcPr>
          <w:p>
            <w:pPr>
              <w:jc w:val="right"/>
            </w:pPr>
            <w:r>
              <w:rPr>
                <w:rFonts w:ascii="Calibri" w:cs="Calibri" w:eastAsia="Calibri" w:hAnsi="Calibri"/>
                <w:b/>
                <w:bCs/>
                <w:sz w:val="16"/>
                <w:szCs w:val="16"/>
              </w:rPr>
              <w:t xml:space="preserve">Configurations</w:t>
            </w:r>
          </w:p>
        </w:tc>
        <w:tc>
          <w:tcPr>
            <w:tcW w:type="dxa" w:w="1400"/>
            <w:shd w:fill="E3EEF2" w:val="clear"/>
            <w:tcMar>
              <w:top w:type="dxa" w:w="75"/>
              <w:left w:type="dxa" w:w="100"/>
              <w:bottom w:type="dxa" w:w="75"/>
              <w:right w:type="dxa" w:w="100"/>
            </w:tcMar>
          </w:tcPr>
          <w:p>
            <w:pPr>
              <w:jc w:val="right"/>
            </w:pPr>
            <w:r>
              <w:rPr>
                <w:rFonts w:ascii="Calibri" w:cs="Calibri" w:eastAsia="Calibri" w:hAnsi="Calibri"/>
                <w:b/>
                <w:bCs/>
                <w:sz w:val="16"/>
                <w:szCs w:val="16"/>
              </w:rPr>
              <w:t xml:space="preserve">Byte-equal</w:t>
            </w:r>
          </w:p>
        </w:tc>
        <w:tc>
          <w:tcPr>
            <w:tcW w:type="dxa" w:w="1700"/>
            <w:shd w:fill="E3EEF2" w:val="clear"/>
            <w:tcMar>
              <w:top w:type="dxa" w:w="75"/>
              <w:left w:type="dxa" w:w="100"/>
              <w:bottom w:type="dxa" w:w="75"/>
              <w:right w:type="dxa" w:w="100"/>
            </w:tcMar>
          </w:tcPr>
          <w:p>
            <w:pPr>
              <w:jc w:val="right"/>
            </w:pPr>
            <w:r>
              <w:rPr>
                <w:rFonts w:ascii="Calibri" w:cs="Calibri" w:eastAsia="Calibri" w:hAnsi="Calibri"/>
                <w:b/>
                <w:bCs/>
                <w:sz w:val="16"/>
                <w:szCs w:val="16"/>
              </w:rPr>
              <w:t xml:space="preserve">SHA-256 matches</w:t>
            </w:r>
          </w:p>
        </w:tc>
        <w:tc>
          <w:tcPr>
            <w:tcW w:type="dxa" w:w="1000"/>
            <w:shd w:fill="E3EEF2" w:val="clear"/>
            <w:tcMar>
              <w:top w:type="dxa" w:w="75"/>
              <w:left w:type="dxa" w:w="100"/>
              <w:bottom w:type="dxa" w:w="75"/>
              <w:right w:type="dxa" w:w="100"/>
            </w:tcMar>
          </w:tcPr>
          <w:p>
            <w:pPr>
              <w:jc w:val="right"/>
            </w:pPr>
            <w:r>
              <w:rPr>
                <w:rFonts w:ascii="Calibri" w:cs="Calibri" w:eastAsia="Calibri" w:hAnsi="Calibri"/>
                <w:b/>
                <w:bCs/>
                <w:sz w:val="16"/>
                <w:szCs w:val="16"/>
              </w:rPr>
              <w:t xml:space="preserve">Failures</w:t>
            </w:r>
          </w:p>
        </w:tc>
      </w:tr>
      <w:tr>
        <w:trPr>
          <w:tblHeader w:val="false"/>
        </w:trPr>
        <w:tc>
          <w:tcPr>
            <w:tcW w:type="dxa" w:w="29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Canterbury</w:t>
            </w:r>
          </w:p>
        </w:tc>
        <w:tc>
          <w:tcPr>
            <w:tcW w:type="dxa" w:w="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11</w:t>
            </w:r>
          </w:p>
        </w:tc>
        <w:tc>
          <w:tcPr>
            <w:tcW w:type="dxa" w:w="18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33</w:t>
            </w:r>
          </w:p>
        </w:tc>
        <w:tc>
          <w:tcPr>
            <w:tcW w:type="dxa" w:w="14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33</w:t>
            </w:r>
          </w:p>
        </w:tc>
        <w:tc>
          <w:tcPr>
            <w:tcW w:type="dxa" w:w="17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33</w:t>
            </w:r>
          </w:p>
        </w:tc>
        <w:tc>
          <w:tcPr>
            <w:tcW w:type="dxa" w:w="10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0</w:t>
            </w:r>
          </w:p>
        </w:tc>
      </w:tr>
      <w:tr>
        <w:trPr>
          <w:tblHeader w:val="false"/>
        </w:trPr>
        <w:tc>
          <w:tcPr>
            <w:tcW w:type="dxa" w:w="29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Silesia</w:t>
            </w:r>
          </w:p>
        </w:tc>
        <w:tc>
          <w:tcPr>
            <w:tcW w:type="dxa" w:w="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12</w:t>
            </w:r>
          </w:p>
        </w:tc>
        <w:tc>
          <w:tcPr>
            <w:tcW w:type="dxa" w:w="18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36</w:t>
            </w:r>
          </w:p>
        </w:tc>
        <w:tc>
          <w:tcPr>
            <w:tcW w:type="dxa" w:w="14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36</w:t>
            </w:r>
          </w:p>
        </w:tc>
        <w:tc>
          <w:tcPr>
            <w:tcW w:type="dxa" w:w="17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36</w:t>
            </w:r>
          </w:p>
        </w:tc>
        <w:tc>
          <w:tcPr>
            <w:tcW w:type="dxa" w:w="10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0</w:t>
            </w:r>
          </w:p>
        </w:tc>
      </w:tr>
      <w:tr>
        <w:trPr>
          <w:tblHeader w:val="false"/>
        </w:trPr>
        <w:tc>
          <w:tcPr>
            <w:tcW w:type="dxa" w:w="29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GovDocs1 thread 000</w:t>
            </w:r>
          </w:p>
        </w:tc>
        <w:tc>
          <w:tcPr>
            <w:tcW w:type="dxa" w:w="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980</w:t>
            </w:r>
          </w:p>
        </w:tc>
        <w:tc>
          <w:tcPr>
            <w:tcW w:type="dxa" w:w="18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2,940</w:t>
            </w:r>
          </w:p>
        </w:tc>
        <w:tc>
          <w:tcPr>
            <w:tcW w:type="dxa" w:w="14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2,940</w:t>
            </w:r>
          </w:p>
        </w:tc>
        <w:tc>
          <w:tcPr>
            <w:tcW w:type="dxa" w:w="17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2,940</w:t>
            </w:r>
          </w:p>
        </w:tc>
        <w:tc>
          <w:tcPr>
            <w:tcW w:type="dxa" w:w="10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0</w:t>
            </w:r>
          </w:p>
        </w:tc>
      </w:tr>
      <w:tr>
        <w:trPr>
          <w:tblHeader w:val="false"/>
        </w:trPr>
        <w:tc>
          <w:tcPr>
            <w:tcW w:type="dxa" w:w="29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Ablation — repository corpus</w:t>
            </w:r>
          </w:p>
        </w:tc>
        <w:tc>
          <w:tcPr>
            <w:tcW w:type="dxa" w:w="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14</w:t>
            </w:r>
          </w:p>
        </w:tc>
        <w:tc>
          <w:tcPr>
            <w:tcW w:type="dxa" w:w="18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56</w:t>
            </w:r>
          </w:p>
        </w:tc>
        <w:tc>
          <w:tcPr>
            <w:tcW w:type="dxa" w:w="14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56</w:t>
            </w:r>
          </w:p>
        </w:tc>
        <w:tc>
          <w:tcPr>
            <w:tcW w:type="dxa" w:w="17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56</w:t>
            </w:r>
          </w:p>
        </w:tc>
        <w:tc>
          <w:tcPr>
            <w:tcW w:type="dxa" w:w="10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0</w:t>
            </w:r>
          </w:p>
        </w:tc>
      </w:tr>
      <w:tr>
        <w:trPr>
          <w:tblHeader w:val="false"/>
        </w:trPr>
        <w:tc>
          <w:tcPr>
            <w:tcW w:type="dxa" w:w="29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Ablation — GovDocs1 subset</w:t>
            </w:r>
          </w:p>
        </w:tc>
        <w:tc>
          <w:tcPr>
            <w:tcW w:type="dxa" w:w="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602</w:t>
            </w:r>
          </w:p>
        </w:tc>
        <w:tc>
          <w:tcPr>
            <w:tcW w:type="dxa" w:w="18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2,408</w:t>
            </w:r>
          </w:p>
        </w:tc>
        <w:tc>
          <w:tcPr>
            <w:tcW w:type="dxa" w:w="14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2,408</w:t>
            </w:r>
          </w:p>
        </w:tc>
        <w:tc>
          <w:tcPr>
            <w:tcW w:type="dxa" w:w="17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2,408</w:t>
            </w:r>
          </w:p>
        </w:tc>
        <w:tc>
          <w:tcPr>
            <w:tcW w:type="dxa" w:w="10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0</w:t>
            </w:r>
          </w:p>
        </w:tc>
      </w:tr>
    </w:tbl>
    <w:p>
      <w:pPr>
        <w:spacing w:after="220" w:before="100"/>
      </w:pPr>
      <w:r>
        <w:rPr>
          <w:rFonts w:ascii="Calibri" w:cs="Calibri" w:eastAsia="Calibri" w:hAnsi="Calibri"/>
          <w:i/>
          <w:iCs/>
          <w:sz w:val="18"/>
          <w:szCs w:val="18"/>
        </w:rPr>
        <w:t xml:space="preserve">Note. </w:t>
      </w:r>
      <w:r>
        <w:rPr>
          <w:rFonts w:ascii="Calibri" w:cs="Calibri" w:eastAsia="Calibri" w:hAnsi="Calibri"/>
          <w:sz w:val="18"/>
          <w:szCs w:val="18"/>
        </w:rPr>
        <w:t xml:space="preserve">Configurations are file and preset pairs for the corpus rows and file and build pairs for the ablation rows. Every configuration was verified before its size was counted.</w:t>
      </w:r>
    </w:p>
    <w:p>
      <w:pPr>
        <w:spacing w:after="170" w:line="300"/>
      </w:pPr>
      <w:r>
        <w:rPr>
          <w:rFonts w:ascii="Cambria" w:cs="Cambria" w:eastAsia="Cambria" w:hAnsi="Cambria"/>
          <w:b w:val="false"/>
          <w:bCs w:val="false"/>
          <w:i w:val="false"/>
          <w:iCs w:val="false"/>
          <w:color w:val="000000"/>
          <w:sz w:val="21"/>
          <w:szCs w:val="21"/>
        </w:rPr>
        <w:t xml:space="preserve">No configuration failed verification. The reductions reported in the sections that follow were therefore achieved without modifying or losing source data, which satisfies the study's central requirement of lossless compression. Sixty GovDocs1 files that did not reduce were stored verbatim through the raw-storage fallback and reconstructed exactly, confirming that the size guard prevents expansion on incompressible input rather than producing a container larger than its source.</w:t>
      </w:r>
    </w:p>
    <w:p>
      <w:pPr>
        <w:pStyle w:val="Heading1"/>
        <w:pageBreakBefore/>
        <w:pBdr>
          <w:bottom w:val="single" w:color="1F6F8B" w:sz="8" w:space="6"/>
        </w:pBdr>
        <w:spacing w:after="200" w:before="200"/>
      </w:pPr>
      <w:r>
        <w:rPr>
          <w:rFonts w:ascii="Cambria" w:cs="Cambria" w:eastAsia="Cambria" w:hAnsi="Cambria"/>
          <w:b/>
          <w:bCs/>
          <w:color w:val="1F6F8B"/>
          <w:sz w:val="28"/>
          <w:szCs w:val="28"/>
        </w:rPr>
        <w:t xml:space="preserve">4.3  Compression Effectiveness Across the Benchmark Corpora</w:t>
      </w:r>
    </w:p>
    <w:p>
      <w:pPr>
        <w:spacing w:after="170" w:line="300"/>
      </w:pPr>
      <w:r>
        <w:rPr>
          <w:rFonts w:ascii="Cambria" w:cs="Cambria" w:eastAsia="Cambria" w:hAnsi="Cambria"/>
          <w:b w:val="false"/>
          <w:bCs w:val="false"/>
          <w:i w:val="false"/>
          <w:iCs w:val="false"/>
          <w:color w:val="000000"/>
          <w:sz w:val="21"/>
          <w:szCs w:val="21"/>
        </w:rPr>
        <w:t xml:space="preserve">Three corpora were evaluated. Canterbury and Silesia provided established benchmarks against which behavior could be compared across file types, and GovDocs1 thread 000 supplied a large sample of real-world documents used as distributed, without selection on file type or content.</w:t>
      </w:r>
    </w:p>
    <w:p>
      <w:pPr>
        <w:spacing w:after="40" w:before="280"/>
      </w:pPr>
      <w:r>
        <w:rPr>
          <w:rFonts w:ascii="Calibri" w:cs="Calibri" w:eastAsia="Calibri" w:hAnsi="Calibri"/>
          <w:b/>
          <w:bCs/>
          <w:sz w:val="20"/>
          <w:szCs w:val="20"/>
        </w:rPr>
        <w:t xml:space="preserve">Table 4.2</w:t>
      </w:r>
    </w:p>
    <w:p>
      <w:pPr>
        <w:spacing w:after="120"/>
      </w:pPr>
      <w:r>
        <w:rPr>
          <w:rFonts w:ascii="Calibri" w:cs="Calibri" w:eastAsia="Calibri" w:hAnsi="Calibri"/>
          <w:i/>
          <w:iCs/>
          <w:sz w:val="20"/>
          <w:szCs w:val="20"/>
        </w:rPr>
        <w:t xml:space="preserve">Aggregate Compression Results by Corpus and Preset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1900"/>
        <w:gridCol w:w="1500"/>
        <w:gridCol w:w="1900"/>
        <w:gridCol w:w="1100"/>
        <w:gridCol w:w="900"/>
      </w:tblGrid>
      <w:tr>
        <w:trPr>
          <w:tblHeader/>
        </w:trPr>
        <w:tc>
          <w:tcPr>
            <w:tcW w:type="dxa" w:w="1700"/>
            <w:shd w:fill="E3EEF2" w:val="clear"/>
            <w:tcMar>
              <w:top w:type="dxa" w:w="75"/>
              <w:left w:type="dxa" w:w="100"/>
              <w:bottom w:type="dxa" w:w="75"/>
              <w:right w:type="dxa" w:w="100"/>
            </w:tcMar>
          </w:tcPr>
          <w:p>
            <w:pPr>
              <w:jc w:val="left"/>
            </w:pPr>
            <w:r>
              <w:rPr>
                <w:rFonts w:ascii="Calibri" w:cs="Calibri" w:eastAsia="Calibri" w:hAnsi="Calibri"/>
                <w:b/>
                <w:bCs/>
                <w:sz w:val="16"/>
                <w:szCs w:val="16"/>
              </w:rPr>
              <w:t xml:space="preserve">Corpus</w:t>
            </w:r>
          </w:p>
        </w:tc>
        <w:tc>
          <w:tcPr>
            <w:tcW w:type="dxa" w:w="700"/>
            <w:shd w:fill="E3EEF2" w:val="clear"/>
            <w:tcMar>
              <w:top w:type="dxa" w:w="75"/>
              <w:left w:type="dxa" w:w="100"/>
              <w:bottom w:type="dxa" w:w="75"/>
              <w:right w:type="dxa" w:w="100"/>
            </w:tcMar>
          </w:tcPr>
          <w:p>
            <w:pPr>
              <w:jc w:val="right"/>
            </w:pPr>
            <w:r>
              <w:rPr>
                <w:rFonts w:ascii="Calibri" w:cs="Calibri" w:eastAsia="Calibri" w:hAnsi="Calibri"/>
                <w:b/>
                <w:bCs/>
                <w:sz w:val="16"/>
                <w:szCs w:val="16"/>
              </w:rPr>
              <w:t xml:space="preserve">Files</w:t>
            </w:r>
          </w:p>
        </w:tc>
        <w:tc>
          <w:tcPr>
            <w:tcW w:type="dxa" w:w="1900"/>
            <w:shd w:fill="E3EEF2" w:val="clear"/>
            <w:tcMar>
              <w:top w:type="dxa" w:w="75"/>
              <w:left w:type="dxa" w:w="100"/>
              <w:bottom w:type="dxa" w:w="75"/>
              <w:right w:type="dxa" w:w="100"/>
            </w:tcMar>
          </w:tcPr>
          <w:p>
            <w:pPr>
              <w:jc w:val="right"/>
            </w:pPr>
            <w:r>
              <w:rPr>
                <w:rFonts w:ascii="Calibri" w:cs="Calibri" w:eastAsia="Calibri" w:hAnsi="Calibri"/>
                <w:b/>
                <w:bCs/>
                <w:sz w:val="16"/>
                <w:szCs w:val="16"/>
              </w:rPr>
              <w:t xml:space="preserve">Original bytes</w:t>
            </w:r>
          </w:p>
        </w:tc>
        <w:tc>
          <w:tcPr>
            <w:tcW w:type="dxa" w:w="1500"/>
            <w:shd w:fill="E3EEF2" w:val="clear"/>
            <w:tcMar>
              <w:top w:type="dxa" w:w="75"/>
              <w:left w:type="dxa" w:w="100"/>
              <w:bottom w:type="dxa" w:w="75"/>
              <w:right w:type="dxa" w:w="100"/>
            </w:tcMar>
          </w:tcPr>
          <w:p>
            <w:pPr>
              <w:jc w:val="right"/>
            </w:pPr>
            <w:r>
              <w:rPr>
                <w:rFonts w:ascii="Calibri" w:cs="Calibri" w:eastAsia="Calibri" w:hAnsi="Calibri"/>
                <w:b/>
                <w:bCs/>
                <w:sz w:val="16"/>
                <w:szCs w:val="16"/>
              </w:rPr>
              <w:t xml:space="preserve">Preset</w:t>
            </w:r>
          </w:p>
        </w:tc>
        <w:tc>
          <w:tcPr>
            <w:tcW w:type="dxa" w:w="1900"/>
            <w:shd w:fill="E3EEF2" w:val="clear"/>
            <w:tcMar>
              <w:top w:type="dxa" w:w="75"/>
              <w:left w:type="dxa" w:w="100"/>
              <w:bottom w:type="dxa" w:w="75"/>
              <w:right w:type="dxa" w:w="100"/>
            </w:tcMar>
          </w:tcPr>
          <w:p>
            <w:pPr>
              <w:jc w:val="right"/>
            </w:pPr>
            <w:r>
              <w:rPr>
                <w:rFonts w:ascii="Calibri" w:cs="Calibri" w:eastAsia="Calibri" w:hAnsi="Calibri"/>
                <w:b/>
                <w:bCs/>
                <w:sz w:val="16"/>
                <w:szCs w:val="16"/>
              </w:rPr>
              <w:t xml:space="preserve">Compressed bytes</w:t>
            </w:r>
          </w:p>
        </w:tc>
        <w:tc>
          <w:tcPr>
            <w:tcW w:type="dxa" w:w="1100"/>
            <w:shd w:fill="E3EEF2" w:val="clear"/>
            <w:tcMar>
              <w:top w:type="dxa" w:w="75"/>
              <w:left w:type="dxa" w:w="100"/>
              <w:bottom w:type="dxa" w:w="75"/>
              <w:right w:type="dxa" w:w="100"/>
            </w:tcMar>
          </w:tcPr>
          <w:p>
            <w:pPr>
              <w:jc w:val="right"/>
            </w:pPr>
            <w:r>
              <w:rPr>
                <w:rFonts w:ascii="Calibri" w:cs="Calibri" w:eastAsia="Calibri" w:hAnsi="Calibri"/>
                <w:b/>
                <w:bCs/>
                <w:sz w:val="16"/>
                <w:szCs w:val="16"/>
              </w:rPr>
              <w:t xml:space="preserve">Saved</w:t>
            </w:r>
          </w:p>
        </w:tc>
        <w:tc>
          <w:tcPr>
            <w:tcW w:type="dxa" w:w="900"/>
            <w:shd w:fill="E3EEF2" w:val="clear"/>
            <w:tcMar>
              <w:top w:type="dxa" w:w="75"/>
              <w:left w:type="dxa" w:w="100"/>
              <w:bottom w:type="dxa" w:w="75"/>
              <w:right w:type="dxa" w:w="100"/>
            </w:tcMar>
          </w:tcPr>
          <w:p>
            <w:pPr>
              <w:jc w:val="right"/>
            </w:pPr>
            <w:r>
              <w:rPr>
                <w:rFonts w:ascii="Calibri" w:cs="Calibri" w:eastAsia="Calibri" w:hAnsi="Calibri"/>
                <w:b/>
                <w:bCs/>
                <w:sz w:val="16"/>
                <w:szCs w:val="16"/>
              </w:rPr>
              <w:t xml:space="preserve">Ratio</w:t>
            </w:r>
          </w:p>
        </w:tc>
      </w:tr>
      <w:tr>
        <w:trPr>
          <w:tblHeader w:val="false"/>
        </w:trPr>
        <w:tc>
          <w:tcPr>
            <w:tcW w:type="dxa" w:w="17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Canterbury</w:t>
            </w:r>
          </w:p>
        </w:tc>
        <w:tc>
          <w:tcPr>
            <w:tcW w:type="dxa" w:w="7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11</w:t>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2,810,784</w:t>
            </w:r>
          </w:p>
        </w:tc>
        <w:tc>
          <w:tcPr>
            <w:tcW w:type="dxa" w:w="15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Fast</w:t>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906,759</w:t>
            </w:r>
          </w:p>
        </w:tc>
        <w:tc>
          <w:tcPr>
            <w:tcW w:type="dxa" w:w="11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67.74%</w:t>
            </w:r>
          </w:p>
        </w:tc>
        <w:tc>
          <w:tcPr>
            <w:tcW w:type="dxa" w:w="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3.10</w:t>
            </w:r>
          </w:p>
        </w:tc>
      </w:tr>
      <w:tr>
        <w:trPr>
          <w:tblHeader w:val="false"/>
        </w:trPr>
        <w:tc>
          <w:tcPr>
            <w:tcW w:type="dxa" w:w="17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
            </w:r>
          </w:p>
        </w:tc>
        <w:tc>
          <w:tcPr>
            <w:tcW w:type="dxa" w:w="7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
            </w:r>
          </w:p>
        </w:tc>
        <w:tc>
          <w:tcPr>
            <w:tcW w:type="dxa" w:w="15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Balanced</w:t>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789,536</w:t>
            </w:r>
          </w:p>
        </w:tc>
        <w:tc>
          <w:tcPr>
            <w:tcW w:type="dxa" w:w="11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71.91%</w:t>
            </w:r>
          </w:p>
        </w:tc>
        <w:tc>
          <w:tcPr>
            <w:tcW w:type="dxa" w:w="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3.56</w:t>
            </w:r>
          </w:p>
        </w:tc>
      </w:tr>
      <w:tr>
        <w:trPr>
          <w:tblHeader w:val="false"/>
        </w:trPr>
        <w:tc>
          <w:tcPr>
            <w:tcW w:type="dxa" w:w="17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
            </w:r>
          </w:p>
        </w:tc>
        <w:tc>
          <w:tcPr>
            <w:tcW w:type="dxa" w:w="7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
            </w:r>
          </w:p>
        </w:tc>
        <w:tc>
          <w:tcPr>
            <w:tcW w:type="dxa" w:w="15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Maximum</w:t>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779,600</w:t>
            </w:r>
          </w:p>
        </w:tc>
        <w:tc>
          <w:tcPr>
            <w:tcW w:type="dxa" w:w="11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72.26%</w:t>
            </w:r>
          </w:p>
        </w:tc>
        <w:tc>
          <w:tcPr>
            <w:tcW w:type="dxa" w:w="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3.61</w:t>
            </w:r>
          </w:p>
        </w:tc>
      </w:tr>
      <w:tr>
        <w:trPr>
          <w:tblHeader w:val="false"/>
        </w:trPr>
        <w:tc>
          <w:tcPr>
            <w:tcW w:type="dxa" w:w="17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Silesia</w:t>
            </w:r>
          </w:p>
        </w:tc>
        <w:tc>
          <w:tcPr>
            <w:tcW w:type="dxa" w:w="7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12</w:t>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211,938,580</w:t>
            </w:r>
          </w:p>
        </w:tc>
        <w:tc>
          <w:tcPr>
            <w:tcW w:type="dxa" w:w="15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Fast</w:t>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98,977,766</w:t>
            </w:r>
          </w:p>
        </w:tc>
        <w:tc>
          <w:tcPr>
            <w:tcW w:type="dxa" w:w="11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53.30%</w:t>
            </w:r>
          </w:p>
        </w:tc>
        <w:tc>
          <w:tcPr>
            <w:tcW w:type="dxa" w:w="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2.14</w:t>
            </w:r>
          </w:p>
        </w:tc>
      </w:tr>
      <w:tr>
        <w:trPr>
          <w:tblHeader w:val="false"/>
        </w:trPr>
        <w:tc>
          <w:tcPr>
            <w:tcW w:type="dxa" w:w="17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
            </w:r>
          </w:p>
        </w:tc>
        <w:tc>
          <w:tcPr>
            <w:tcW w:type="dxa" w:w="7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
            </w:r>
          </w:p>
        </w:tc>
        <w:tc>
          <w:tcPr>
            <w:tcW w:type="dxa" w:w="15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Balanced</w:t>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87,133,292</w:t>
            </w:r>
          </w:p>
        </w:tc>
        <w:tc>
          <w:tcPr>
            <w:tcW w:type="dxa" w:w="11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58.89%</w:t>
            </w:r>
          </w:p>
        </w:tc>
        <w:tc>
          <w:tcPr>
            <w:tcW w:type="dxa" w:w="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2.43</w:t>
            </w:r>
          </w:p>
        </w:tc>
      </w:tr>
      <w:tr>
        <w:trPr>
          <w:tblHeader w:val="false"/>
        </w:trPr>
        <w:tc>
          <w:tcPr>
            <w:tcW w:type="dxa" w:w="17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
            </w:r>
          </w:p>
        </w:tc>
        <w:tc>
          <w:tcPr>
            <w:tcW w:type="dxa" w:w="7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
            </w:r>
          </w:p>
        </w:tc>
        <w:tc>
          <w:tcPr>
            <w:tcW w:type="dxa" w:w="15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Maximum</w:t>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83,102,753</w:t>
            </w:r>
          </w:p>
        </w:tc>
        <w:tc>
          <w:tcPr>
            <w:tcW w:type="dxa" w:w="11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60.79%</w:t>
            </w:r>
          </w:p>
        </w:tc>
        <w:tc>
          <w:tcPr>
            <w:tcW w:type="dxa" w:w="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2.55</w:t>
            </w:r>
          </w:p>
        </w:tc>
      </w:tr>
      <w:tr>
        <w:trPr>
          <w:tblHeader w:val="false"/>
        </w:trPr>
        <w:tc>
          <w:tcPr>
            <w:tcW w:type="dxa" w:w="17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GovDocs1</w:t>
            </w:r>
          </w:p>
        </w:tc>
        <w:tc>
          <w:tcPr>
            <w:tcW w:type="dxa" w:w="7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980</w:t>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627,788,678</w:t>
            </w:r>
          </w:p>
        </w:tc>
        <w:tc>
          <w:tcPr>
            <w:tcW w:type="dxa" w:w="15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Fast</w:t>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408,464,268</w:t>
            </w:r>
          </w:p>
        </w:tc>
        <w:tc>
          <w:tcPr>
            <w:tcW w:type="dxa" w:w="11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34.94%</w:t>
            </w:r>
          </w:p>
        </w:tc>
        <w:tc>
          <w:tcPr>
            <w:tcW w:type="dxa" w:w="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w:t>
            </w:r>
          </w:p>
        </w:tc>
      </w:tr>
      <w:tr>
        <w:trPr>
          <w:tblHeader w:val="false"/>
        </w:trPr>
        <w:tc>
          <w:tcPr>
            <w:tcW w:type="dxa" w:w="17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
            </w:r>
          </w:p>
        </w:tc>
        <w:tc>
          <w:tcPr>
            <w:tcW w:type="dxa" w:w="7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
            </w:r>
          </w:p>
        </w:tc>
        <w:tc>
          <w:tcPr>
            <w:tcW w:type="dxa" w:w="15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Balanced</w:t>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395,305,152</w:t>
            </w:r>
          </w:p>
        </w:tc>
        <w:tc>
          <w:tcPr>
            <w:tcW w:type="dxa" w:w="11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37.03%</w:t>
            </w:r>
          </w:p>
        </w:tc>
        <w:tc>
          <w:tcPr>
            <w:tcW w:type="dxa" w:w="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w:t>
            </w:r>
          </w:p>
        </w:tc>
      </w:tr>
      <w:tr>
        <w:trPr>
          <w:tblHeader w:val="false"/>
        </w:trPr>
        <w:tc>
          <w:tcPr>
            <w:tcW w:type="dxa" w:w="17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
            </w:r>
          </w:p>
        </w:tc>
        <w:tc>
          <w:tcPr>
            <w:tcW w:type="dxa" w:w="7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
            </w:r>
          </w:p>
        </w:tc>
        <w:tc>
          <w:tcPr>
            <w:tcW w:type="dxa" w:w="15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Maximum</w:t>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389,305,297</w:t>
            </w:r>
          </w:p>
        </w:tc>
        <w:tc>
          <w:tcPr>
            <w:tcW w:type="dxa" w:w="11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37.99%</w:t>
            </w:r>
          </w:p>
        </w:tc>
        <w:tc>
          <w:tcPr>
            <w:tcW w:type="dxa" w:w="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w:t>
            </w:r>
          </w:p>
        </w:tc>
      </w:tr>
    </w:tbl>
    <w:p>
      <w:pPr>
        <w:spacing w:after="220" w:before="100"/>
      </w:pPr>
      <w:r>
        <w:rPr>
          <w:rFonts w:ascii="Calibri" w:cs="Calibri" w:eastAsia="Calibri" w:hAnsi="Calibri"/>
          <w:i/>
          <w:iCs/>
          <w:sz w:val="18"/>
          <w:szCs w:val="18"/>
        </w:rPr>
        <w:t xml:space="preserve">Note. </w:t>
      </w:r>
      <w:r>
        <w:rPr>
          <w:rFonts w:ascii="Calibri" w:cs="Calibri" w:eastAsia="Calibri" w:hAnsi="Calibri"/>
          <w:sz w:val="18"/>
          <w:szCs w:val="18"/>
        </w:rPr>
        <w:t xml:space="preserve">Percentages for GovDocs1 are aggregate ratios over total bytes per category rather than means of per-file ratios. Ratios are reported only where the manuscript records them. Complete per-file measurements appear in Appendix F, Tables F5a and F1.</w:t>
      </w:r>
    </w:p>
    <w:p>
      <w:pPr>
        <w:spacing w:after="170" w:line="300"/>
      </w:pPr>
      <w:r>
        <w:rPr>
          <w:rFonts w:ascii="Cambria" w:cs="Cambria" w:eastAsia="Cambria" w:hAnsi="Cambria"/>
          <w:b w:val="false"/>
          <w:bCs w:val="false"/>
          <w:i w:val="false"/>
          <w:iCs w:val="false"/>
          <w:color w:val="000000"/>
          <w:sz w:val="21"/>
          <w:szCs w:val="21"/>
        </w:rPr>
        <w:t xml:space="preserve">Compression effectiveness varied markedly across the three corpora. Canterbury produced the highest aggregate reduction at 72.26 percent under the Maximum Preset, Silesia reached 60.79 percent, and GovDocs1 reached 37.99 percent. The lower GovDocs1 figure is attributable to the heterogeneity of a real-world document sample, which includes images, previously compressed streams, and binary data offering limited redundancy to a Hybrid Huffman model.</w:t>
      </w:r>
    </w:p>
    <w:p>
      <w:pPr>
        <w:spacing w:after="170" w:line="300"/>
      </w:pPr>
      <w:r>
        <w:rPr>
          <w:rFonts w:ascii="Cambria" w:cs="Cambria" w:eastAsia="Cambria" w:hAnsi="Cambria"/>
          <w:b w:val="false"/>
          <w:bCs w:val="false"/>
          <w:i w:val="false"/>
          <w:iCs w:val="false"/>
          <w:color w:val="000000"/>
          <w:sz w:val="21"/>
          <w:szCs w:val="21"/>
        </w:rPr>
        <w:t xml:space="preserve">The Maximum Preset produced the smallest aggregate output on every corpus, but the gain from Balanced to Maximum was consistently smaller than the gain from Fast to Balanced. On GovDocs1, Balanced saved 37.03 percent and Maximum 37.99 percent, an additional 0.96 percentage points. The nesting property held on all three corpora without exception: no file was larger at a deeper preset. On Canterbury, Maximum was identical to Balanced on five of the eleven files; on GovDocs1, Balanced was smaller than Fast on 900 of 980 files, identical on 80, and larger on none, while Maximum was smaller than Balanced on 607, identical on 373, and larger on none.</w:t>
      </w:r>
    </w:p>
    <w:p>
      <w:pPr>
        <w:pBdr>
          <w:left w:val="single" w:color="A8541F" w:sz="12" w:space="8"/>
        </w:pBdr>
        <w:shd w:fill="F7ECE3" w:val="clear"/>
        <w:spacing w:after="200" w:before="160"/>
        <w:ind w:left="300" w:right="220"/>
      </w:pPr>
      <w:r>
        <w:rPr>
          <w:rFonts w:ascii="Calibri" w:cs="Calibri" w:eastAsia="Calibri" w:hAnsi="Calibri"/>
          <w:sz w:val="20"/>
          <w:szCs w:val="20"/>
        </w:rPr>
        <w:t xml:space="preserve">Do not yet write that Balanced is the practical compromise or that Maximum costs more time. That conclusion requires the repeated timing experiment in Section 4.7, which has not been run.</w:t>
      </w:r>
    </w:p>
    <w:p>
      <w:pPr>
        <w:pStyle w:val="Heading1"/>
        <w:pageBreakBefore/>
        <w:pBdr>
          <w:bottom w:val="single" w:color="1F6F8B" w:sz="8" w:space="6"/>
        </w:pBdr>
        <w:spacing w:after="200" w:before="200"/>
      </w:pPr>
      <w:r>
        <w:rPr>
          <w:rFonts w:ascii="Cambria" w:cs="Cambria" w:eastAsia="Cambria" w:hAnsi="Cambria"/>
          <w:b/>
          <w:bCs/>
          <w:color w:val="1F6F8B"/>
          <w:sz w:val="28"/>
          <w:szCs w:val="28"/>
        </w:rPr>
        <w:t xml:space="preserve">4.4  Comparison With the Single-Tier Huffman Baseline and Reference Compressors</w:t>
      </w:r>
    </w:p>
    <w:p>
      <w:pPr>
        <w:spacing w:after="170" w:line="300"/>
      </w:pPr>
      <w:r>
        <w:rPr>
          <w:rFonts w:ascii="Cambria" w:cs="Cambria" w:eastAsia="Cambria" w:hAnsi="Cambria"/>
          <w:b w:val="false"/>
          <w:bCs w:val="false"/>
          <w:i w:val="false"/>
          <w:iCs w:val="false"/>
          <w:color w:val="000000"/>
          <w:sz w:val="21"/>
          <w:szCs w:val="21"/>
        </w:rPr>
        <w:t xml:space="preserve">The single-tier Huffman baseline is the study's experimental control; GZIP, BZIP2, and LZMA are contextual reference points rather than equivalent experimental treatments.</w:t>
      </w:r>
    </w:p>
    <w:p>
      <w:pPr>
        <w:spacing w:after="40" w:before="280"/>
      </w:pPr>
      <w:r>
        <w:rPr>
          <w:rFonts w:ascii="Calibri" w:cs="Calibri" w:eastAsia="Calibri" w:hAnsi="Calibri"/>
          <w:b/>
          <w:bCs/>
          <w:sz w:val="20"/>
          <w:szCs w:val="20"/>
        </w:rPr>
        <w:t xml:space="preserve">Table 4.3</w:t>
      </w:r>
    </w:p>
    <w:p>
      <w:pPr>
        <w:spacing w:after="120"/>
      </w:pPr>
      <w:r>
        <w:rPr>
          <w:rFonts w:ascii="Calibri" w:cs="Calibri" w:eastAsia="Calibri" w:hAnsi="Calibri"/>
          <w:i/>
          <w:iCs/>
          <w:sz w:val="20"/>
          <w:szCs w:val="20"/>
        </w:rPr>
        <w:t xml:space="preserve">GovDocs1 Thread 000 Aggregate Space Savings at the Balanced Preset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3600"/>
      </w:tblGrid>
      <w:tr>
        <w:trPr>
          <w:tblHeader/>
        </w:trPr>
        <w:tc>
          <w:tcPr>
            <w:tcW w:type="dxa" w:w="3400"/>
            <w:shd w:fill="E3EEF2" w:val="clear"/>
            <w:tcMar>
              <w:top w:type="dxa" w:w="75"/>
              <w:left w:type="dxa" w:w="100"/>
              <w:bottom w:type="dxa" w:w="75"/>
              <w:right w:type="dxa" w:w="100"/>
            </w:tcMar>
          </w:tcPr>
          <w:p>
            <w:pPr>
              <w:jc w:val="left"/>
            </w:pPr>
            <w:r>
              <w:rPr>
                <w:rFonts w:ascii="Calibri" w:cs="Calibri" w:eastAsia="Calibri" w:hAnsi="Calibri"/>
                <w:b/>
                <w:bCs/>
                <w:sz w:val="16"/>
                <w:szCs w:val="16"/>
              </w:rPr>
              <w:t xml:space="preserve">Method</w:t>
            </w:r>
          </w:p>
        </w:tc>
        <w:tc>
          <w:tcPr>
            <w:tcW w:type="dxa" w:w="1800"/>
            <w:shd w:fill="E3EEF2" w:val="clear"/>
            <w:tcMar>
              <w:top w:type="dxa" w:w="75"/>
              <w:left w:type="dxa" w:w="100"/>
              <w:bottom w:type="dxa" w:w="75"/>
              <w:right w:type="dxa" w:w="100"/>
            </w:tcMar>
          </w:tcPr>
          <w:p>
            <w:pPr>
              <w:jc w:val="right"/>
            </w:pPr>
            <w:r>
              <w:rPr>
                <w:rFonts w:ascii="Calibri" w:cs="Calibri" w:eastAsia="Calibri" w:hAnsi="Calibri"/>
                <w:b/>
                <w:bCs/>
                <w:sz w:val="16"/>
                <w:szCs w:val="16"/>
              </w:rPr>
              <w:t xml:space="preserve">Space saved</w:t>
            </w:r>
          </w:p>
        </w:tc>
        <w:tc>
          <w:tcPr>
            <w:tcW w:type="dxa" w:w="3600"/>
            <w:shd w:fill="E3EEF2" w:val="clear"/>
            <w:tcMar>
              <w:top w:type="dxa" w:w="75"/>
              <w:left w:type="dxa" w:w="100"/>
              <w:bottom w:type="dxa" w:w="75"/>
              <w:right w:type="dxa" w:w="100"/>
            </w:tcMar>
          </w:tcPr>
          <w:p>
            <w:pPr>
              <w:jc w:val="right"/>
            </w:pPr>
            <w:r>
              <w:rPr>
                <w:rFonts w:ascii="Calibri" w:cs="Calibri" w:eastAsia="Calibri" w:hAnsi="Calibri"/>
                <w:b/>
                <w:bCs/>
                <w:sz w:val="16"/>
                <w:szCs w:val="16"/>
              </w:rPr>
              <w:t xml:space="preserve">Relationship to the Adaptive System</w:t>
            </w:r>
          </w:p>
        </w:tc>
      </w:tr>
      <w:tr>
        <w:trPr>
          <w:tblHeader w:val="false"/>
        </w:trPr>
        <w:tc>
          <w:tcPr>
            <w:tcW w:type="dxa" w:w="34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Single-tier Huffman baseline</w:t>
            </w:r>
          </w:p>
        </w:tc>
        <w:tc>
          <w:tcPr>
            <w:tcW w:type="dxa" w:w="18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22.93%</w:t>
            </w:r>
          </w:p>
        </w:tc>
        <w:tc>
          <w:tcPr>
            <w:tcW w:type="dxa" w:w="36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Adaptive System output 18.29% smaller</w:t>
            </w:r>
          </w:p>
        </w:tc>
      </w:tr>
      <w:tr>
        <w:trPr>
          <w:tblHeader w:val="false"/>
        </w:trPr>
        <w:tc>
          <w:tcPr>
            <w:tcW w:type="dxa" w:w="34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Adaptive System — Balanced</w:t>
            </w:r>
          </w:p>
        </w:tc>
        <w:tc>
          <w:tcPr>
            <w:tcW w:type="dxa" w:w="18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37.03%</w:t>
            </w:r>
          </w:p>
        </w:tc>
        <w:tc>
          <w:tcPr>
            <w:tcW w:type="dxa" w:w="36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reference</w:t>
            </w:r>
          </w:p>
        </w:tc>
      </w:tr>
      <w:tr>
        <w:trPr>
          <w:tblHeader w:val="false"/>
        </w:trPr>
        <w:tc>
          <w:tcPr>
            <w:tcW w:type="dxa" w:w="34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GZIP -9</w:t>
            </w:r>
          </w:p>
        </w:tc>
        <w:tc>
          <w:tcPr>
            <w:tcW w:type="dxa" w:w="18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42.08%</w:t>
            </w:r>
          </w:p>
        </w:tc>
        <w:tc>
          <w:tcPr>
            <w:tcW w:type="dxa" w:w="36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5.05 percentage points better</w:t>
            </w:r>
          </w:p>
        </w:tc>
      </w:tr>
      <w:tr>
        <w:trPr>
          <w:tblHeader w:val="false"/>
        </w:trPr>
        <w:tc>
          <w:tcPr>
            <w:tcW w:type="dxa" w:w="34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BZIP2</w:t>
            </w:r>
          </w:p>
        </w:tc>
        <w:tc>
          <w:tcPr>
            <w:tcW w:type="dxa" w:w="18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45.14%</w:t>
            </w:r>
          </w:p>
        </w:tc>
        <w:tc>
          <w:tcPr>
            <w:tcW w:type="dxa" w:w="36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8.11 percentage points better</w:t>
            </w:r>
          </w:p>
        </w:tc>
      </w:tr>
      <w:tr>
        <w:trPr>
          <w:tblHeader w:val="false"/>
        </w:trPr>
        <w:tc>
          <w:tcPr>
            <w:tcW w:type="dxa" w:w="34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LZMA</w:t>
            </w:r>
          </w:p>
        </w:tc>
        <w:tc>
          <w:tcPr>
            <w:tcW w:type="dxa" w:w="18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48.82%</w:t>
            </w:r>
          </w:p>
        </w:tc>
        <w:tc>
          <w:tcPr>
            <w:tcW w:type="dxa" w:w="36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11.79 percentage points better</w:t>
            </w:r>
          </w:p>
        </w:tc>
      </w:tr>
    </w:tbl>
    <w:p>
      <w:pPr>
        <w:spacing w:after="220" w:before="100"/>
      </w:pPr>
      <w:r>
        <w:rPr>
          <w:rFonts w:ascii="Calibri" w:cs="Calibri" w:eastAsia="Calibri" w:hAnsi="Calibri"/>
          <w:i/>
          <w:iCs/>
          <w:sz w:val="18"/>
          <w:szCs w:val="18"/>
        </w:rPr>
        <w:t xml:space="preserve">Note. </w:t>
      </w:r>
      <w:r>
        <w:rPr>
          <w:rFonts w:ascii="Calibri" w:cs="Calibri" w:eastAsia="Calibri" w:hAnsi="Calibri"/>
          <w:sz w:val="18"/>
          <w:szCs w:val="18"/>
        </w:rPr>
        <w:t xml:space="preserve">Corpus totals 980 files and 627,788,678 bytes. All figures are aggregate space savings over total bytes. Differences against the reference compressors are stated in percentage points of space saved; the comparison against the baseline is the proportional reduction in output size that the study's fourth objective concerns.</w:t>
      </w:r>
    </w:p>
    <w:p>
      <w:pPr>
        <w:spacing w:after="170" w:line="300"/>
      </w:pPr>
      <w:r>
        <w:rPr>
          <w:rFonts w:ascii="Cambria" w:cs="Cambria" w:eastAsia="Cambria" w:hAnsi="Cambria"/>
          <w:b w:val="false"/>
          <w:bCs w:val="false"/>
          <w:i w:val="false"/>
          <w:iCs w:val="false"/>
          <w:color w:val="000000"/>
          <w:sz w:val="21"/>
          <w:szCs w:val="21"/>
        </w:rPr>
        <w:t xml:space="preserve">Across the 980 files the Adaptive System produced output 18.29 percent smaller than the single-tier Huffman baseline, reducing the corpus by 37.03 percent against the baseline's 22.93 percent. This supports the study's central proposition that modeling redundancy above the level of the individual byte improves on conventional single-tier Huffman coding.</w:t>
      </w:r>
    </w:p>
    <w:p>
      <w:pPr>
        <w:spacing w:after="170" w:line="300"/>
      </w:pPr>
      <w:r>
        <w:rPr>
          <w:rFonts w:ascii="Cambria" w:cs="Cambria" w:eastAsia="Cambria" w:hAnsi="Cambria"/>
          <w:b w:val="false"/>
          <w:bCs w:val="false"/>
          <w:i w:val="false"/>
          <w:iCs w:val="false"/>
          <w:color w:val="000000"/>
          <w:sz w:val="21"/>
          <w:szCs w:val="21"/>
        </w:rPr>
        <w:t xml:space="preserve">The established reference compressors produced smaller aggregate output than the Adaptive System. GZIP -9 saved 42.08 percent, BZIP2 45.14 percent, and LZMA 48.82 percent. These differences do not invalidate the principal result, because the study's comparison is against single-tier Huffman coding. The reference compressors derive most of their advantage from LZ77-style dictionary back-references and from transforms that lie outside the Hybrid Huffman method under study. They are reported to establish practical context and, in accordance with the study's commitment to report benchmark results in full, to make visible the cases in which the Adaptive System performs worse than an established compressor.</w:t>
      </w:r>
    </w:p>
    <w:p>
      <w:pPr>
        <w:pStyle w:val="Heading1"/>
        <w:pageBreakBefore/>
        <w:pBdr>
          <w:bottom w:val="single" w:color="1F6F8B" w:sz="8" w:space="6"/>
        </w:pBdr>
        <w:spacing w:after="200" w:before="200"/>
      </w:pPr>
      <w:r>
        <w:rPr>
          <w:rFonts w:ascii="Cambria" w:cs="Cambria" w:eastAsia="Cambria" w:hAnsi="Cambria"/>
          <w:b/>
          <w:bCs/>
          <w:color w:val="1F6F8B"/>
          <w:sz w:val="28"/>
          <w:szCs w:val="28"/>
        </w:rPr>
        <w:t xml:space="preserve">4.5  Results According to File Category</w:t>
      </w:r>
    </w:p>
    <w:p>
      <w:pPr>
        <w:spacing w:after="170" w:line="300"/>
      </w:pPr>
      <w:r>
        <w:rPr>
          <w:rFonts w:ascii="Cambria" w:cs="Cambria" w:eastAsia="Cambria" w:hAnsi="Cambria"/>
          <w:b w:val="false"/>
          <w:bCs w:val="false"/>
          <w:i w:val="false"/>
          <w:iCs w:val="false"/>
          <w:color w:val="000000"/>
          <w:sz w:val="21"/>
          <w:szCs w:val="21"/>
        </w:rPr>
        <w:t xml:space="preserve">Format-level results show that compression performance was determined more strongly by internal data composition than by file extension. Table 4.4 reports the complete breakdown.</w:t>
      </w:r>
    </w:p>
    <w:p>
      <w:pPr>
        <w:spacing w:after="40" w:before="280"/>
      </w:pPr>
      <w:r>
        <w:rPr>
          <w:rFonts w:ascii="Calibri" w:cs="Calibri" w:eastAsia="Calibri" w:hAnsi="Calibri"/>
          <w:b/>
          <w:bCs/>
          <w:sz w:val="20"/>
          <w:szCs w:val="20"/>
        </w:rPr>
        <w:t xml:space="preserve">Table 4.4</w:t>
      </w:r>
    </w:p>
    <w:p>
      <w:pPr>
        <w:spacing w:after="120"/>
      </w:pPr>
      <w:r>
        <w:rPr>
          <w:rFonts w:ascii="Calibri" w:cs="Calibri" w:eastAsia="Calibri" w:hAnsi="Calibri"/>
          <w:i/>
          <w:iCs/>
          <w:sz w:val="20"/>
          <w:szCs w:val="20"/>
        </w:rPr>
        <w:t xml:space="preserve">GovDocs1 Thread 000 Space Savings by Format, Balanced Preset, With Baseline and Reference Compressors</w:t>
      </w:r>
    </w:p>
    <w:p>
      <w:pPr>
        <w:pBdr>
          <w:left w:val="single" w:color="A8541F" w:sz="12" w:space="8"/>
        </w:pBdr>
        <w:shd w:fill="F7ECE3" w:val="clear"/>
        <w:spacing w:after="200" w:before="160"/>
        <w:ind w:left="300" w:right="220"/>
      </w:pPr>
      <w:r>
        <w:rPr>
          <w:rFonts w:ascii="Calibri" w:cs="Calibri" w:eastAsia="Calibri" w:hAnsi="Calibri"/>
          <w:sz w:val="20"/>
          <w:szCs w:val="20"/>
        </w:rPr>
        <w:t xml:space="preserve">Paste your existing Appendix F Table F3 here in full — all sixteen formats plus the TOTAL row. It is one page and already formatted in your document. Delete it from Appendix F so the same table does not appear twice under two labels.</w:t>
      </w:r>
    </w:p>
    <w:p>
      <w:pPr>
        <w:spacing w:after="170" w:line="300"/>
      </w:pPr>
      <w:r>
        <w:rPr>
          <w:rFonts w:ascii="Cambria" w:cs="Cambria" w:eastAsia="Cambria" w:hAnsi="Cambria"/>
          <w:b w:val="false"/>
          <w:bCs w:val="false"/>
          <w:i w:val="false"/>
          <w:iCs w:val="false"/>
          <w:color w:val="000000"/>
          <w:sz w:val="21"/>
          <w:szCs w:val="21"/>
        </w:rPr>
        <w:t xml:space="preserve">Plain text, XML, structured markup, and documents containing accessible textual streams produced the largest improvements over the baseline, because the multi-tier scanner could identify repeated sequences and word-level patterns within them: XML improved by 74.48 percent over the baseline, LOG by 55.35 percent, XLS by 45.94 percent, and HTML by 44.87 percent. Images, archives, and producer-compressed formats yielded the smallest improvements, with GIF at 0.07 percent, GZIP members at 0.53 percent, and JPEG at 1.09 percent, because much of their redundancy had already been removed by their own encoders. This distribution is consistent with the mechanism under study, in that multi-level frequency analysis can admit only patterns that recur.</w:t>
      </w:r>
    </w:p>
    <w:p>
      <w:pPr>
        <w:spacing w:after="170" w:line="300"/>
      </w:pPr>
      <w:r>
        <w:rPr>
          <w:rFonts w:ascii="Cambria" w:cs="Cambria" w:eastAsia="Cambria" w:hAnsi="Cambria"/>
          <w:b w:val="false"/>
          <w:bCs w:val="false"/>
          <w:i w:val="false"/>
          <w:iCs w:val="false"/>
          <w:color w:val="000000"/>
          <w:sz w:val="21"/>
          <w:szCs w:val="21"/>
        </w:rPr>
        <w:t xml:space="preserve">Container routing behaved similarly. Across the 600 PDF measurements in this study, comprising 200 PDF files at three presets, the ordinary AFC3 component path produced the smaller container on 454 measurements and AFC6 was selected once, on 000859.pdf at the Fast Preset. The remaining 145 measurements selected AFC2, the plain container, because neither component path improved on it. The aggregate PDF reduction was 12.50 percent. Structural routing was therefore useful for many PDF documents, while the more specialized AFC6 path was rarely the smallest eligible representation.</w:t>
      </w:r>
    </w:p>
    <w:p>
      <w:pPr>
        <w:pStyle w:val="Heading1"/>
        <w:pageBreakBefore/>
        <w:pBdr>
          <w:bottom w:val="single" w:color="1F6F8B" w:sz="8" w:space="6"/>
        </w:pBdr>
        <w:spacing w:after="200" w:before="200"/>
      </w:pPr>
      <w:r>
        <w:rPr>
          <w:rFonts w:ascii="Cambria" w:cs="Cambria" w:eastAsia="Cambria" w:hAnsi="Cambria"/>
          <w:b/>
          <w:bCs/>
          <w:color w:val="1F6F8B"/>
          <w:sz w:val="28"/>
          <w:szCs w:val="28"/>
        </w:rPr>
        <w:t xml:space="preserve">4.6  Component Ablation Results</w:t>
      </w:r>
    </w:p>
    <w:p>
      <w:pPr>
        <w:spacing w:after="170" w:line="300"/>
      </w:pPr>
      <w:r>
        <w:rPr>
          <w:rFonts w:ascii="Cambria" w:cs="Cambria" w:eastAsia="Cambria" w:hAnsi="Cambria"/>
          <w:b w:val="false"/>
          <w:bCs w:val="false"/>
          <w:i w:val="false"/>
          <w:iCs w:val="false"/>
          <w:color w:val="000000"/>
          <w:sz w:val="21"/>
          <w:szCs w:val="21"/>
        </w:rPr>
        <w:t xml:space="preserve">The whole-system comparison establishes that the Adaptive System reduces output below the baseline but cannot attribute that reduction to any particular component. A component ablation evaluated four builds — the complete system, Tier 3 disabled, Tiers 2 and 3 disabled, and the Bit Cost Decision Engine replaced by an unconditional frequency-only decision — first on a fourteen-file repository corpus and subsequently on a fixed 602-file subset of GovDocs1 thread 000. All builds ran on the pure-Python reference implementation with default engine options and no preset search ladder, so that observed differences are attributable to the disabled component.</w:t>
      </w:r>
    </w:p>
    <w:p>
      <w:pPr>
        <w:spacing w:after="40" w:before="280"/>
      </w:pPr>
      <w:r>
        <w:rPr>
          <w:rFonts w:ascii="Calibri" w:cs="Calibri" w:eastAsia="Calibri" w:hAnsi="Calibri"/>
          <w:b/>
          <w:bCs/>
          <w:sz w:val="20"/>
          <w:szCs w:val="20"/>
        </w:rPr>
        <w:t xml:space="preserve">Table 4.5</w:t>
      </w:r>
    </w:p>
    <w:p>
      <w:pPr>
        <w:spacing w:after="120"/>
      </w:pPr>
      <w:r>
        <w:rPr>
          <w:rFonts w:ascii="Calibri" w:cs="Calibri" w:eastAsia="Calibri" w:hAnsi="Calibri"/>
          <w:i/>
          <w:iCs/>
          <w:sz w:val="20"/>
          <w:szCs w:val="20"/>
        </w:rPr>
        <w:t xml:space="preserve">Component Ablation Across Both Corpora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1800"/>
        <w:gridCol w:w="1200"/>
        <w:gridCol w:w="1900"/>
        <w:gridCol w:w="1200"/>
      </w:tblGrid>
      <w:tr>
        <w:trPr>
          <w:tblHeader/>
        </w:trPr>
        <w:tc>
          <w:tcPr>
            <w:tcW w:type="dxa" w:w="3100"/>
            <w:shd w:fill="E3EEF2" w:val="clear"/>
            <w:tcMar>
              <w:top w:type="dxa" w:w="75"/>
              <w:left w:type="dxa" w:w="100"/>
              <w:bottom w:type="dxa" w:w="75"/>
              <w:right w:type="dxa" w:w="100"/>
            </w:tcMar>
          </w:tcPr>
          <w:p>
            <w:pPr>
              <w:jc w:val="left"/>
            </w:pPr>
            <w:r>
              <w:rPr>
                <w:rFonts w:ascii="Calibri" w:cs="Calibri" w:eastAsia="Calibri" w:hAnsi="Calibri"/>
                <w:b/>
                <w:bCs/>
                <w:sz w:val="16"/>
                <w:szCs w:val="16"/>
              </w:rPr>
              <w:t xml:space="preserve">Build</w:t>
            </w:r>
          </w:p>
        </w:tc>
        <w:tc>
          <w:tcPr>
            <w:tcW w:type="dxa" w:w="1800"/>
            <w:shd w:fill="E3EEF2" w:val="clear"/>
            <w:tcMar>
              <w:top w:type="dxa" w:w="75"/>
              <w:left w:type="dxa" w:w="100"/>
              <w:bottom w:type="dxa" w:w="75"/>
              <w:right w:type="dxa" w:w="100"/>
            </w:tcMar>
          </w:tcPr>
          <w:p>
            <w:pPr>
              <w:jc w:val="right"/>
            </w:pPr>
            <w:r>
              <w:rPr>
                <w:rFonts w:ascii="Calibri" w:cs="Calibri" w:eastAsia="Calibri" w:hAnsi="Calibri"/>
                <w:b/>
                <w:bCs/>
                <w:sz w:val="16"/>
                <w:szCs w:val="16"/>
              </w:rPr>
              <w:t xml:space="preserve">Repository corpus, 14 files</w:t>
            </w:r>
          </w:p>
        </w:tc>
        <w:tc>
          <w:tcPr>
            <w:tcW w:type="dxa" w:w="1200"/>
            <w:shd w:fill="E3EEF2" w:val="clear"/>
            <w:tcMar>
              <w:top w:type="dxa" w:w="75"/>
              <w:left w:type="dxa" w:w="100"/>
              <w:bottom w:type="dxa" w:w="75"/>
              <w:right w:type="dxa" w:w="100"/>
            </w:tcMar>
          </w:tcPr>
          <w:p>
            <w:pPr>
              <w:jc w:val="right"/>
            </w:pPr>
            <w:r>
              <w:rPr>
                <w:rFonts w:ascii="Calibri" w:cs="Calibri" w:eastAsia="Calibri" w:hAnsi="Calibri"/>
                <w:b/>
                <w:bCs/>
                <w:sz w:val="16"/>
                <w:szCs w:val="16"/>
              </w:rPr>
              <w:t xml:space="preserve"/>
            </w:r>
          </w:p>
        </w:tc>
        <w:tc>
          <w:tcPr>
            <w:tcW w:type="dxa" w:w="1900"/>
            <w:shd w:fill="E3EEF2" w:val="clear"/>
            <w:tcMar>
              <w:top w:type="dxa" w:w="75"/>
              <w:left w:type="dxa" w:w="100"/>
              <w:bottom w:type="dxa" w:w="75"/>
              <w:right w:type="dxa" w:w="100"/>
            </w:tcMar>
          </w:tcPr>
          <w:p>
            <w:pPr>
              <w:jc w:val="right"/>
            </w:pPr>
            <w:r>
              <w:rPr>
                <w:rFonts w:ascii="Calibri" w:cs="Calibri" w:eastAsia="Calibri" w:hAnsi="Calibri"/>
                <w:b/>
                <w:bCs/>
                <w:sz w:val="16"/>
                <w:szCs w:val="16"/>
              </w:rPr>
              <w:t xml:space="preserve">GovDocs1 subset, 602 files</w:t>
            </w:r>
          </w:p>
        </w:tc>
        <w:tc>
          <w:tcPr>
            <w:tcW w:type="dxa" w:w="1200"/>
            <w:shd w:fill="E3EEF2" w:val="clear"/>
            <w:tcMar>
              <w:top w:type="dxa" w:w="75"/>
              <w:left w:type="dxa" w:w="100"/>
              <w:bottom w:type="dxa" w:w="75"/>
              <w:right w:type="dxa" w:w="100"/>
            </w:tcMar>
          </w:tcPr>
          <w:p>
            <w:pPr>
              <w:jc w:val="right"/>
            </w:pPr>
            <w:r>
              <w:rPr>
                <w:rFonts w:ascii="Calibri" w:cs="Calibri" w:eastAsia="Calibri" w:hAnsi="Calibri"/>
                <w:b/>
                <w:bCs/>
                <w:sz w:val="16"/>
                <w:szCs w:val="16"/>
              </w:rPr>
              <w:t xml:space="preserve"/>
            </w:r>
          </w:p>
        </w:tc>
      </w:tr>
      <w:tr>
        <w:trPr>
          <w:tblHeader w:val="false"/>
        </w:trPr>
        <w:tc>
          <w:tcPr>
            <w:tcW w:type="dxa" w:w="31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
            </w:r>
          </w:p>
        </w:tc>
        <w:tc>
          <w:tcPr>
            <w:tcW w:type="dxa" w:w="18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AFC bytes</w:t>
            </w:r>
          </w:p>
        </w:tc>
        <w:tc>
          <w:tcPr>
            <w:tcW w:type="dxa" w:w="12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Saved</w:t>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AFC bytes</w:t>
            </w:r>
          </w:p>
        </w:tc>
        <w:tc>
          <w:tcPr>
            <w:tcW w:type="dxa" w:w="12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Saved</w:t>
            </w:r>
          </w:p>
        </w:tc>
      </w:tr>
      <w:tr>
        <w:trPr>
          <w:tblHeader w:val="false"/>
        </w:trPr>
        <w:tc>
          <w:tcPr>
            <w:tcW w:type="dxa" w:w="31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Complete system</w:t>
            </w:r>
          </w:p>
        </w:tc>
        <w:tc>
          <w:tcPr>
            <w:tcW w:type="dxa" w:w="18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395,807</w:t>
            </w:r>
          </w:p>
        </w:tc>
        <w:tc>
          <w:tcPr>
            <w:tcW w:type="dxa" w:w="12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71.37%</w:t>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13,102,156</w:t>
            </w:r>
          </w:p>
        </w:tc>
        <w:tc>
          <w:tcPr>
            <w:tcW w:type="dxa" w:w="12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43.32%</w:t>
            </w:r>
          </w:p>
        </w:tc>
      </w:tr>
      <w:tr>
        <w:trPr>
          <w:tblHeader w:val="false"/>
        </w:trPr>
        <w:tc>
          <w:tcPr>
            <w:tcW w:type="dxa" w:w="31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Tier 3 disabled</w:t>
            </w:r>
          </w:p>
        </w:tc>
        <w:tc>
          <w:tcPr>
            <w:tcW w:type="dxa" w:w="18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398,716</w:t>
            </w:r>
          </w:p>
        </w:tc>
        <w:tc>
          <w:tcPr>
            <w:tcW w:type="dxa" w:w="12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71.16%</w:t>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13,207,649</w:t>
            </w:r>
          </w:p>
        </w:tc>
        <w:tc>
          <w:tcPr>
            <w:tcW w:type="dxa" w:w="12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42.87%</w:t>
            </w:r>
          </w:p>
        </w:tc>
      </w:tr>
      <w:tr>
        <w:trPr>
          <w:tblHeader w:val="false"/>
        </w:trPr>
        <w:tc>
          <w:tcPr>
            <w:tcW w:type="dxa" w:w="31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Tiers 2 and 3 disabled</w:t>
            </w:r>
          </w:p>
        </w:tc>
        <w:tc>
          <w:tcPr>
            <w:tcW w:type="dxa" w:w="18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464,366</w:t>
            </w:r>
          </w:p>
        </w:tc>
        <w:tc>
          <w:tcPr>
            <w:tcW w:type="dxa" w:w="12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66.41%</w:t>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14,080,913</w:t>
            </w:r>
          </w:p>
        </w:tc>
        <w:tc>
          <w:tcPr>
            <w:tcW w:type="dxa" w:w="12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39.09%</w:t>
            </w:r>
          </w:p>
        </w:tc>
      </w:tr>
      <w:tr>
        <w:trPr>
          <w:tblHeader w:val="false"/>
        </w:trPr>
        <w:tc>
          <w:tcPr>
            <w:tcW w:type="dxa" w:w="31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Bit Cost Decision Engine replaced</w:t>
            </w:r>
          </w:p>
        </w:tc>
        <w:tc>
          <w:tcPr>
            <w:tcW w:type="dxa" w:w="18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449,346</w:t>
            </w:r>
          </w:p>
        </w:tc>
        <w:tc>
          <w:tcPr>
            <w:tcW w:type="dxa" w:w="12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67.50%</w:t>
            </w:r>
          </w:p>
        </w:tc>
        <w:tc>
          <w:tcPr>
            <w:tcW w:type="dxa" w:w="1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15,400,435</w:t>
            </w:r>
          </w:p>
        </w:tc>
        <w:tc>
          <w:tcPr>
            <w:tcW w:type="dxa" w:w="12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33.38%</w:t>
            </w:r>
          </w:p>
        </w:tc>
      </w:tr>
    </w:tbl>
    <w:p>
      <w:pPr>
        <w:spacing w:after="220" w:before="100"/>
      </w:pPr>
      <w:r>
        <w:rPr>
          <w:rFonts w:ascii="Calibri" w:cs="Calibri" w:eastAsia="Calibri" w:hAnsi="Calibri"/>
          <w:i/>
          <w:iCs/>
          <w:sz w:val="18"/>
          <w:szCs w:val="18"/>
        </w:rPr>
        <w:t xml:space="preserve">Note. </w:t>
      </w:r>
      <w:r>
        <w:rPr>
          <w:rFonts w:ascii="Calibri" w:cs="Calibri" w:eastAsia="Calibri" w:hAnsi="Calibri"/>
          <w:sz w:val="18"/>
          <w:szCs w:val="18"/>
        </w:rPr>
        <w:t xml:space="preserve">The repository corpus totals 1,382,408 bytes and the GovDocs1 subset 23,116,646 bytes, whose files range from 291 to 130,944 bytes. The subset contains smaller files because all four ablated builds must execute on the substantially slower pure-Python reference implementation. All 56 and 2,408 file and build pairs respectively were decompressed and SHA-256 verified before being counted.</w:t>
      </w:r>
    </w:p>
    <w:p>
      <w:pPr>
        <w:spacing w:after="40" w:before="280"/>
      </w:pPr>
      <w:r>
        <w:rPr>
          <w:rFonts w:ascii="Calibri" w:cs="Calibri" w:eastAsia="Calibri" w:hAnsi="Calibri"/>
          <w:b/>
          <w:bCs/>
          <w:sz w:val="20"/>
          <w:szCs w:val="20"/>
        </w:rPr>
        <w:t xml:space="preserve">Table 4.6</w:t>
      </w:r>
    </w:p>
    <w:p>
      <w:pPr>
        <w:spacing w:after="120"/>
      </w:pPr>
      <w:r>
        <w:rPr>
          <w:rFonts w:ascii="Calibri" w:cs="Calibri" w:eastAsia="Calibri" w:hAnsi="Calibri"/>
          <w:i/>
          <w:iCs/>
          <w:sz w:val="20"/>
          <w:szCs w:val="20"/>
        </w:rPr>
        <w:t xml:space="preserve">Contribution of Each Component on Both Ablation Corpora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800"/>
      </w:tblGrid>
      <w:tr>
        <w:trPr>
          <w:tblHeader/>
        </w:trPr>
        <w:tc>
          <w:tcPr>
            <w:tcW w:type="dxa" w:w="3000"/>
            <w:shd w:fill="E3EEF2" w:val="clear"/>
            <w:tcMar>
              <w:top w:type="dxa" w:w="75"/>
              <w:left w:type="dxa" w:w="100"/>
              <w:bottom w:type="dxa" w:w="75"/>
              <w:right w:type="dxa" w:w="100"/>
            </w:tcMar>
          </w:tcPr>
          <w:p>
            <w:pPr>
              <w:jc w:val="left"/>
            </w:pPr>
            <w:r>
              <w:rPr>
                <w:rFonts w:ascii="Calibri" w:cs="Calibri" w:eastAsia="Calibri" w:hAnsi="Calibri"/>
                <w:b/>
                <w:bCs/>
                <w:sz w:val="16"/>
                <w:szCs w:val="16"/>
              </w:rPr>
              <w:t xml:space="preserve">Component</w:t>
            </w:r>
          </w:p>
        </w:tc>
        <w:tc>
          <w:tcPr>
            <w:tcW w:type="dxa" w:w="2900"/>
            <w:shd w:fill="E3EEF2" w:val="clear"/>
            <w:tcMar>
              <w:top w:type="dxa" w:w="75"/>
              <w:left w:type="dxa" w:w="100"/>
              <w:bottom w:type="dxa" w:w="75"/>
              <w:right w:type="dxa" w:w="100"/>
            </w:tcMar>
          </w:tcPr>
          <w:p>
            <w:pPr>
              <w:jc w:val="right"/>
            </w:pPr>
            <w:r>
              <w:rPr>
                <w:rFonts w:ascii="Calibri" w:cs="Calibri" w:eastAsia="Calibri" w:hAnsi="Calibri"/>
                <w:b/>
                <w:bCs/>
                <w:sz w:val="16"/>
                <w:szCs w:val="16"/>
              </w:rPr>
              <w:t xml:space="preserve">Repository corpus, 14 files</w:t>
            </w:r>
          </w:p>
        </w:tc>
        <w:tc>
          <w:tcPr>
            <w:tcW w:type="dxa" w:w="2800"/>
            <w:shd w:fill="E3EEF2" w:val="clear"/>
            <w:tcMar>
              <w:top w:type="dxa" w:w="75"/>
              <w:left w:type="dxa" w:w="100"/>
              <w:bottom w:type="dxa" w:w="75"/>
              <w:right w:type="dxa" w:w="100"/>
            </w:tcMar>
          </w:tcPr>
          <w:p>
            <w:pPr>
              <w:jc w:val="right"/>
            </w:pPr>
            <w:r>
              <w:rPr>
                <w:rFonts w:ascii="Calibri" w:cs="Calibri" w:eastAsia="Calibri" w:hAnsi="Calibri"/>
                <w:b/>
                <w:bCs/>
                <w:sz w:val="16"/>
                <w:szCs w:val="16"/>
              </w:rPr>
              <w:t xml:space="preserve">GovDocs1 subset, 602 files</w:t>
            </w:r>
          </w:p>
        </w:tc>
      </w:tr>
      <w:tr>
        <w:trPr>
          <w:tblHeader w:val="false"/>
        </w:trPr>
        <w:tc>
          <w:tcPr>
            <w:tcW w:type="dxa" w:w="30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Tier 3</w:t>
            </w:r>
          </w:p>
        </w:tc>
        <w:tc>
          <w:tcPr>
            <w:tcW w:type="dxa" w:w="2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2,909 B · 0.73%</w:t>
            </w:r>
          </w:p>
        </w:tc>
        <w:tc>
          <w:tcPr>
            <w:tcW w:type="dxa" w:w="28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105,493 B · 0.80%</w:t>
            </w:r>
          </w:p>
        </w:tc>
      </w:tr>
      <w:tr>
        <w:trPr>
          <w:tblHeader w:val="false"/>
        </w:trPr>
        <w:tc>
          <w:tcPr>
            <w:tcW w:type="dxa" w:w="30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Tier 2</w:t>
            </w:r>
          </w:p>
        </w:tc>
        <w:tc>
          <w:tcPr>
            <w:tcW w:type="dxa" w:w="2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65,650 B · 14.14%</w:t>
            </w:r>
          </w:p>
        </w:tc>
        <w:tc>
          <w:tcPr>
            <w:tcW w:type="dxa" w:w="28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873,264 B · 6.20%</w:t>
            </w:r>
          </w:p>
        </w:tc>
      </w:tr>
      <w:tr>
        <w:trPr>
          <w:tblHeader w:val="false"/>
        </w:trPr>
        <w:tc>
          <w:tcPr>
            <w:tcW w:type="dxa" w:w="30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Tiers 2 and 3 together</w:t>
            </w:r>
          </w:p>
        </w:tc>
        <w:tc>
          <w:tcPr>
            <w:tcW w:type="dxa" w:w="2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68,559 B · 14.76%</w:t>
            </w:r>
          </w:p>
        </w:tc>
        <w:tc>
          <w:tcPr>
            <w:tcW w:type="dxa" w:w="28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978,757 B · 6.95%</w:t>
            </w:r>
          </w:p>
        </w:tc>
      </w:tr>
      <w:tr>
        <w:trPr>
          <w:tblHeader w:val="false"/>
        </w:trPr>
        <w:tc>
          <w:tcPr>
            <w:tcW w:type="dxa" w:w="3000"/>
            <w:tcMar>
              <w:top w:type="dxa" w:w="75"/>
              <w:left w:type="dxa" w:w="100"/>
              <w:bottom w:type="dxa" w:w="75"/>
              <w:right w:type="dxa" w:w="100"/>
            </w:tcMar>
          </w:tcPr>
          <w:p>
            <w:pPr>
              <w:jc w:val="left"/>
            </w:pPr>
            <w:r>
              <w:rPr>
                <w:rFonts w:ascii="Calibri" w:cs="Calibri" w:eastAsia="Calibri" w:hAnsi="Calibri"/>
                <w:b w:val="false"/>
                <w:bCs w:val="false"/>
                <w:sz w:val="16"/>
                <w:szCs w:val="16"/>
              </w:rPr>
              <w:t xml:space="preserve">Bit Cost Decision Engine</w:t>
            </w:r>
          </w:p>
        </w:tc>
        <w:tc>
          <w:tcPr>
            <w:tcW w:type="dxa" w:w="29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53,539 B · 11.91%</w:t>
            </w:r>
          </w:p>
        </w:tc>
        <w:tc>
          <w:tcPr>
            <w:tcW w:type="dxa" w:w="2800"/>
            <w:tcMar>
              <w:top w:type="dxa" w:w="75"/>
              <w:left w:type="dxa" w:w="100"/>
              <w:bottom w:type="dxa" w:w="75"/>
              <w:right w:type="dxa" w:w="100"/>
            </w:tcMar>
          </w:tcPr>
          <w:p>
            <w:pPr>
              <w:jc w:val="right"/>
            </w:pPr>
            <w:r>
              <w:rPr>
                <w:rFonts w:ascii="Calibri" w:cs="Calibri" w:eastAsia="Calibri" w:hAnsi="Calibri"/>
                <w:b w:val="false"/>
                <w:bCs w:val="false"/>
                <w:sz w:val="16"/>
                <w:szCs w:val="16"/>
              </w:rPr>
              <w:t xml:space="preserve">2,298,279 B · 14.92%</w:t>
            </w:r>
          </w:p>
        </w:tc>
      </w:tr>
    </w:tbl>
    <w:p>
      <w:pPr>
        <w:spacing w:after="220" w:before="100"/>
      </w:pPr>
      <w:r>
        <w:rPr>
          <w:rFonts w:ascii="Calibri" w:cs="Calibri" w:eastAsia="Calibri" w:hAnsi="Calibri"/>
          <w:i/>
          <w:iCs/>
          <w:sz w:val="18"/>
          <w:szCs w:val="18"/>
        </w:rPr>
        <w:t xml:space="preserve">Note. </w:t>
      </w:r>
      <w:r>
        <w:rPr>
          <w:rFonts w:ascii="Calibri" w:cs="Calibri" w:eastAsia="Calibri" w:hAnsi="Calibri"/>
          <w:sz w:val="18"/>
          <w:szCs w:val="18"/>
        </w:rPr>
        <w:t xml:space="preserve">Each percentage is stated relative to the build the component is measured against: Tier 3 against the Tier-3-disabled build, Tier 2 and the two tiers together against the Tiers-2-and-3-disabled build, and the Decision Engine against the frequency-threshold build. Because the rows answer different counterfactuals, the figures are not summable across rows.</w:t>
      </w:r>
    </w:p>
    <w:p>
      <w:pPr>
        <w:spacing w:after="170" w:line="300"/>
      </w:pPr>
      <w:r>
        <w:rPr>
          <w:rFonts w:ascii="Cambria" w:cs="Cambria" w:eastAsia="Cambria" w:hAnsi="Cambria"/>
          <w:b w:val="false"/>
          <w:bCs w:val="false"/>
          <w:i w:val="false"/>
          <w:iCs w:val="false"/>
          <w:color w:val="000000"/>
          <w:sz w:val="21"/>
          <w:szCs w:val="21"/>
        </w:rPr>
        <w:t xml:space="preserve">Every component made a measurable positive contribution on both corpora, and no aggregate component figure was negative in either. The two corpora order the components differently, which is itself a finding. On the fourteen-file repository corpus Tier 2 is the largest contributor at 14.14 percent, ahead of the Decision Engine at 11.91 percent; on the 602-file GovDocs1 subset the ordering reverses, with the Decision Engine contributing 14.92 percent against Tier 2's 6.20 percent. The bit-cost admission rule therefore earns more on heterogeneous real-world documents than on a curated corpus, which is consistent with its function: the more varied the input, the more often a candidate pattern must be rejected as unprofitable, and the more a cost-based decision earns over an unconditional frequency threshold. Identifying patterns is by itself insufficient; candidates must also be rejected when their projected savings fail to recover their representation cost.</w:t>
      </w:r>
    </w:p>
    <w:p>
      <w:pPr>
        <w:spacing w:after="170" w:line="300"/>
      </w:pPr>
      <w:r>
        <w:rPr>
          <w:rFonts w:ascii="Cambria" w:cs="Cambria" w:eastAsia="Cambria" w:hAnsi="Cambria"/>
          <w:b w:val="false"/>
          <w:bCs w:val="false"/>
          <w:i w:val="false"/>
          <w:iCs w:val="false"/>
          <w:color w:val="000000"/>
          <w:sz w:val="21"/>
          <w:szCs w:val="21"/>
        </w:rPr>
        <w:t xml:space="preserve">Tier 3 contributed least on both corpora, and that aggregate conceals a division more informative than the total. On the fourteen-file corpus the lexical tier reduced output on nine files by 4,496 bytes in total, concentrated in structured serialization and literary prose — 9.94 percent on a JSON document, 4.13 percent on SQL, 2.03 percent on alice29.txt, and 1.59 percent on English prose — while increasing output on two files by 1,587 bytes, those being fixed-width binary records and a LISP source file. The tier is therefore conditional rather than uniform. It pays where repetition occurs at the level of vocabulary and is mildly counter-productive where regularity is positional or where recurring units are already short. The results support retaining all three analysis tiers while identifying the profitability gate as the component providing the strongest protection against inefficient dictionary construction.</w:t>
      </w:r>
    </w:p>
    <w:p>
      <w:pPr>
        <w:pStyle w:val="Heading1"/>
        <w:pageBreakBefore/>
        <w:pBdr>
          <w:bottom w:val="single" w:color="1F6F8B" w:sz="8" w:space="6"/>
        </w:pBdr>
        <w:spacing w:after="200" w:before="200"/>
      </w:pPr>
      <w:r>
        <w:rPr>
          <w:rFonts w:ascii="Cambria" w:cs="Cambria" w:eastAsia="Cambria" w:hAnsi="Cambria"/>
          <w:b/>
          <w:bCs/>
          <w:color w:val="1F6F8B"/>
          <w:sz w:val="28"/>
          <w:szCs w:val="28"/>
        </w:rPr>
        <w:t xml:space="preserve">4.7  Compression Time, Decompression Time, and Memory Usage</w:t>
      </w:r>
    </w:p>
    <w:p>
      <w:pPr>
        <w:pBdr>
          <w:left w:val="single" w:color="A8541F" w:sz="12" w:space="8"/>
        </w:pBdr>
        <w:shd w:fill="F7ECE3" w:val="clear"/>
        <w:spacing w:after="200" w:before="160"/>
        <w:ind w:left="300" w:right="220"/>
      </w:pPr>
      <w:r>
        <w:rPr>
          <w:rFonts w:ascii="Calibri" w:cs="Calibri" w:eastAsia="Calibri" w:hAnsi="Calibri"/>
          <w:sz w:val="20"/>
          <w:szCs w:val="20"/>
        </w:rPr>
        <w:t xml:space="preserve">PENDING — do not fill this section with the existing one-run audit timings. Those are verification measurements, not the repeated-trial experiment specified in Chapter 3. The harness exists: tools/experiment.py runs a fresh child interpreter per trial and defaults to 30 runs, but the committed data records trials_requested = 1.</w:t>
      </w:r>
    </w:p>
    <w:p>
      <w:pPr>
        <w:spacing w:after="170" w:line="300"/>
      </w:pPr>
      <w:r>
        <w:rPr>
          <w:rFonts w:ascii="Cambria" w:cs="Cambria" w:eastAsia="Cambria" w:hAnsi="Cambria"/>
          <w:b w:val="false"/>
          <w:bCs w:val="false"/>
          <w:i w:val="false"/>
          <w:iCs w:val="false"/>
          <w:color w:val="000000"/>
          <w:sz w:val="21"/>
          <w:szCs w:val="21"/>
        </w:rPr>
        <w:t xml:space="preserve">Placeholder text for the current revision:</w:t>
      </w:r>
    </w:p>
    <w:p>
      <w:pPr>
        <w:spacing w:after="170" w:line="300"/>
      </w:pPr>
      <w:r>
        <w:rPr>
          <w:rFonts w:ascii="Cambria" w:cs="Cambria" w:eastAsia="Cambria" w:hAnsi="Cambria"/>
          <w:b w:val="false"/>
          <w:bCs w:val="false"/>
          <w:i/>
          <w:iCs/>
          <w:color w:val="000000"/>
          <w:sz w:val="21"/>
          <w:szCs w:val="21"/>
        </w:rPr>
        <w:t xml:space="preserve">The repeated timing and memory experiment had not been completed at the time of this revision. No inferential or repeated-trial performance results are therefore reported in this section. The section will be completed using the fixed experimental environment and the repeated-trial protocol described in Chapter 3.</w:t>
      </w:r>
    </w:p>
    <w:p>
      <w:pPr>
        <w:spacing w:after="170" w:line="300"/>
      </w:pPr>
      <w:r>
        <w:rPr>
          <w:rFonts w:ascii="Cambria" w:cs="Cambria" w:eastAsia="Cambria" w:hAnsi="Cambria"/>
          <w:b w:val="false"/>
          <w:bCs w:val="false"/>
          <w:i w:val="false"/>
          <w:iCs w:val="false"/>
          <w:color w:val="000000"/>
          <w:sz w:val="21"/>
          <w:szCs w:val="21"/>
        </w:rPr>
        <w:t xml:space="preserve">The eventual table should report, per preset and operation: trials, median time, mean time, standard deviation, 95 percent confidence interval, and peak resident memory. Do not leave placeholder entries in the submitted thesis.</w:t>
      </w:r>
    </w:p>
    <w:p>
      <w:pPr>
        <w:pBdr>
          <w:left w:val="single" w:color="A8541F" w:sz="12" w:space="8"/>
        </w:pBdr>
        <w:shd w:fill="F7ECE3" w:val="clear"/>
        <w:spacing w:after="200" w:before="160"/>
        <w:ind w:left="300" w:right="220"/>
      </w:pPr>
      <w:r>
        <w:rPr>
          <w:rFonts w:ascii="Calibri" w:cs="Calibri" w:eastAsia="Calibri" w:hAnsi="Calibri"/>
          <w:sz w:val="20"/>
          <w:szCs w:val="20"/>
        </w:rPr>
        <w:t xml:space="preserve">One further check before you run it. Your Chapter 3 states the control environment is an Intel Core i5 with 8 GB of RAM, but the environment metadata committed alongside your benchmark data records an AMD64 Family 23 processor — a Ryzen — on Windows 11. Correct the Chapter 3 description to the hardware actually used, or run the timing study on the machine you described.</w:t>
      </w:r>
    </w:p>
    <w:p>
      <w:pPr>
        <w:pStyle w:val="Heading1"/>
        <w:pageBreakBefore/>
        <w:pBdr>
          <w:bottom w:val="single" w:color="1F6F8B" w:sz="8" w:space="6"/>
        </w:pBdr>
        <w:spacing w:after="200" w:before="200"/>
      </w:pPr>
      <w:r>
        <w:rPr>
          <w:rFonts w:ascii="Cambria" w:cs="Cambria" w:eastAsia="Cambria" w:hAnsi="Cambria"/>
          <w:b/>
          <w:bCs/>
          <w:color w:val="1F6F8B"/>
          <w:sz w:val="28"/>
          <w:szCs w:val="28"/>
        </w:rPr>
        <w:t xml:space="preserve">4.8  ISO/IEC 5055-Aligned Source-Code Analysis</w:t>
      </w:r>
    </w:p>
    <w:p>
      <w:pPr>
        <w:spacing w:after="170" w:line="300"/>
      </w:pPr>
      <w:r>
        <w:rPr>
          <w:rFonts w:ascii="Cambria" w:cs="Cambria" w:eastAsia="Cambria" w:hAnsi="Cambria"/>
          <w:b w:val="false"/>
          <w:bCs w:val="false"/>
          <w:i w:val="false"/>
          <w:iCs w:val="false"/>
          <w:color w:val="000000"/>
          <w:sz w:val="21"/>
          <w:szCs w:val="21"/>
        </w:rPr>
        <w:t xml:space="preserve">Your existing Results text for this section is already written and already in the manuscript. It moves here unchanged in substance, with three edits:</w:t>
      </w:r>
    </w:p>
    <w:p>
      <w:pPr>
        <w:pStyle w:val="ListParagraph"/>
        <w:numPr>
          <w:ilvl w:val="0"/>
          <w:numId w:val="1"/>
        </w:numPr>
        <w:spacing w:after="90" w:line="290"/>
      </w:pPr>
      <w:r>
        <w:rPr>
          <w:rFonts w:ascii="Calibri" w:cs="Calibri" w:eastAsia="Calibri" w:hAnsi="Calibri"/>
          <w:sz w:val="20"/>
          <w:szCs w:val="20"/>
        </w:rPr>
        <w:t xml:space="preserve">Renumber its four tables to Tables 4.7 through 4.10.</w:t>
      </w:r>
    </w:p>
    <w:p>
      <w:pPr>
        <w:pStyle w:val="ListParagraph"/>
        <w:numPr>
          <w:ilvl w:val="0"/>
          <w:numId w:val="1"/>
        </w:numPr>
        <w:spacing w:after="90" w:line="290"/>
      </w:pPr>
      <w:r>
        <w:rPr>
          <w:rFonts w:ascii="Calibri" w:cs="Calibri" w:eastAsia="Calibri" w:hAnsi="Calibri"/>
          <w:sz w:val="20"/>
          <w:szCs w:val="20"/>
        </w:rPr>
        <w:t xml:space="preserve">Correct the cyclomatic complexity figures to grade B (6.13) across 257 blocks, from your clean radon run, and add “together with all eight tooling scripts” after the count of grade-A modules.</w:t>
      </w:r>
    </w:p>
    <w:p>
      <w:pPr>
        <w:pStyle w:val="ListParagraph"/>
        <w:numPr>
          <w:ilvl w:val="0"/>
          <w:numId w:val="1"/>
        </w:numPr>
        <w:spacing w:after="90" w:line="290"/>
      </w:pPr>
      <w:r>
        <w:rPr>
          <w:rFonts w:ascii="Calibri" w:cs="Calibri" w:eastAsia="Calibri" w:hAnsi="Calibri"/>
          <w:sz w:val="20"/>
          <w:szCs w:val="20"/>
        </w:rPr>
        <w:t xml:space="preserve">Delete the clause stating that no memory-safety defect was confirmed. Three CWE-476 null-pointer dereferences were confirmed, and a null-pointer dereference is a memory-safety weakness. The sentence contradicts your own finding.</w:t>
      </w:r>
    </w:p>
    <w:p>
      <w:pPr>
        <w:pBdr>
          <w:left w:val="single" w:color="A8541F" w:sz="12" w:space="8"/>
        </w:pBdr>
        <w:shd w:fill="F7ECE3" w:val="clear"/>
        <w:spacing w:after="200" w:before="160"/>
        <w:ind w:left="300" w:right="220"/>
      </w:pPr>
      <w:r>
        <w:rPr>
          <w:rFonts w:ascii="Calibri" w:cs="Calibri" w:eastAsia="Calibri" w:hAnsi="Calibri"/>
          <w:sz w:val="20"/>
          <w:szCs w:val="20"/>
        </w:rPr>
        <w:t xml:space="preserve">Re-run the analyzers before submission. The reported measurement is at commit 048c2fc, dated 18 August. The repository head is 68 commits and roughly 41 percent more Python later, and includes a commit restricting stored-artifact access to owners — a security change your Security figure does not reflect.</w:t>
      </w:r>
    </w:p>
    <w:p>
      <w:pPr>
        <w:pStyle w:val="Heading1"/>
        <w:pageBreakBefore/>
        <w:pBdr>
          <w:bottom w:val="single" w:color="1F6F8B" w:sz="8" w:space="6"/>
        </w:pBdr>
        <w:spacing w:after="200" w:before="200"/>
      </w:pPr>
      <w:r>
        <w:rPr>
          <w:rFonts w:ascii="Cambria" w:cs="Cambria" w:eastAsia="Cambria" w:hAnsi="Cambria"/>
          <w:b/>
          <w:bCs/>
          <w:color w:val="1F6F8B"/>
          <w:sz w:val="28"/>
          <w:szCs w:val="28"/>
        </w:rPr>
        <w:t xml:space="preserve">4.9  Technical Expert and Computer Science Student Evaluation</w:t>
      </w:r>
    </w:p>
    <w:p>
      <w:pPr>
        <w:pBdr>
          <w:left w:val="single" w:color="A8541F" w:sz="12" w:space="8"/>
        </w:pBdr>
        <w:shd w:fill="F7ECE3" w:val="clear"/>
        <w:spacing w:after="200" w:before="160"/>
        <w:ind w:left="300" w:right="220"/>
      </w:pPr>
      <w:r>
        <w:rPr>
          <w:rFonts w:ascii="Calibri" w:cs="Calibri" w:eastAsia="Calibri" w:hAnsi="Calibri"/>
          <w:sz w:val="20"/>
          <w:szCs w:val="20"/>
        </w:rPr>
        <w:t xml:space="preserve">PENDING — the questionnaire has not been administered.</w:t>
      </w:r>
    </w:p>
    <w:p>
      <w:pPr>
        <w:spacing w:after="170" w:line="300"/>
      </w:pPr>
      <w:r>
        <w:rPr>
          <w:rFonts w:ascii="Cambria" w:cs="Cambria" w:eastAsia="Cambria" w:hAnsi="Cambria"/>
          <w:b w:val="false"/>
          <w:bCs w:val="false"/>
          <w:i/>
          <w:iCs/>
          <w:color w:val="000000"/>
          <w:sz w:val="21"/>
          <w:szCs w:val="21"/>
        </w:rPr>
        <w:t xml:space="preserve">The technical-evaluation questionnaire had not been administered at the time of this revision. No expert or computer science student ratings are therefore reported.</w:t>
      </w:r>
    </w:p>
    <w:p>
      <w:pPr>
        <w:spacing w:after="170" w:line="300"/>
      </w:pPr>
      <w:r>
        <w:rPr>
          <w:rFonts w:ascii="Cambria" w:cs="Cambria" w:eastAsia="Cambria" w:hAnsi="Cambria"/>
          <w:b w:val="false"/>
          <w:bCs w:val="false"/>
          <w:i w:val="false"/>
          <w:iCs w:val="false"/>
          <w:color w:val="000000"/>
          <w:sz w:val="21"/>
          <w:szCs w:val="21"/>
        </w:rPr>
        <w:t xml:space="preserve">When responses are collected, report the number invited and completed, evaluator qualifications, construct-level descriptive statistics for Reliability, Security, Performance Efficiency, Maintainability, and Algorithm Transparency and Technical Correctness, item-level distributions, N/A rates per construct, and anonymized comments. Report expert and student Maintainability means separately rather than pooled, since the two groups reviewed at different depth and your methodology treats the student review as maintainability evidence specifically.</w:t>
      </w:r>
    </w:p>
    <w:p>
      <w:pPr>
        <w:pStyle w:val="Heading1"/>
        <w:pageBreakBefore/>
        <w:pBdr>
          <w:bottom w:val="single" w:color="1F6F8B" w:sz="8" w:space="6"/>
        </w:pBdr>
        <w:spacing w:after="200" w:before="200"/>
      </w:pPr>
      <w:r>
        <w:rPr>
          <w:rFonts w:ascii="Cambria" w:cs="Cambria" w:eastAsia="Cambria" w:hAnsi="Cambria"/>
          <w:b/>
          <w:bCs/>
          <w:color w:val="1F6F8B"/>
          <w:sz w:val="28"/>
          <w:szCs w:val="28"/>
        </w:rPr>
        <w:t xml:space="preserve">4.10  End-User Usability Results</w:t>
      </w:r>
    </w:p>
    <w:p>
      <w:pPr>
        <w:pBdr>
          <w:left w:val="single" w:color="A8541F" w:sz="12" w:space="8"/>
        </w:pBdr>
        <w:shd w:fill="F7ECE3" w:val="clear"/>
        <w:spacing w:after="200" w:before="160"/>
        <w:ind w:left="300" w:right="220"/>
      </w:pPr>
      <w:r>
        <w:rPr>
          <w:rFonts w:ascii="Calibri" w:cs="Calibri" w:eastAsia="Calibri" w:hAnsi="Calibri"/>
          <w:sz w:val="20"/>
          <w:szCs w:val="20"/>
        </w:rPr>
        <w:t xml:space="preserve">PENDING — the usability evaluation has not been conducted.</w:t>
      </w:r>
    </w:p>
    <w:p>
      <w:pPr>
        <w:spacing w:after="170" w:line="300"/>
      </w:pPr>
      <w:r>
        <w:rPr>
          <w:rFonts w:ascii="Cambria" w:cs="Cambria" w:eastAsia="Cambria" w:hAnsi="Cambria"/>
          <w:b w:val="false"/>
          <w:bCs w:val="false"/>
          <w:i/>
          <w:iCs/>
          <w:color w:val="000000"/>
          <w:sz w:val="21"/>
          <w:szCs w:val="21"/>
        </w:rPr>
        <w:t xml:space="preserve">End-user usability testing had not been conducted at the time of this revision. No adapted PSSUQ or ByteSize-specific usability scores are therefore reported.</w:t>
      </w:r>
    </w:p>
    <w:p>
      <w:pPr>
        <w:spacing w:after="170" w:line="300"/>
      </w:pPr>
      <w:r>
        <w:rPr>
          <w:rFonts w:ascii="Cambria" w:cs="Cambria" w:eastAsia="Cambria" w:hAnsi="Cambria"/>
          <w:b w:val="false"/>
          <w:bCs w:val="false"/>
          <w:i w:val="false"/>
          <w:iCs w:val="false"/>
          <w:color w:val="000000"/>
          <w:sz w:val="21"/>
          <w:szCs w:val="21"/>
        </w:rPr>
        <w:t xml:space="preserve">When responses are collected, report System Usefulness, Information Quality, Interface Quality, and Overall as means with standard deviations and 95 percent confidence intervals, stating in the text that interval width reflects the sample size and that the assessment is formative. Exclude Not Applicable responses from each item's denominator rather than imputing them. Report the eight ByteSize-specific items separately from the four constructs, and summarize open comments by theme. Draw no comparison against the published PSSUQ norms, since the instrument administered is an adaptation. State the scale direction wherever scores appear: lower values indicate better perceived usability, which is the opposite of the technical instrument in Section 4.9, and the two are never pooled.</w:t>
      </w:r>
    </w:p>
    <w:p>
      <w:pPr>
        <w:pStyle w:val="Heading1"/>
        <w:pageBreakBefore/>
        <w:pBdr>
          <w:bottom w:val="single" w:color="1F6F8B" w:sz="8" w:space="6"/>
        </w:pBdr>
        <w:spacing w:after="200" w:before="200"/>
      </w:pPr>
      <w:r>
        <w:rPr>
          <w:rFonts w:ascii="Cambria" w:cs="Cambria" w:eastAsia="Cambria" w:hAnsi="Cambria"/>
          <w:b/>
          <w:bCs/>
          <w:color w:val="1F6F8B"/>
          <w:sz w:val="28"/>
          <w:szCs w:val="28"/>
        </w:rPr>
        <w:t xml:space="preserve">4.11  Summary of Findings</w:t>
      </w:r>
    </w:p>
    <w:p>
      <w:pPr>
        <w:spacing w:after="170" w:line="300"/>
      </w:pPr>
      <w:r>
        <w:rPr>
          <w:rFonts w:ascii="Cambria" w:cs="Cambria" w:eastAsia="Cambria" w:hAnsi="Cambria"/>
          <w:b w:val="false"/>
          <w:bCs w:val="false"/>
          <w:i w:val="false"/>
          <w:iCs w:val="false"/>
          <w:color w:val="000000"/>
          <w:sz w:val="21"/>
          <w:szCs w:val="21"/>
        </w:rPr>
        <w:t xml:space="preserve">The findings answer the study's objectives as follows.</w:t>
      </w:r>
    </w:p>
    <w:p>
      <w:pPr>
        <w:pStyle w:val="ListParagraph"/>
        <w:numPr>
          <w:ilvl w:val="0"/>
          <w:numId w:val="1"/>
        </w:numPr>
        <w:spacing w:after="90" w:line="290"/>
      </w:pPr>
      <w:r>
        <w:rPr>
          <w:rFonts w:ascii="Calibri" w:cs="Calibri" w:eastAsia="Calibri" w:hAnsi="Calibri"/>
          <w:sz w:val="20"/>
          <w:szCs w:val="20"/>
        </w:rPr>
        <w:t xml:space="preserve">Lossless reconstruction was verified on every reported configuration across all corpora and both ablation datasets, with no failures.</w:t>
      </w:r>
    </w:p>
    <w:p>
      <w:pPr>
        <w:pStyle w:val="ListParagraph"/>
        <w:numPr>
          <w:ilvl w:val="0"/>
          <w:numId w:val="1"/>
        </w:numPr>
        <w:spacing w:after="90" w:line="290"/>
      </w:pPr>
      <w:r>
        <w:rPr>
          <w:rFonts w:ascii="Calibri" w:cs="Calibri" w:eastAsia="Calibri" w:hAnsi="Calibri"/>
          <w:sz w:val="20"/>
          <w:szCs w:val="20"/>
        </w:rPr>
        <w:t xml:space="preserve">Multi-level frequency analysis with a bit-cost admission rule produced output 18.29 percent smaller than the single-tier Huffman baseline across 980 real-world documents.</w:t>
      </w:r>
    </w:p>
    <w:p>
      <w:pPr>
        <w:pStyle w:val="ListParagraph"/>
        <w:numPr>
          <w:ilvl w:val="0"/>
          <w:numId w:val="1"/>
        </w:numPr>
        <w:spacing w:after="90" w:line="290"/>
      </w:pPr>
      <w:r>
        <w:rPr>
          <w:rFonts w:ascii="Calibri" w:cs="Calibri" w:eastAsia="Calibri" w:hAnsi="Calibri"/>
          <w:sz w:val="20"/>
          <w:szCs w:val="20"/>
        </w:rPr>
        <w:t xml:space="preserve">Compression effectiveness depended on internal data composition rather than file extension, ranging from 74.48 percent improvement over the baseline on XML to 0.07 percent on GIF.</w:t>
      </w:r>
    </w:p>
    <w:p>
      <w:pPr>
        <w:pStyle w:val="ListParagraph"/>
        <w:numPr>
          <w:ilvl w:val="0"/>
          <w:numId w:val="1"/>
        </w:numPr>
        <w:spacing w:after="90" w:line="290"/>
      </w:pPr>
      <w:r>
        <w:rPr>
          <w:rFonts w:ascii="Calibri" w:cs="Calibri" w:eastAsia="Calibri" w:hAnsi="Calibri"/>
          <w:sz w:val="20"/>
          <w:szCs w:val="20"/>
        </w:rPr>
        <w:t xml:space="preserve">Tier 2, Tier 3, and the Bit Cost Decision Engine each made measurable positive contributions on both ablation corpora, with the Decision Engine the largest contributor on the heterogeneous real-world subset.</w:t>
      </w:r>
    </w:p>
    <w:p>
      <w:pPr>
        <w:pStyle w:val="ListParagraph"/>
        <w:numPr>
          <w:ilvl w:val="0"/>
          <w:numId w:val="1"/>
        </w:numPr>
        <w:spacing w:after="90" w:line="290"/>
      </w:pPr>
      <w:r>
        <w:rPr>
          <w:rFonts w:ascii="Calibri" w:cs="Calibri" w:eastAsia="Calibri" w:hAnsi="Calibri"/>
          <w:sz w:val="20"/>
          <w:szCs w:val="20"/>
        </w:rPr>
        <w:t xml:space="preserve">The Maximum Preset produced the smallest output on every corpus, though its practical standing cannot be concluded until the timing experiment is complete.</w:t>
      </w:r>
    </w:p>
    <w:p>
      <w:pPr>
        <w:pStyle w:val="ListParagraph"/>
        <w:numPr>
          <w:ilvl w:val="0"/>
          <w:numId w:val="1"/>
        </w:numPr>
        <w:spacing w:after="90" w:line="290"/>
      </w:pPr>
      <w:r>
        <w:rPr>
          <w:rFonts w:ascii="Calibri" w:cs="Calibri" w:eastAsia="Calibri" w:hAnsi="Calibri"/>
          <w:sz w:val="20"/>
          <w:szCs w:val="20"/>
        </w:rPr>
        <w:t xml:space="preserve">General-purpose reference compressors produced smaller aggregate output, using mechanisms outside the scope of the method under study.</w:t>
      </w:r>
    </w:p>
    <w:p>
      <w:pPr>
        <w:pStyle w:val="ListParagraph"/>
        <w:numPr>
          <w:ilvl w:val="0"/>
          <w:numId w:val="1"/>
        </w:numPr>
        <w:spacing w:after="90" w:line="290"/>
      </w:pPr>
      <w:r>
        <w:rPr>
          <w:rFonts w:ascii="Calibri" w:cs="Calibri" w:eastAsia="Calibri" w:hAnsi="Calibri"/>
          <w:sz w:val="20"/>
          <w:szCs w:val="20"/>
        </w:rPr>
        <w:t xml:space="preserve">Automated source-code analysis confirmed four weaknesses that successful functional and lossless testing had not surfaced, demonstrating that passing tests does not by itself establish the absence of low-level implementation defects.</w:t>
      </w:r>
    </w:p>
    <w:p>
      <w:pPr>
        <w:pBdr>
          <w:left w:val="single" w:color="A8541F" w:sz="12" w:space="8"/>
        </w:pBdr>
        <w:shd w:fill="F7ECE3" w:val="clear"/>
        <w:spacing w:after="200" w:before="160"/>
        <w:ind w:left="300" w:right="220"/>
      </w:pPr>
      <w:r>
        <w:rPr>
          <w:rFonts w:ascii="Calibri" w:cs="Calibri" w:eastAsia="Calibri" w:hAnsi="Calibri"/>
          <w:sz w:val="20"/>
          <w:szCs w:val="20"/>
        </w:rPr>
        <w:t xml:space="preserve">Two objectives remain unanswered pending the timing experiment and the human evaluations. State that explicitly here rather than omitting them.</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working draft</dc:title>
  <dc:creator>ByteSize research team</dc:creator>
  <cp:lastModifiedBy>Un-named</cp:lastModifiedBy>
  <cp:revision>1</cp:revision>
  <dcterms:created xsi:type="dcterms:W3CDTF">2026-08-26T18:00:39.677Z</dcterms:created>
  <dcterms:modified xsi:type="dcterms:W3CDTF">2026-08-26T18:00:39.690Z</dcterms:modified>
</cp:coreProperties>
</file>

<file path=docProps/custom.xml><?xml version="1.0" encoding="utf-8"?>
<Properties xmlns="http://schemas.openxmlformats.org/officeDocument/2006/custom-properties" xmlns:vt="http://schemas.openxmlformats.org/officeDocument/2006/docPropsVTypes"/>
</file>