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rFonts w:ascii="Cambria" w:cs="Cambria" w:eastAsia="Cambria" w:hAnsi="Cambria"/>
          <w:b/>
          <w:bCs/>
          <w:sz w:val="40"/>
          <w:szCs w:val="40"/>
        </w:rPr>
        <w:t xml:space="preserve">COMPRESSION PERFORMANCE</w:t>
      </w:r>
    </w:p>
    <w:p>
      <w:pPr>
        <w:spacing w:after="340"/>
      </w:pPr>
      <w:r>
        <w:rPr>
          <w:rFonts w:ascii="Cambria" w:cs="Cambria" w:eastAsia="Cambria" w:hAnsi="Cambria"/>
          <w:color w:val="1F6F8B"/>
          <w:sz w:val="26"/>
          <w:szCs w:val="26"/>
        </w:rPr>
        <w:t xml:space="preserve">Draft subsection for Chapter 4 — Results</w:t>
      </w:r>
    </w:p>
    <w:p>
      <w:pPr>
        <w:spacing w:after="170" w:line="300"/>
      </w:pPr>
      <w:r>
        <w:rPr>
          <w:rFonts w:ascii="Cambria" w:cs="Cambria" w:eastAsia="Cambria" w:hAnsi="Cambria"/>
          <w:b w:val="false"/>
          <w:bCs w:val="false"/>
          <w:i w:val="false"/>
          <w:iCs w:val="false"/>
          <w:color w:val="000000"/>
          <w:sz w:val="21"/>
          <w:szCs w:val="21"/>
        </w:rPr>
        <w:t xml:space="preserve">Adaptive File Compression System Using Multi-Level Frequency Analysis &amp; Hybrid Huffman</w:t>
      </w:r>
    </w:p>
    <w:p>
      <w:pPr>
        <w:spacing w:after="170" w:line="300"/>
      </w:pPr>
      <w:r>
        <w:rPr>
          <w:rFonts w:ascii="Cambria" w:cs="Cambria" w:eastAsia="Cambria" w:hAnsi="Cambria"/>
          <w:b w:val="false"/>
          <w:bCs w:val="false"/>
          <w:i w:val="false"/>
          <w:iCs w:val="false"/>
          <w:color w:val="000000"/>
          <w:sz w:val="21"/>
          <w:szCs w:val="21"/>
        </w:rPr>
        <w:t xml:space="preserve">School of Computing, Holy Angel University</w:t>
      </w:r>
    </w:p>
    <w:p>
      <w:pPr>
        <w:pBdr>
          <w:top w:val="single" w:color="CCCCCC" w:sz="8" w:space="10"/>
        </w:pBdr>
        <w:spacing w:after="150" w:before="420"/>
      </w:pPr>
      <w:r>
        <w:rPr>
          <w:rFonts w:ascii="Cambria" w:cs="Cambria" w:eastAsia="Cambria" w:hAnsi="Cambria"/>
          <w:b/>
          <w:bCs/>
          <w:sz w:val="22"/>
          <w:szCs w:val="22"/>
        </w:rPr>
        <w:t xml:space="preserve">Before you paste this</w:t>
      </w:r>
    </w:p>
    <w:p>
      <w:pPr>
        <w:spacing w:after="170" w:line="300"/>
      </w:pPr>
      <w:r>
        <w:rPr>
          <w:rFonts w:ascii="Cambria" w:cs="Cambria" w:eastAsia="Cambria" w:hAnsi="Cambria"/>
          <w:b w:val="false"/>
          <w:bCs w:val="false"/>
          <w:i w:val="false"/>
          <w:iCs w:val="false"/>
          <w:color w:val="000000"/>
          <w:sz w:val="21"/>
          <w:szCs w:val="21"/>
        </w:rPr>
        <w:t xml:space="preserve">Every figure below is taken from Appendix F of your manuscript — Tables F1, F2, F3, F4, F4a, and F4b. Nothing here is new measurement. This subsection surfaces results that already exist in your appendices into the Results chapter, where a reader expects to find them.</w:t>
      </w:r>
    </w:p>
    <w:p>
      <w:pPr>
        <w:spacing w:after="170" w:line="300"/>
      </w:pPr>
      <w:r>
        <w:rPr>
          <w:rFonts w:ascii="Cambria" w:cs="Cambria" w:eastAsia="Cambria" w:hAnsi="Cambria"/>
          <w:b w:val="false"/>
          <w:bCs w:val="false"/>
          <w:i w:val="false"/>
          <w:iCs w:val="false"/>
          <w:color w:val="000000"/>
          <w:sz w:val="21"/>
          <w:szCs w:val="21"/>
        </w:rPr>
        <w:t xml:space="preserve">This subsection goes FIRST in Chapter 4, before Automated Source-Code Measurement. It reports your primary contribution and should lead the chapter.</w:t>
      </w:r>
    </w:p>
    <w:p>
      <w:pPr>
        <w:pBdr>
          <w:left w:val="single" w:color="A8541F" w:sz="12" w:space="8"/>
        </w:pBdr>
        <w:shd w:fill="F7ECE3" w:val="clear"/>
        <w:spacing w:after="200" w:before="200"/>
        <w:ind w:left="300" w:right="220"/>
      </w:pPr>
      <w:r>
        <w:rPr>
          <w:rFonts w:ascii="Calibri" w:cs="Calibri" w:eastAsia="Calibri" w:hAnsi="Calibri"/>
          <w:sz w:val="20"/>
          <w:szCs w:val="20"/>
        </w:rPr>
        <w:t xml:space="preserve">Table numbering: this subsection takes Tables 1 through 5. Your existing Automated Source-Code Measurement tables must therefore renumber from 1–4 to 6–9, and the sentences referring to them in the prose must be updated to match.</w:t>
      </w:r>
    </w:p>
    <w:p>
      <w:pPr>
        <w:pStyle w:val="Heading1"/>
        <w:pageBreakBefore/>
        <w:pBdr>
          <w:bottom w:val="single" w:color="1F6F8B" w:sz="8" w:space="6"/>
        </w:pBdr>
        <w:spacing w:after="200" w:before="200"/>
      </w:pPr>
      <w:r>
        <w:rPr>
          <w:rFonts w:ascii="Cambria" w:cs="Cambria" w:eastAsia="Cambria" w:hAnsi="Cambria"/>
          <w:b/>
          <w:bCs/>
          <w:color w:val="1F6F8B"/>
          <w:sz w:val="30"/>
          <w:szCs w:val="30"/>
        </w:rPr>
        <w:t xml:space="preserve">Compression Performance</w:t>
      </w:r>
    </w:p>
    <w:p>
      <w:pPr>
        <w:spacing w:after="170" w:line="300"/>
      </w:pPr>
      <w:r>
        <w:rPr>
          <w:rFonts w:ascii="Cambria" w:cs="Cambria" w:eastAsia="Cambria" w:hAnsi="Cambria"/>
          <w:b w:val="false"/>
          <w:bCs w:val="false"/>
          <w:i w:val="false"/>
          <w:iCs w:val="false"/>
          <w:color w:val="000000"/>
          <w:sz w:val="21"/>
          <w:szCs w:val="21"/>
        </w:rPr>
        <w:t xml:space="preserve">The compression evaluation addressed the study's primary objective: whether multi-level frequency analysis combined with a bit-cost admission rule produces smaller output than single-tier Huffman coding. Three corpora were used. The Canterbury and Silesia Corpora provided established benchmarks against which compression behavior could be compared across file types, and GovDocs1 thread 000 supplied a large sample of real-world documents drawn without selection on file type or content. Every reported configuration was decompressed and verified by exact byte comparison and SHA-256 digest comparison before its result was accepted; no figure below rests on an unverified reconstruction.</w:t>
      </w:r>
    </w:p>
    <w:p>
      <w:pPr>
        <w:pStyle w:val="Heading3"/>
        <w:spacing w:after="120" w:before="280"/>
      </w:pPr>
      <w:r>
        <w:rPr>
          <w:rFonts w:ascii="Cambria" w:cs="Cambria" w:eastAsia="Cambria" w:hAnsi="Cambria"/>
          <w:b/>
          <w:bCs/>
          <w:sz w:val="22"/>
          <w:szCs w:val="22"/>
        </w:rPr>
        <w:t xml:space="preserve">Silesia Corpus</w:t>
      </w:r>
    </w:p>
    <w:p>
      <w:pPr>
        <w:spacing w:after="170" w:line="300"/>
      </w:pPr>
      <w:r>
        <w:rPr>
          <w:rFonts w:ascii="Cambria" w:cs="Cambria" w:eastAsia="Cambria" w:hAnsi="Cambria"/>
          <w:b w:val="false"/>
          <w:bCs w:val="false"/>
          <w:i w:val="false"/>
          <w:iCs w:val="false"/>
          <w:color w:val="000000"/>
          <w:sz w:val="21"/>
          <w:szCs w:val="21"/>
        </w:rPr>
        <w:t xml:space="preserve">All twelve Silesia files, totaling 211,938,580 bytes, were compressed under each of the three presets. Results appear in Table 1.</w:t>
      </w:r>
    </w:p>
    <w:p>
      <w:pPr>
        <w:spacing w:after="40" w:before="280"/>
      </w:pPr>
      <w:r>
        <w:rPr>
          <w:rFonts w:ascii="Calibri" w:cs="Calibri" w:eastAsia="Calibri" w:hAnsi="Calibri"/>
          <w:b/>
          <w:bCs/>
          <w:sz w:val="20"/>
          <w:szCs w:val="20"/>
        </w:rPr>
        <w:t xml:space="preserve">Table 1</w:t>
      </w:r>
    </w:p>
    <w:p>
      <w:pPr>
        <w:spacing w:after="120"/>
      </w:pPr>
      <w:r>
        <w:rPr>
          <w:rFonts w:ascii="Calibri" w:cs="Calibri" w:eastAsia="Calibri" w:hAnsi="Calibri"/>
          <w:i/>
          <w:iCs/>
          <w:sz w:val="20"/>
          <w:szCs w:val="20"/>
        </w:rPr>
        <w:t xml:space="preserve">Silesia Corpus Results by Preset, All Twelve Files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800"/>
        <w:gridCol w:w="2000"/>
      </w:tblGrid>
      <w:tr>
        <w:trPr>
          <w:tblHeader/>
        </w:trPr>
        <w:tc>
          <w:tcPr>
            <w:tcW w:type="dxa" w:w="2600"/>
            <w:shd w:fill="E3EEF2" w:val="clear"/>
            <w:tcMar>
              <w:top w:type="dxa" w:w="80"/>
              <w:left w:type="dxa" w:w="110"/>
              <w:bottom w:type="dxa" w:w="80"/>
              <w:right w:type="dxa" w:w="110"/>
            </w:tcMar>
          </w:tcPr>
          <w:p>
            <w:pPr>
              <w:jc w:val="left"/>
            </w:pPr>
            <w:r>
              <w:rPr>
                <w:rFonts w:ascii="Calibri" w:cs="Calibri" w:eastAsia="Calibri" w:hAnsi="Calibri"/>
                <w:b/>
                <w:bCs/>
                <w:sz w:val="17"/>
                <w:szCs w:val="17"/>
              </w:rPr>
              <w:t xml:space="preserve">Preset</w:t>
            </w:r>
          </w:p>
        </w:tc>
        <w:tc>
          <w:tcPr>
            <w:tcW w:type="dxa" w:w="3000"/>
            <w:shd w:fill="E3EEF2" w:val="clear"/>
            <w:tcMar>
              <w:top w:type="dxa" w:w="80"/>
              <w:left w:type="dxa" w:w="110"/>
              <w:bottom w:type="dxa" w:w="80"/>
              <w:right w:type="dxa" w:w="110"/>
            </w:tcMar>
          </w:tcPr>
          <w:p>
            <w:pPr>
              <w:jc w:val="right"/>
            </w:pPr>
            <w:r>
              <w:rPr>
                <w:rFonts w:ascii="Calibri" w:cs="Calibri" w:eastAsia="Calibri" w:hAnsi="Calibri"/>
                <w:b/>
                <w:bCs/>
                <w:sz w:val="17"/>
                <w:szCs w:val="17"/>
              </w:rPr>
              <w:t xml:space="preserve">AFC bytes</w:t>
            </w:r>
          </w:p>
        </w:tc>
        <w:tc>
          <w:tcPr>
            <w:tcW w:type="dxa" w:w="1800"/>
            <w:shd w:fill="E3EEF2" w:val="clear"/>
            <w:tcMar>
              <w:top w:type="dxa" w:w="80"/>
              <w:left w:type="dxa" w:w="110"/>
              <w:bottom w:type="dxa" w:w="80"/>
              <w:right w:type="dxa" w:w="110"/>
            </w:tcMar>
          </w:tcPr>
          <w:p>
            <w:pPr>
              <w:jc w:val="right"/>
            </w:pPr>
            <w:r>
              <w:rPr>
                <w:rFonts w:ascii="Calibri" w:cs="Calibri" w:eastAsia="Calibri" w:hAnsi="Calibri"/>
                <w:b/>
                <w:bCs/>
                <w:sz w:val="17"/>
                <w:szCs w:val="17"/>
              </w:rPr>
              <w:t xml:space="preserve">Ratio</w:t>
            </w:r>
          </w:p>
        </w:tc>
        <w:tc>
          <w:tcPr>
            <w:tcW w:type="dxa" w:w="2000"/>
            <w:shd w:fill="E3EEF2" w:val="clear"/>
            <w:tcMar>
              <w:top w:type="dxa" w:w="80"/>
              <w:left w:type="dxa" w:w="110"/>
              <w:bottom w:type="dxa" w:w="80"/>
              <w:right w:type="dxa" w:w="110"/>
            </w:tcMar>
          </w:tcPr>
          <w:p>
            <w:pPr>
              <w:jc w:val="right"/>
            </w:pPr>
            <w:r>
              <w:rPr>
                <w:rFonts w:ascii="Calibri" w:cs="Calibri" w:eastAsia="Calibri" w:hAnsi="Calibri"/>
                <w:b/>
                <w:bCs/>
                <w:sz w:val="17"/>
                <w:szCs w:val="17"/>
              </w:rPr>
              <w:t xml:space="preserve">Saved</w:t>
            </w:r>
          </w:p>
        </w:tc>
      </w:tr>
      <w:tr>
        <w:trPr>
          <w:tblHeader w:val="false"/>
        </w:trPr>
        <w:tc>
          <w:tcPr>
            <w:tcW w:type="dxa" w:w="2600"/>
            <w:tcMar>
              <w:top w:type="dxa" w:w="80"/>
              <w:left w:type="dxa" w:w="110"/>
              <w:bottom w:type="dxa" w:w="80"/>
              <w:right w:type="dxa" w:w="110"/>
            </w:tcMar>
          </w:tcPr>
          <w:p>
            <w:pPr>
              <w:jc w:val="left"/>
            </w:pPr>
            <w:r>
              <w:rPr>
                <w:rFonts w:ascii="Calibri" w:cs="Calibri" w:eastAsia="Calibri" w:hAnsi="Calibri"/>
                <w:b w:val="false"/>
                <w:bCs w:val="false"/>
                <w:sz w:val="17"/>
                <w:szCs w:val="17"/>
              </w:rPr>
              <w:t xml:space="preserve">Fast</w:t>
            </w:r>
          </w:p>
        </w:tc>
        <w:tc>
          <w:tcPr>
            <w:tcW w:type="dxa" w:w="30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98,977,766</w:t>
            </w:r>
          </w:p>
        </w:tc>
        <w:tc>
          <w:tcPr>
            <w:tcW w:type="dxa" w:w="18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2.14</w:t>
            </w:r>
          </w:p>
        </w:tc>
        <w:tc>
          <w:tcPr>
            <w:tcW w:type="dxa" w:w="20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53.30%</w:t>
            </w:r>
          </w:p>
        </w:tc>
      </w:tr>
      <w:tr>
        <w:trPr>
          <w:tblHeader w:val="false"/>
        </w:trPr>
        <w:tc>
          <w:tcPr>
            <w:tcW w:type="dxa" w:w="2600"/>
            <w:tcMar>
              <w:top w:type="dxa" w:w="80"/>
              <w:left w:type="dxa" w:w="110"/>
              <w:bottom w:type="dxa" w:w="80"/>
              <w:right w:type="dxa" w:w="110"/>
            </w:tcMar>
          </w:tcPr>
          <w:p>
            <w:pPr>
              <w:jc w:val="left"/>
            </w:pPr>
            <w:r>
              <w:rPr>
                <w:rFonts w:ascii="Calibri" w:cs="Calibri" w:eastAsia="Calibri" w:hAnsi="Calibri"/>
                <w:b w:val="false"/>
                <w:bCs w:val="false"/>
                <w:sz w:val="17"/>
                <w:szCs w:val="17"/>
              </w:rPr>
              <w:t xml:space="preserve">Balanced</w:t>
            </w:r>
          </w:p>
        </w:tc>
        <w:tc>
          <w:tcPr>
            <w:tcW w:type="dxa" w:w="30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87,133,292</w:t>
            </w:r>
          </w:p>
        </w:tc>
        <w:tc>
          <w:tcPr>
            <w:tcW w:type="dxa" w:w="18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2.43</w:t>
            </w:r>
          </w:p>
        </w:tc>
        <w:tc>
          <w:tcPr>
            <w:tcW w:type="dxa" w:w="20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58.89%</w:t>
            </w:r>
          </w:p>
        </w:tc>
      </w:tr>
      <w:tr>
        <w:trPr>
          <w:tblHeader w:val="false"/>
        </w:trPr>
        <w:tc>
          <w:tcPr>
            <w:tcW w:type="dxa" w:w="2600"/>
            <w:tcMar>
              <w:top w:type="dxa" w:w="80"/>
              <w:left w:type="dxa" w:w="110"/>
              <w:bottom w:type="dxa" w:w="80"/>
              <w:right w:type="dxa" w:w="110"/>
            </w:tcMar>
          </w:tcPr>
          <w:p>
            <w:pPr>
              <w:jc w:val="left"/>
            </w:pPr>
            <w:r>
              <w:rPr>
                <w:rFonts w:ascii="Calibri" w:cs="Calibri" w:eastAsia="Calibri" w:hAnsi="Calibri"/>
                <w:b w:val="false"/>
                <w:bCs w:val="false"/>
                <w:sz w:val="17"/>
                <w:szCs w:val="17"/>
              </w:rPr>
              <w:t xml:space="preserve">Maximum</w:t>
            </w:r>
          </w:p>
        </w:tc>
        <w:tc>
          <w:tcPr>
            <w:tcW w:type="dxa" w:w="30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83,102,753</w:t>
            </w:r>
          </w:p>
        </w:tc>
        <w:tc>
          <w:tcPr>
            <w:tcW w:type="dxa" w:w="18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2.55</w:t>
            </w:r>
          </w:p>
        </w:tc>
        <w:tc>
          <w:tcPr>
            <w:tcW w:type="dxa" w:w="20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60.79%</w:t>
            </w:r>
          </w:p>
        </w:tc>
      </w:tr>
    </w:tbl>
    <w:p>
      <w:pPr>
        <w:spacing w:after="220" w:before="100"/>
      </w:pPr>
      <w:r>
        <w:rPr>
          <w:rFonts w:ascii="Calibri" w:cs="Calibri" w:eastAsia="Calibri" w:hAnsi="Calibri"/>
          <w:i/>
          <w:iCs/>
          <w:sz w:val="18"/>
          <w:szCs w:val="18"/>
        </w:rPr>
        <w:t xml:space="preserve">Note. </w:t>
      </w:r>
      <w:r>
        <w:rPr>
          <w:rFonts w:ascii="Calibri" w:cs="Calibri" w:eastAsia="Calibri" w:hAnsi="Calibri"/>
          <w:sz w:val="18"/>
          <w:szCs w:val="18"/>
        </w:rPr>
        <w:t xml:space="preserve">Source bytes are 211,938,580 at every preset. All thirty-six file and preset configurations reconstructed the exact original bytes with matching SHA-256 digests.</w:t>
      </w:r>
    </w:p>
    <w:p>
      <w:pPr>
        <w:spacing w:after="170" w:line="300"/>
      </w:pPr>
      <w:r>
        <w:rPr>
          <w:rFonts w:ascii="Cambria" w:cs="Cambria" w:eastAsia="Cambria" w:hAnsi="Cambria"/>
          <w:b w:val="false"/>
          <w:bCs w:val="false"/>
          <w:i w:val="false"/>
          <w:iCs w:val="false"/>
          <w:color w:val="000000"/>
          <w:sz w:val="21"/>
          <w:szCs w:val="21"/>
        </w:rPr>
        <w:t xml:space="preserve">The Maximum Preset reduced the corpus by 60.79 percent, a compression ratio of 2.55. The nesting property held without exception: the Balanced Preset produced smaller output than Fast on all twelve files, saving 11,844,474 bytes or 11.97 percent of the Fast output, and Maximum produced smaller output than Balanced on all twelve, saving a further 4,030,539 bytes or 4.63 percent. Because no file was larger at a deeper preset, the search ladder is monotonic on this corpus, which is the behavior the preset design intends.</w:t>
      </w:r>
    </w:p>
    <w:p>
      <w:pPr>
        <w:pStyle w:val="Heading3"/>
        <w:spacing w:after="120" w:before="280"/>
      </w:pPr>
      <w:r>
        <w:rPr>
          <w:rFonts w:ascii="Cambria" w:cs="Cambria" w:eastAsia="Cambria" w:hAnsi="Cambria"/>
          <w:b/>
          <w:bCs/>
          <w:sz w:val="22"/>
          <w:szCs w:val="22"/>
        </w:rPr>
        <w:t xml:space="preserve">GovDocs1 Thread 000</w:t>
      </w:r>
    </w:p>
    <w:p>
      <w:pPr>
        <w:spacing w:after="170" w:line="300"/>
      </w:pPr>
      <w:r>
        <w:rPr>
          <w:rFonts w:ascii="Cambria" w:cs="Cambria" w:eastAsia="Cambria" w:hAnsi="Cambria"/>
          <w:b w:val="false"/>
          <w:bCs w:val="false"/>
          <w:i w:val="false"/>
          <w:iCs w:val="false"/>
          <w:color w:val="000000"/>
          <w:sz w:val="21"/>
          <w:szCs w:val="21"/>
        </w:rPr>
        <w:t xml:space="preserve">GovDocs1 thread 000 is the study's sample of record for real-world documents. It comprises 980 files totaling 627,788,678 bytes, used as distributed. One archive member of 131,010,734 bytes was excluded because it exceeds the 100-megabyte per-file ceiling the system enforces, so that the evaluation corpus could not contain a file the system under study would refuse. Preset results appear in Table 2.</w:t>
      </w:r>
    </w:p>
    <w:p>
      <w:pPr>
        <w:spacing w:after="40" w:before="280"/>
      </w:pPr>
      <w:r>
        <w:rPr>
          <w:rFonts w:ascii="Calibri" w:cs="Calibri" w:eastAsia="Calibri" w:hAnsi="Calibri"/>
          <w:b/>
          <w:bCs/>
          <w:sz w:val="20"/>
          <w:szCs w:val="20"/>
        </w:rPr>
        <w:t xml:space="preserve">Table 2</w:t>
      </w:r>
    </w:p>
    <w:p>
      <w:pPr>
        <w:spacing w:after="120"/>
      </w:pPr>
      <w:r>
        <w:rPr>
          <w:rFonts w:ascii="Calibri" w:cs="Calibri" w:eastAsia="Calibri" w:hAnsi="Calibri"/>
          <w:i/>
          <w:iCs/>
          <w:sz w:val="20"/>
          <w:szCs w:val="20"/>
        </w:rPr>
        <w:t xml:space="preserve">GovDocs1 Thread 000 Results by Preset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400"/>
      </w:tblGrid>
      <w:tr>
        <w:trPr>
          <w:tblHeader/>
        </w:trPr>
        <w:tc>
          <w:tcPr>
            <w:tcW w:type="dxa" w:w="2800"/>
            <w:shd w:fill="E3EEF2" w:val="clear"/>
            <w:tcMar>
              <w:top w:type="dxa" w:w="80"/>
              <w:left w:type="dxa" w:w="110"/>
              <w:bottom w:type="dxa" w:w="80"/>
              <w:right w:type="dxa" w:w="110"/>
            </w:tcMar>
          </w:tcPr>
          <w:p>
            <w:pPr>
              <w:jc w:val="left"/>
            </w:pPr>
            <w:r>
              <w:rPr>
                <w:rFonts w:ascii="Calibri" w:cs="Calibri" w:eastAsia="Calibri" w:hAnsi="Calibri"/>
                <w:b/>
                <w:bCs/>
                <w:sz w:val="17"/>
                <w:szCs w:val="17"/>
              </w:rPr>
              <w:t xml:space="preserve">Preset</w:t>
            </w:r>
          </w:p>
        </w:tc>
        <w:tc>
          <w:tcPr>
            <w:tcW w:type="dxa" w:w="3400"/>
            <w:shd w:fill="E3EEF2" w:val="clear"/>
            <w:tcMar>
              <w:top w:type="dxa" w:w="80"/>
              <w:left w:type="dxa" w:w="110"/>
              <w:bottom w:type="dxa" w:w="80"/>
              <w:right w:type="dxa" w:w="110"/>
            </w:tcMar>
          </w:tcPr>
          <w:p>
            <w:pPr>
              <w:jc w:val="right"/>
            </w:pPr>
            <w:r>
              <w:rPr>
                <w:rFonts w:ascii="Calibri" w:cs="Calibri" w:eastAsia="Calibri" w:hAnsi="Calibri"/>
                <w:b/>
                <w:bCs/>
                <w:sz w:val="17"/>
                <w:szCs w:val="17"/>
              </w:rPr>
              <w:t xml:space="preserve">AFC bytes</w:t>
            </w:r>
          </w:p>
        </w:tc>
        <w:tc>
          <w:tcPr>
            <w:tcW w:type="dxa" w:w="2400"/>
            <w:shd w:fill="E3EEF2" w:val="clear"/>
            <w:tcMar>
              <w:top w:type="dxa" w:w="80"/>
              <w:left w:type="dxa" w:w="110"/>
              <w:bottom w:type="dxa" w:w="80"/>
              <w:right w:type="dxa" w:w="110"/>
            </w:tcMar>
          </w:tcPr>
          <w:p>
            <w:pPr>
              <w:jc w:val="right"/>
            </w:pPr>
            <w:r>
              <w:rPr>
                <w:rFonts w:ascii="Calibri" w:cs="Calibri" w:eastAsia="Calibri" w:hAnsi="Calibri"/>
                <w:b/>
                <w:bCs/>
                <w:sz w:val="17"/>
                <w:szCs w:val="17"/>
              </w:rPr>
              <w:t xml:space="preserve">Saved</w:t>
            </w:r>
          </w:p>
        </w:tc>
      </w:tr>
      <w:tr>
        <w:trPr>
          <w:tblHeader w:val="false"/>
        </w:trPr>
        <w:tc>
          <w:tcPr>
            <w:tcW w:type="dxa" w:w="2800"/>
            <w:tcMar>
              <w:top w:type="dxa" w:w="80"/>
              <w:left w:type="dxa" w:w="110"/>
              <w:bottom w:type="dxa" w:w="80"/>
              <w:right w:type="dxa" w:w="110"/>
            </w:tcMar>
          </w:tcPr>
          <w:p>
            <w:pPr>
              <w:jc w:val="left"/>
            </w:pPr>
            <w:r>
              <w:rPr>
                <w:rFonts w:ascii="Calibri" w:cs="Calibri" w:eastAsia="Calibri" w:hAnsi="Calibri"/>
                <w:b w:val="false"/>
                <w:bCs w:val="false"/>
                <w:sz w:val="17"/>
                <w:szCs w:val="17"/>
              </w:rPr>
              <w:t xml:space="preserve">Fast</w:t>
            </w:r>
          </w:p>
        </w:tc>
        <w:tc>
          <w:tcPr>
            <w:tcW w:type="dxa" w:w="34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408,464,268</w:t>
            </w:r>
          </w:p>
        </w:tc>
        <w:tc>
          <w:tcPr>
            <w:tcW w:type="dxa" w:w="24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34.94%</w:t>
            </w:r>
          </w:p>
        </w:tc>
      </w:tr>
      <w:tr>
        <w:trPr>
          <w:tblHeader w:val="false"/>
        </w:trPr>
        <w:tc>
          <w:tcPr>
            <w:tcW w:type="dxa" w:w="2800"/>
            <w:tcMar>
              <w:top w:type="dxa" w:w="80"/>
              <w:left w:type="dxa" w:w="110"/>
              <w:bottom w:type="dxa" w:w="80"/>
              <w:right w:type="dxa" w:w="110"/>
            </w:tcMar>
          </w:tcPr>
          <w:p>
            <w:pPr>
              <w:jc w:val="left"/>
            </w:pPr>
            <w:r>
              <w:rPr>
                <w:rFonts w:ascii="Calibri" w:cs="Calibri" w:eastAsia="Calibri" w:hAnsi="Calibri"/>
                <w:b w:val="false"/>
                <w:bCs w:val="false"/>
                <w:sz w:val="17"/>
                <w:szCs w:val="17"/>
              </w:rPr>
              <w:t xml:space="preserve">Balanced</w:t>
            </w:r>
          </w:p>
        </w:tc>
        <w:tc>
          <w:tcPr>
            <w:tcW w:type="dxa" w:w="34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395,305,152</w:t>
            </w:r>
          </w:p>
        </w:tc>
        <w:tc>
          <w:tcPr>
            <w:tcW w:type="dxa" w:w="24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37.03%</w:t>
            </w:r>
          </w:p>
        </w:tc>
      </w:tr>
      <w:tr>
        <w:trPr>
          <w:tblHeader w:val="false"/>
        </w:trPr>
        <w:tc>
          <w:tcPr>
            <w:tcW w:type="dxa" w:w="2800"/>
            <w:tcMar>
              <w:top w:type="dxa" w:w="80"/>
              <w:left w:type="dxa" w:w="110"/>
              <w:bottom w:type="dxa" w:w="80"/>
              <w:right w:type="dxa" w:w="110"/>
            </w:tcMar>
          </w:tcPr>
          <w:p>
            <w:pPr>
              <w:jc w:val="left"/>
            </w:pPr>
            <w:r>
              <w:rPr>
                <w:rFonts w:ascii="Calibri" w:cs="Calibri" w:eastAsia="Calibri" w:hAnsi="Calibri"/>
                <w:b w:val="false"/>
                <w:bCs w:val="false"/>
                <w:sz w:val="17"/>
                <w:szCs w:val="17"/>
              </w:rPr>
              <w:t xml:space="preserve">Maximum</w:t>
            </w:r>
          </w:p>
        </w:tc>
        <w:tc>
          <w:tcPr>
            <w:tcW w:type="dxa" w:w="34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389,305,297</w:t>
            </w:r>
          </w:p>
        </w:tc>
        <w:tc>
          <w:tcPr>
            <w:tcW w:type="dxa" w:w="24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37.99%</w:t>
            </w:r>
          </w:p>
        </w:tc>
      </w:tr>
    </w:tbl>
    <w:p>
      <w:pPr>
        <w:spacing w:after="220" w:before="100"/>
      </w:pPr>
      <w:r>
        <w:rPr>
          <w:rFonts w:ascii="Calibri" w:cs="Calibri" w:eastAsia="Calibri" w:hAnsi="Calibri"/>
          <w:i/>
          <w:iCs/>
          <w:sz w:val="18"/>
          <w:szCs w:val="18"/>
        </w:rPr>
        <w:t xml:space="preserve">Note. </w:t>
      </w:r>
      <w:r>
        <w:rPr>
          <w:rFonts w:ascii="Calibri" w:cs="Calibri" w:eastAsia="Calibri" w:hAnsi="Calibri"/>
          <w:sz w:val="18"/>
          <w:szCs w:val="18"/>
        </w:rPr>
        <w:t xml:space="preserve">Corpus totals 980 files and 627,788,678 bytes. Percentages are aggregate ratios over total bytes, not means of per-file ratios. All 2,940 file and preset configurations were byte-equal and SHA-256-equal after decompression.</w:t>
      </w:r>
    </w:p>
    <w:p>
      <w:pPr>
        <w:spacing w:after="170" w:line="300"/>
      </w:pPr>
      <w:r>
        <w:rPr>
          <w:rFonts w:ascii="Cambria" w:cs="Cambria" w:eastAsia="Cambria" w:hAnsi="Cambria"/>
          <w:b w:val="false"/>
          <w:bCs w:val="false"/>
          <w:i w:val="false"/>
          <w:iCs w:val="false"/>
          <w:color w:val="000000"/>
          <w:sz w:val="21"/>
          <w:szCs w:val="21"/>
        </w:rPr>
        <w:t xml:space="preserve">The nesting property again held without exception. The Balanced Preset produced smaller output than Fast on 900 of the 980 files, identical output on 80, and larger output on none; Maximum produced smaller output than Balanced on 607 files, identical output on 373, and larger output on none. Sixty of the 980 files, 6.1 percent of the corpus, did not reduce at all and were stored verbatim by the raw-storage fallback rather than expanded, which is the size guard operating as designed on incompressible input.</w:t>
      </w:r>
    </w:p>
    <w:p>
      <w:pPr>
        <w:pStyle w:val="Heading3"/>
        <w:spacing w:after="120" w:before="280"/>
      </w:pPr>
      <w:r>
        <w:rPr>
          <w:rFonts w:ascii="Cambria" w:cs="Cambria" w:eastAsia="Cambria" w:hAnsi="Cambria"/>
          <w:b/>
          <w:bCs/>
          <w:sz w:val="22"/>
          <w:szCs w:val="22"/>
        </w:rPr>
        <w:t xml:space="preserve">Comparison Against the Baseline and Reference Compressors</w:t>
      </w:r>
    </w:p>
    <w:p>
      <w:pPr>
        <w:spacing w:after="170" w:line="300"/>
      </w:pPr>
      <w:r>
        <w:rPr>
          <w:rFonts w:ascii="Cambria" w:cs="Cambria" w:eastAsia="Cambria" w:hAnsi="Cambria"/>
          <w:b w:val="false"/>
          <w:bCs w:val="false"/>
          <w:i w:val="false"/>
          <w:iCs w:val="false"/>
          <w:color w:val="000000"/>
          <w:sz w:val="21"/>
          <w:szCs w:val="21"/>
        </w:rPr>
        <w:t xml:space="preserve">The single-tier Huffman baseline is the comparison the study's central claim rests on, and the general-purpose compressors GZIP, BZIP2, and LZMA are reported alongside it as reference points rather than as targets. Aggregate results across the full corpus appear in Table 3, together with the formats at each extreme of the distribution.</w:t>
      </w:r>
    </w:p>
    <w:p>
      <w:pPr>
        <w:spacing w:after="40" w:before="280"/>
      </w:pPr>
      <w:r>
        <w:rPr>
          <w:rFonts w:ascii="Calibri" w:cs="Calibri" w:eastAsia="Calibri" w:hAnsi="Calibri"/>
          <w:b/>
          <w:bCs/>
          <w:sz w:val="20"/>
          <w:szCs w:val="20"/>
        </w:rPr>
        <w:t xml:space="preserve">Table 3</w:t>
      </w:r>
    </w:p>
    <w:p>
      <w:pPr>
        <w:spacing w:after="120"/>
      </w:pPr>
      <w:r>
        <w:rPr>
          <w:rFonts w:ascii="Calibri" w:cs="Calibri" w:eastAsia="Calibri" w:hAnsi="Calibri"/>
          <w:i/>
          <w:iCs/>
          <w:sz w:val="20"/>
          <w:szCs w:val="20"/>
        </w:rPr>
        <w:t xml:space="preserve">GovDocs1 Thread 000 Space Savings by Format, Balanced Preset, With Baseline and Reference Compressors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50"/>
        <w:gridCol w:w="700"/>
        <w:gridCol w:w="1750"/>
        <w:gridCol w:w="950"/>
        <w:gridCol w:w="950"/>
        <w:gridCol w:w="1000"/>
        <w:gridCol w:w="950"/>
        <w:gridCol w:w="950"/>
        <w:gridCol w:w="1300"/>
      </w:tblGrid>
      <w:tr>
        <w:trPr>
          <w:tblHeader/>
        </w:trPr>
        <w:tc>
          <w:tcPr>
            <w:tcW w:type="dxa" w:w="1050"/>
            <w:shd w:fill="E3EEF2" w:val="clear"/>
            <w:tcMar>
              <w:top w:type="dxa" w:w="80"/>
              <w:left w:type="dxa" w:w="110"/>
              <w:bottom w:type="dxa" w:w="80"/>
              <w:right w:type="dxa" w:w="110"/>
            </w:tcMar>
          </w:tcPr>
          <w:p>
            <w:pPr>
              <w:jc w:val="left"/>
            </w:pPr>
            <w:r>
              <w:rPr>
                <w:rFonts w:ascii="Calibri" w:cs="Calibri" w:eastAsia="Calibri" w:hAnsi="Calibri"/>
                <w:b/>
                <w:bCs/>
                <w:sz w:val="17"/>
                <w:szCs w:val="17"/>
              </w:rPr>
              <w:t xml:space="preserve">Format</w:t>
            </w:r>
          </w:p>
        </w:tc>
        <w:tc>
          <w:tcPr>
            <w:tcW w:type="dxa" w:w="700"/>
            <w:shd w:fill="E3EEF2" w:val="clear"/>
            <w:tcMar>
              <w:top w:type="dxa" w:w="80"/>
              <w:left w:type="dxa" w:w="110"/>
              <w:bottom w:type="dxa" w:w="80"/>
              <w:right w:type="dxa" w:w="110"/>
            </w:tcMar>
          </w:tcPr>
          <w:p>
            <w:pPr>
              <w:jc w:val="right"/>
            </w:pPr>
            <w:r>
              <w:rPr>
                <w:rFonts w:ascii="Calibri" w:cs="Calibri" w:eastAsia="Calibri" w:hAnsi="Calibri"/>
                <w:b/>
                <w:bCs/>
                <w:sz w:val="17"/>
                <w:szCs w:val="17"/>
              </w:rPr>
              <w:t xml:space="preserve">Files</w:t>
            </w:r>
          </w:p>
        </w:tc>
        <w:tc>
          <w:tcPr>
            <w:tcW w:type="dxa" w:w="1750"/>
            <w:shd w:fill="E3EEF2" w:val="clear"/>
            <w:tcMar>
              <w:top w:type="dxa" w:w="80"/>
              <w:left w:type="dxa" w:w="110"/>
              <w:bottom w:type="dxa" w:w="80"/>
              <w:right w:type="dxa" w:w="110"/>
            </w:tcMar>
          </w:tcPr>
          <w:p>
            <w:pPr>
              <w:jc w:val="right"/>
            </w:pPr>
            <w:r>
              <w:rPr>
                <w:rFonts w:ascii="Calibri" w:cs="Calibri" w:eastAsia="Calibri" w:hAnsi="Calibri"/>
                <w:b/>
                <w:bCs/>
                <w:sz w:val="17"/>
                <w:szCs w:val="17"/>
              </w:rPr>
              <w:t xml:space="preserve">Original bytes</w:t>
            </w:r>
          </w:p>
        </w:tc>
        <w:tc>
          <w:tcPr>
            <w:tcW w:type="dxa" w:w="950"/>
            <w:shd w:fill="E3EEF2" w:val="clear"/>
            <w:tcMar>
              <w:top w:type="dxa" w:w="80"/>
              <w:left w:type="dxa" w:w="110"/>
              <w:bottom w:type="dxa" w:w="80"/>
              <w:right w:type="dxa" w:w="110"/>
            </w:tcMar>
          </w:tcPr>
          <w:p>
            <w:pPr>
              <w:jc w:val="right"/>
            </w:pPr>
            <w:r>
              <w:rPr>
                <w:rFonts w:ascii="Calibri" w:cs="Calibri" w:eastAsia="Calibri" w:hAnsi="Calibri"/>
                <w:b/>
                <w:bCs/>
                <w:sz w:val="17"/>
                <w:szCs w:val="17"/>
              </w:rPr>
              <w:t xml:space="preserve">1-tier</w:t>
            </w:r>
          </w:p>
        </w:tc>
        <w:tc>
          <w:tcPr>
            <w:tcW w:type="dxa" w:w="950"/>
            <w:shd w:fill="E3EEF2" w:val="clear"/>
            <w:tcMar>
              <w:top w:type="dxa" w:w="80"/>
              <w:left w:type="dxa" w:w="110"/>
              <w:bottom w:type="dxa" w:w="80"/>
              <w:right w:type="dxa" w:w="110"/>
            </w:tcMar>
          </w:tcPr>
          <w:p>
            <w:pPr>
              <w:jc w:val="right"/>
            </w:pPr>
            <w:r>
              <w:rPr>
                <w:rFonts w:ascii="Calibri" w:cs="Calibri" w:eastAsia="Calibri" w:hAnsi="Calibri"/>
                <w:b/>
                <w:bCs/>
                <w:sz w:val="17"/>
                <w:szCs w:val="17"/>
              </w:rPr>
              <w:t xml:space="preserve">AFC</w:t>
            </w:r>
          </w:p>
        </w:tc>
        <w:tc>
          <w:tcPr>
            <w:tcW w:type="dxa" w:w="1000"/>
            <w:shd w:fill="E3EEF2" w:val="clear"/>
            <w:tcMar>
              <w:top w:type="dxa" w:w="80"/>
              <w:left w:type="dxa" w:w="110"/>
              <w:bottom w:type="dxa" w:w="80"/>
              <w:right w:type="dxa" w:w="110"/>
            </w:tcMar>
          </w:tcPr>
          <w:p>
            <w:pPr>
              <w:jc w:val="right"/>
            </w:pPr>
            <w:r>
              <w:rPr>
                <w:rFonts w:ascii="Calibri" w:cs="Calibri" w:eastAsia="Calibri" w:hAnsi="Calibri"/>
                <w:b/>
                <w:bCs/>
                <w:sz w:val="17"/>
                <w:szCs w:val="17"/>
              </w:rPr>
              <w:t xml:space="preserve">GZIP -9</w:t>
            </w:r>
          </w:p>
        </w:tc>
        <w:tc>
          <w:tcPr>
            <w:tcW w:type="dxa" w:w="950"/>
            <w:shd w:fill="E3EEF2" w:val="clear"/>
            <w:tcMar>
              <w:top w:type="dxa" w:w="80"/>
              <w:left w:type="dxa" w:w="110"/>
              <w:bottom w:type="dxa" w:w="80"/>
              <w:right w:type="dxa" w:w="110"/>
            </w:tcMar>
          </w:tcPr>
          <w:p>
            <w:pPr>
              <w:jc w:val="right"/>
            </w:pPr>
            <w:r>
              <w:rPr>
                <w:rFonts w:ascii="Calibri" w:cs="Calibri" w:eastAsia="Calibri" w:hAnsi="Calibri"/>
                <w:b/>
                <w:bCs/>
                <w:sz w:val="17"/>
                <w:szCs w:val="17"/>
              </w:rPr>
              <w:t xml:space="preserve">BZIP2</w:t>
            </w:r>
          </w:p>
        </w:tc>
        <w:tc>
          <w:tcPr>
            <w:tcW w:type="dxa" w:w="950"/>
            <w:shd w:fill="E3EEF2" w:val="clear"/>
            <w:tcMar>
              <w:top w:type="dxa" w:w="80"/>
              <w:left w:type="dxa" w:w="110"/>
              <w:bottom w:type="dxa" w:w="80"/>
              <w:right w:type="dxa" w:w="110"/>
            </w:tcMar>
          </w:tcPr>
          <w:p>
            <w:pPr>
              <w:jc w:val="right"/>
            </w:pPr>
            <w:r>
              <w:rPr>
                <w:rFonts w:ascii="Calibri" w:cs="Calibri" w:eastAsia="Calibri" w:hAnsi="Calibri"/>
                <w:b/>
                <w:bCs/>
                <w:sz w:val="17"/>
                <w:szCs w:val="17"/>
              </w:rPr>
              <w:t xml:space="preserve">LZMA</w:t>
            </w:r>
          </w:p>
        </w:tc>
        <w:tc>
          <w:tcPr>
            <w:tcW w:type="dxa" w:w="1300"/>
            <w:shd w:fill="E3EEF2" w:val="clear"/>
            <w:tcMar>
              <w:top w:type="dxa" w:w="80"/>
              <w:left w:type="dxa" w:w="110"/>
              <w:bottom w:type="dxa" w:w="80"/>
              <w:right w:type="dxa" w:w="110"/>
            </w:tcMar>
          </w:tcPr>
          <w:p>
            <w:pPr>
              <w:jc w:val="right"/>
            </w:pPr>
            <w:r>
              <w:rPr>
                <w:rFonts w:ascii="Calibri" w:cs="Calibri" w:eastAsia="Calibri" w:hAnsi="Calibri"/>
                <w:b/>
                <w:bCs/>
                <w:sz w:val="17"/>
                <w:szCs w:val="17"/>
              </w:rPr>
              <w:t xml:space="preserve">AFC vs 1-tier</w:t>
            </w:r>
          </w:p>
        </w:tc>
      </w:tr>
      <w:tr>
        <w:trPr>
          <w:tblHeader w:val="false"/>
        </w:trPr>
        <w:tc>
          <w:tcPr>
            <w:tcW w:type="dxa" w:w="1050"/>
            <w:tcMar>
              <w:top w:type="dxa" w:w="80"/>
              <w:left w:type="dxa" w:w="110"/>
              <w:bottom w:type="dxa" w:w="80"/>
              <w:right w:type="dxa" w:w="110"/>
            </w:tcMar>
          </w:tcPr>
          <w:p>
            <w:pPr>
              <w:jc w:val="left"/>
            </w:pPr>
            <w:r>
              <w:rPr>
                <w:rFonts w:ascii="Calibri" w:cs="Calibri" w:eastAsia="Calibri" w:hAnsi="Calibri"/>
                <w:b w:val="false"/>
                <w:bCs w:val="false"/>
                <w:sz w:val="17"/>
                <w:szCs w:val="17"/>
              </w:rPr>
              <w:t xml:space="preserve">XML</w:t>
            </w:r>
          </w:p>
        </w:tc>
        <w:tc>
          <w:tcPr>
            <w:tcW w:type="dxa" w:w="7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12</w:t>
            </w:r>
          </w:p>
        </w:tc>
        <w:tc>
          <w:tcPr>
            <w:tcW w:type="dxa" w:w="17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953,733</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45.01%</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85.97%</w:t>
            </w:r>
          </w:p>
        </w:tc>
        <w:tc>
          <w:tcPr>
            <w:tcW w:type="dxa" w:w="10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90.53%</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92.03%</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91.56%</w:t>
            </w:r>
          </w:p>
        </w:tc>
        <w:tc>
          <w:tcPr>
            <w:tcW w:type="dxa" w:w="13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74.48%</w:t>
            </w:r>
          </w:p>
        </w:tc>
      </w:tr>
      <w:tr>
        <w:trPr>
          <w:tblHeader w:val="false"/>
        </w:trPr>
        <w:tc>
          <w:tcPr>
            <w:tcW w:type="dxa" w:w="1050"/>
            <w:tcMar>
              <w:top w:type="dxa" w:w="80"/>
              <w:left w:type="dxa" w:w="110"/>
              <w:bottom w:type="dxa" w:w="80"/>
              <w:right w:type="dxa" w:w="110"/>
            </w:tcMar>
          </w:tcPr>
          <w:p>
            <w:pPr>
              <w:jc w:val="left"/>
            </w:pPr>
            <w:r>
              <w:rPr>
                <w:rFonts w:ascii="Calibri" w:cs="Calibri" w:eastAsia="Calibri" w:hAnsi="Calibri"/>
                <w:b w:val="false"/>
                <w:bCs w:val="false"/>
                <w:sz w:val="17"/>
                <w:szCs w:val="17"/>
              </w:rPr>
              <w:t xml:space="preserve">LOG</w:t>
            </w:r>
          </w:p>
        </w:tc>
        <w:tc>
          <w:tcPr>
            <w:tcW w:type="dxa" w:w="7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6</w:t>
            </w:r>
          </w:p>
        </w:tc>
        <w:tc>
          <w:tcPr>
            <w:tcW w:type="dxa" w:w="17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2,907,426</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38.78%</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72.66%</w:t>
            </w:r>
          </w:p>
        </w:tc>
        <w:tc>
          <w:tcPr>
            <w:tcW w:type="dxa" w:w="10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81.27%</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85.51%</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88.00%</w:t>
            </w:r>
          </w:p>
        </w:tc>
        <w:tc>
          <w:tcPr>
            <w:tcW w:type="dxa" w:w="13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55.35%</w:t>
            </w:r>
          </w:p>
        </w:tc>
      </w:tr>
      <w:tr>
        <w:trPr>
          <w:tblHeader w:val="false"/>
        </w:trPr>
        <w:tc>
          <w:tcPr>
            <w:tcW w:type="dxa" w:w="1050"/>
            <w:tcMar>
              <w:top w:type="dxa" w:w="80"/>
              <w:left w:type="dxa" w:w="110"/>
              <w:bottom w:type="dxa" w:w="80"/>
              <w:right w:type="dxa" w:w="110"/>
            </w:tcMar>
          </w:tcPr>
          <w:p>
            <w:pPr>
              <w:jc w:val="left"/>
            </w:pPr>
            <w:r>
              <w:rPr>
                <w:rFonts w:ascii="Calibri" w:cs="Calibri" w:eastAsia="Calibri" w:hAnsi="Calibri"/>
                <w:b w:val="false"/>
                <w:bCs w:val="false"/>
                <w:sz w:val="17"/>
                <w:szCs w:val="17"/>
              </w:rPr>
              <w:t xml:space="preserve">XLS</w:t>
            </w:r>
          </w:p>
        </w:tc>
        <w:tc>
          <w:tcPr>
            <w:tcW w:type="dxa" w:w="7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62</w:t>
            </w:r>
          </w:p>
        </w:tc>
        <w:tc>
          <w:tcPr>
            <w:tcW w:type="dxa" w:w="17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154,811,392</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42.18%</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68.75%</w:t>
            </w:r>
          </w:p>
        </w:tc>
        <w:tc>
          <w:tcPr>
            <w:tcW w:type="dxa" w:w="10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75.97%</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83.55%</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89.01%</w:t>
            </w:r>
          </w:p>
        </w:tc>
        <w:tc>
          <w:tcPr>
            <w:tcW w:type="dxa" w:w="13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45.94%</w:t>
            </w:r>
          </w:p>
        </w:tc>
      </w:tr>
      <w:tr>
        <w:trPr>
          <w:tblHeader w:val="false"/>
        </w:trPr>
        <w:tc>
          <w:tcPr>
            <w:tcW w:type="dxa" w:w="1050"/>
            <w:tcMar>
              <w:top w:type="dxa" w:w="80"/>
              <w:left w:type="dxa" w:w="110"/>
              <w:bottom w:type="dxa" w:w="80"/>
              <w:right w:type="dxa" w:w="110"/>
            </w:tcMar>
          </w:tcPr>
          <w:p>
            <w:pPr>
              <w:jc w:val="left"/>
            </w:pPr>
            <w:r>
              <w:rPr>
                <w:rFonts w:ascii="Calibri" w:cs="Calibri" w:eastAsia="Calibri" w:hAnsi="Calibri"/>
                <w:b w:val="false"/>
                <w:bCs w:val="false"/>
                <w:sz w:val="17"/>
                <w:szCs w:val="17"/>
              </w:rPr>
              <w:t xml:space="preserve">HTML</w:t>
            </w:r>
          </w:p>
        </w:tc>
        <w:tc>
          <w:tcPr>
            <w:tcW w:type="dxa" w:w="7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181</w:t>
            </w:r>
          </w:p>
        </w:tc>
        <w:tc>
          <w:tcPr>
            <w:tcW w:type="dxa" w:w="17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5,784,540</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35.41%</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64.40%</w:t>
            </w:r>
          </w:p>
        </w:tc>
        <w:tc>
          <w:tcPr>
            <w:tcW w:type="dxa" w:w="10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77.69%</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79.08%</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79.48%</w:t>
            </w:r>
          </w:p>
        </w:tc>
        <w:tc>
          <w:tcPr>
            <w:tcW w:type="dxa" w:w="13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44.87%</w:t>
            </w:r>
          </w:p>
        </w:tc>
      </w:tr>
      <w:tr>
        <w:trPr>
          <w:tblHeader w:val="false"/>
        </w:trPr>
        <w:tc>
          <w:tcPr>
            <w:tcW w:type="dxa" w:w="1050"/>
            <w:tcMar>
              <w:top w:type="dxa" w:w="80"/>
              <w:left w:type="dxa" w:w="110"/>
              <w:bottom w:type="dxa" w:w="80"/>
              <w:right w:type="dxa" w:w="110"/>
            </w:tcMar>
          </w:tcPr>
          <w:p>
            <w:pPr>
              <w:jc w:val="left"/>
            </w:pPr>
            <w:r>
              <w:rPr>
                <w:rFonts w:ascii="Calibri" w:cs="Calibri" w:eastAsia="Calibri" w:hAnsi="Calibri"/>
                <w:b w:val="false"/>
                <w:bCs w:val="false"/>
                <w:sz w:val="17"/>
                <w:szCs w:val="17"/>
              </w:rPr>
              <w:t xml:space="preserve">TXT</w:t>
            </w:r>
          </w:p>
        </w:tc>
        <w:tc>
          <w:tcPr>
            <w:tcW w:type="dxa" w:w="7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154</w:t>
            </w:r>
          </w:p>
        </w:tc>
        <w:tc>
          <w:tcPr>
            <w:tcW w:type="dxa" w:w="17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74,231,592</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52.35%</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65.57%</w:t>
            </w:r>
          </w:p>
        </w:tc>
        <w:tc>
          <w:tcPr>
            <w:tcW w:type="dxa" w:w="10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65.69%</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71.34%</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75.48%</w:t>
            </w:r>
          </w:p>
        </w:tc>
        <w:tc>
          <w:tcPr>
            <w:tcW w:type="dxa" w:w="13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27.75%</w:t>
            </w:r>
          </w:p>
        </w:tc>
      </w:tr>
      <w:tr>
        <w:trPr>
          <w:tblHeader w:val="false"/>
        </w:trPr>
        <w:tc>
          <w:tcPr>
            <w:tcW w:type="dxa" w:w="1050"/>
            <w:tcMar>
              <w:top w:type="dxa" w:w="80"/>
              <w:left w:type="dxa" w:w="110"/>
              <w:bottom w:type="dxa" w:w="80"/>
              <w:right w:type="dxa" w:w="110"/>
            </w:tcMar>
          </w:tcPr>
          <w:p>
            <w:pPr>
              <w:jc w:val="left"/>
            </w:pPr>
            <w:r>
              <w:rPr>
                <w:rFonts w:ascii="Calibri" w:cs="Calibri" w:eastAsia="Calibri" w:hAnsi="Calibri"/>
                <w:b w:val="false"/>
                <w:bCs w:val="false"/>
                <w:sz w:val="17"/>
                <w:szCs w:val="17"/>
              </w:rPr>
              <w:t xml:space="preserve">PDF</w:t>
            </w:r>
          </w:p>
        </w:tc>
        <w:tc>
          <w:tcPr>
            <w:tcW w:type="dxa" w:w="7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200</w:t>
            </w:r>
          </w:p>
        </w:tc>
        <w:tc>
          <w:tcPr>
            <w:tcW w:type="dxa" w:w="17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126,244,459</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3.76%</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12.50%</w:t>
            </w:r>
          </w:p>
        </w:tc>
        <w:tc>
          <w:tcPr>
            <w:tcW w:type="dxa" w:w="10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15.48%</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16.07%</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18.14%</w:t>
            </w:r>
          </w:p>
        </w:tc>
        <w:tc>
          <w:tcPr>
            <w:tcW w:type="dxa" w:w="13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9.08%</w:t>
            </w:r>
          </w:p>
        </w:tc>
      </w:tr>
      <w:tr>
        <w:trPr>
          <w:tblHeader w:val="false"/>
        </w:trPr>
        <w:tc>
          <w:tcPr>
            <w:tcW w:type="dxa" w:w="1050"/>
            <w:tcMar>
              <w:top w:type="dxa" w:w="80"/>
              <w:left w:type="dxa" w:w="110"/>
              <w:bottom w:type="dxa" w:w="80"/>
              <w:right w:type="dxa" w:w="110"/>
            </w:tcMar>
          </w:tcPr>
          <w:p>
            <w:pPr>
              <w:jc w:val="left"/>
            </w:pPr>
            <w:r>
              <w:rPr>
                <w:rFonts w:ascii="Calibri" w:cs="Calibri" w:eastAsia="Calibri" w:hAnsi="Calibri"/>
                <w:b w:val="false"/>
                <w:bCs w:val="false"/>
                <w:sz w:val="17"/>
                <w:szCs w:val="17"/>
              </w:rPr>
              <w:t xml:space="preserve">JPEG</w:t>
            </w:r>
          </w:p>
        </w:tc>
        <w:tc>
          <w:tcPr>
            <w:tcW w:type="dxa" w:w="7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89</w:t>
            </w:r>
          </w:p>
        </w:tc>
        <w:tc>
          <w:tcPr>
            <w:tcW w:type="dxa" w:w="17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12,881,648</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0.41%</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1.50%</w:t>
            </w:r>
          </w:p>
        </w:tc>
        <w:tc>
          <w:tcPr>
            <w:tcW w:type="dxa" w:w="10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2.59%</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2.44%</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2.55%</w:t>
            </w:r>
          </w:p>
        </w:tc>
        <w:tc>
          <w:tcPr>
            <w:tcW w:type="dxa" w:w="13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1.09%</w:t>
            </w:r>
          </w:p>
        </w:tc>
      </w:tr>
      <w:tr>
        <w:trPr>
          <w:tblHeader w:val="false"/>
        </w:trPr>
        <w:tc>
          <w:tcPr>
            <w:tcW w:type="dxa" w:w="1050"/>
            <w:tcMar>
              <w:top w:type="dxa" w:w="80"/>
              <w:left w:type="dxa" w:w="110"/>
              <w:bottom w:type="dxa" w:w="80"/>
              <w:right w:type="dxa" w:w="110"/>
            </w:tcMar>
          </w:tcPr>
          <w:p>
            <w:pPr>
              <w:jc w:val="left"/>
            </w:pPr>
            <w:r>
              <w:rPr>
                <w:rFonts w:ascii="Calibri" w:cs="Calibri" w:eastAsia="Calibri" w:hAnsi="Calibri"/>
                <w:b w:val="false"/>
                <w:bCs w:val="false"/>
                <w:sz w:val="17"/>
                <w:szCs w:val="17"/>
              </w:rPr>
              <w:t xml:space="preserve">GIF</w:t>
            </w:r>
          </w:p>
        </w:tc>
        <w:tc>
          <w:tcPr>
            <w:tcW w:type="dxa" w:w="7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23</w:t>
            </w:r>
          </w:p>
        </w:tc>
        <w:tc>
          <w:tcPr>
            <w:tcW w:type="dxa" w:w="17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10,996,005</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2.81%</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2.88%</w:t>
            </w:r>
          </w:p>
        </w:tc>
        <w:tc>
          <w:tcPr>
            <w:tcW w:type="dxa" w:w="10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2.75%</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2.75%</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3.71%</w:t>
            </w:r>
          </w:p>
        </w:tc>
        <w:tc>
          <w:tcPr>
            <w:tcW w:type="dxa" w:w="13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0.07%</w:t>
            </w:r>
          </w:p>
        </w:tc>
      </w:tr>
      <w:tr>
        <w:trPr>
          <w:tblHeader w:val="false"/>
        </w:trPr>
        <w:tc>
          <w:tcPr>
            <w:tcW w:type="dxa" w:w="1050"/>
            <w:tcMar>
              <w:top w:type="dxa" w:w="80"/>
              <w:left w:type="dxa" w:w="110"/>
              <w:bottom w:type="dxa" w:w="80"/>
              <w:right w:type="dxa" w:w="110"/>
            </w:tcMar>
          </w:tcPr>
          <w:p>
            <w:pPr>
              <w:jc w:val="left"/>
            </w:pPr>
            <w:r>
              <w:rPr>
                <w:rFonts w:ascii="Calibri" w:cs="Calibri" w:eastAsia="Calibri" w:hAnsi="Calibri"/>
                <w:b w:val="false"/>
                <w:bCs w:val="false"/>
                <w:sz w:val="17"/>
                <w:szCs w:val="17"/>
              </w:rPr>
              <w:t xml:space="preserve">TOTAL</w:t>
            </w:r>
          </w:p>
        </w:tc>
        <w:tc>
          <w:tcPr>
            <w:tcW w:type="dxa" w:w="7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980</w:t>
            </w:r>
          </w:p>
        </w:tc>
        <w:tc>
          <w:tcPr>
            <w:tcW w:type="dxa" w:w="17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627,788,678</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22.93%</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37.03%</w:t>
            </w:r>
          </w:p>
        </w:tc>
        <w:tc>
          <w:tcPr>
            <w:tcW w:type="dxa" w:w="10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42.08%</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45.14%</w:t>
            </w:r>
          </w:p>
        </w:tc>
        <w:tc>
          <w:tcPr>
            <w:tcW w:type="dxa" w:w="95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48.82%</w:t>
            </w:r>
          </w:p>
        </w:tc>
        <w:tc>
          <w:tcPr>
            <w:tcW w:type="dxa" w:w="13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18.29%</w:t>
            </w:r>
          </w:p>
        </w:tc>
      </w:tr>
    </w:tbl>
    <w:p>
      <w:pPr>
        <w:spacing w:after="220" w:before="100"/>
      </w:pPr>
      <w:r>
        <w:rPr>
          <w:rFonts w:ascii="Calibri" w:cs="Calibri" w:eastAsia="Calibri" w:hAnsi="Calibri"/>
          <w:i/>
          <w:iCs/>
          <w:sz w:val="18"/>
          <w:szCs w:val="18"/>
        </w:rPr>
        <w:t xml:space="preserve">Note. </w:t>
      </w:r>
      <w:r>
        <w:rPr>
          <w:rFonts w:ascii="Calibri" w:cs="Calibri" w:eastAsia="Calibri" w:hAnsi="Calibri"/>
          <w:sz w:val="18"/>
          <w:szCs w:val="18"/>
        </w:rPr>
        <w:t xml:space="preserve">Selected formats shown; the complete sixteen-format breakdown appears in Table F3 of Appendix F. All percentages are space savings relative to original bytes, except the final column, which reports the reduction the Adaptive System achieves relative to the single-tier Huffman baseline.</w:t>
      </w:r>
    </w:p>
    <w:p>
      <w:pPr>
        <w:spacing w:after="170" w:line="300"/>
      </w:pPr>
      <w:r>
        <w:rPr>
          <w:rFonts w:ascii="Cambria" w:cs="Cambria" w:eastAsia="Cambria" w:hAnsi="Cambria"/>
          <w:b w:val="false"/>
          <w:bCs w:val="false"/>
          <w:i w:val="false"/>
          <w:iCs w:val="false"/>
          <w:color w:val="000000"/>
          <w:sz w:val="21"/>
          <w:szCs w:val="21"/>
        </w:rPr>
        <w:t xml:space="preserve">Across the 980 files the Adaptive System produced output 18.29 percent smaller than the single-tier Huffman baseline, reducing the corpus by 37.03 percent against the baseline's 22.93 percent. The improvement is not uniform across formats, and the distribution is informative. The largest gains occur where redundancy exists above the byte level: XML at 74.48 percent, LOG at 55.35 percent, XLS at 45.94 percent, and HTML at 44.87 percent, all formats characterized by repeated tags, keywords, and field names that a byte-level alphabet cannot represent as single symbols. The smallest gains occur on formats whose content is already entropy-coded: GIF at 0.07 percent, JPEG at 1.09 percent, and the GZIP members at 0.53 percent. This pattern is consistent with the mechanism the system is built on, in that multi-level frequency analysis can only admit patterns that recur, and previously compressed data by construction retains little such structure.</w:t>
      </w:r>
    </w:p>
    <w:p>
      <w:pPr>
        <w:pBdr>
          <w:left w:val="single" w:color="A8541F" w:sz="12" w:space="8"/>
        </w:pBdr>
        <w:shd w:fill="F7ECE3" w:val="clear"/>
        <w:spacing w:after="200" w:before="200"/>
        <w:ind w:left="300" w:right="220"/>
      </w:pPr>
      <w:r>
        <w:rPr>
          <w:rFonts w:ascii="Calibri" w:cs="Calibri" w:eastAsia="Calibri" w:hAnsi="Calibri"/>
          <w:sz w:val="20"/>
          <w:szCs w:val="20"/>
        </w:rPr>
        <w:t xml:space="preserve">The following paragraph is required by your Data Integrity commitment in Ethical Consideration, which states that benchmark results are reported in full, including cases in which the Adaptive System performs worse than a reference compressor. Do not remove it — reporting the gap is what makes the 18.29 percent figure credible.</w:t>
      </w:r>
    </w:p>
    <w:p>
      <w:pPr>
        <w:spacing w:after="170" w:line="300"/>
      </w:pPr>
      <w:r>
        <w:rPr>
          <w:rFonts w:ascii="Cambria" w:cs="Cambria" w:eastAsia="Cambria" w:hAnsi="Cambria"/>
          <w:b w:val="false"/>
          <w:bCs w:val="false"/>
          <w:i w:val="false"/>
          <w:iCs w:val="false"/>
          <w:color w:val="000000"/>
          <w:sz w:val="21"/>
          <w:szCs w:val="21"/>
        </w:rPr>
        <w:t xml:space="preserve">The Adaptive System does not outperform the general-purpose reference compressors on this corpus. GZIP -9 reduced the corpus by 42.08 percent, BZIP2 by 45.14 percent, and LZMA by 48.82 percent, against the Adaptive System's 37.03 percent, leaving an aggregate gap of 5.05 percentage points to GZIP -9 and 11.79 points to LZMA. This outcome is expected rather than anomalous. The reference compressors derive most of their advantage from LZ77-style back-references, which encode a repeated sequence as an offset and length into previously emitted output, whereas the Adaptive System admits recurring patterns into a Huffman alphabet and does not implement dictionary back-references. The study's claim concerns the improvement obtainable over single-tier Huffman coding within a purely statistical coding framework, and the reference figures are reported so that this scope is visible rather than implied.</w:t>
      </w:r>
    </w:p>
    <w:p>
      <w:pPr>
        <w:pStyle w:val="Heading3"/>
        <w:spacing w:after="120" w:before="280"/>
      </w:pPr>
      <w:r>
        <w:rPr>
          <w:rFonts w:ascii="Cambria" w:cs="Cambria" w:eastAsia="Cambria" w:hAnsi="Cambria"/>
          <w:b/>
          <w:bCs/>
          <w:sz w:val="22"/>
          <w:szCs w:val="22"/>
        </w:rPr>
        <w:t xml:space="preserve">Component Ablation</w:t>
      </w:r>
    </w:p>
    <w:p>
      <w:pPr>
        <w:spacing w:after="170" w:line="300"/>
      </w:pPr>
      <w:r>
        <w:rPr>
          <w:rFonts w:ascii="Cambria" w:cs="Cambria" w:eastAsia="Cambria" w:hAnsi="Cambria"/>
          <w:b w:val="false"/>
          <w:bCs w:val="false"/>
          <w:i w:val="false"/>
          <w:iCs w:val="false"/>
          <w:color w:val="000000"/>
          <w:sz w:val="21"/>
          <w:szCs w:val="21"/>
        </w:rPr>
        <w:t xml:space="preserve">The whole-system comparison establishes that the Adaptive System reduces output below the single-tier Huffman baseline but cannot attribute that reduction to any particular component. A component ablation was therefore conducted on two corpora, evaluating four builds: the complete system, Tier 3 disabled, Tiers 2 and 3 disabled, and the Bit Cost Decision Engine replaced by an unconditional frequency-only decision. All four builds ran on the pure-Python reference implementation with the engine's default options and no preset search ladder, so that observed differences are attributable to the disabled component rather than to backend or preset variation. Results appear in Table 4.</w:t>
      </w:r>
    </w:p>
    <w:p>
      <w:pPr>
        <w:spacing w:after="40" w:before="280"/>
      </w:pPr>
      <w:r>
        <w:rPr>
          <w:rFonts w:ascii="Calibri" w:cs="Calibri" w:eastAsia="Calibri" w:hAnsi="Calibri"/>
          <w:b/>
          <w:bCs/>
          <w:sz w:val="20"/>
          <w:szCs w:val="20"/>
        </w:rPr>
        <w:t xml:space="preserve">Table 4</w:t>
      </w:r>
    </w:p>
    <w:p>
      <w:pPr>
        <w:spacing w:after="120"/>
      </w:pPr>
      <w:r>
        <w:rPr>
          <w:rFonts w:ascii="Calibri" w:cs="Calibri" w:eastAsia="Calibri" w:hAnsi="Calibri"/>
          <w:i/>
          <w:iCs/>
          <w:sz w:val="20"/>
          <w:szCs w:val="20"/>
        </w:rPr>
        <w:t xml:space="preserve">Component Ablation Across Both Corpora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300"/>
        <w:gridCol w:w="2000"/>
        <w:gridCol w:w="1300"/>
      </w:tblGrid>
      <w:tr>
        <w:trPr>
          <w:tblHeader/>
        </w:trPr>
        <w:tc>
          <w:tcPr>
            <w:tcW w:type="dxa" w:w="3200"/>
            <w:shd w:fill="E3EEF2" w:val="clear"/>
            <w:tcMar>
              <w:top w:type="dxa" w:w="80"/>
              <w:left w:type="dxa" w:w="110"/>
              <w:bottom w:type="dxa" w:w="80"/>
              <w:right w:type="dxa" w:w="110"/>
            </w:tcMar>
          </w:tcPr>
          <w:p>
            <w:pPr>
              <w:jc w:val="left"/>
            </w:pPr>
            <w:r>
              <w:rPr>
                <w:rFonts w:ascii="Calibri" w:cs="Calibri" w:eastAsia="Calibri" w:hAnsi="Calibri"/>
                <w:b/>
                <w:bCs/>
                <w:sz w:val="17"/>
                <w:szCs w:val="17"/>
              </w:rPr>
              <w:t xml:space="preserve">Build</w:t>
            </w:r>
          </w:p>
        </w:tc>
        <w:tc>
          <w:tcPr>
            <w:tcW w:type="dxa" w:w="1900"/>
            <w:shd w:fill="E3EEF2" w:val="clear"/>
            <w:tcMar>
              <w:top w:type="dxa" w:w="80"/>
              <w:left w:type="dxa" w:w="110"/>
              <w:bottom w:type="dxa" w:w="80"/>
              <w:right w:type="dxa" w:w="110"/>
            </w:tcMar>
          </w:tcPr>
          <w:p>
            <w:pPr>
              <w:jc w:val="right"/>
            </w:pPr>
            <w:r>
              <w:rPr>
                <w:rFonts w:ascii="Calibri" w:cs="Calibri" w:eastAsia="Calibri" w:hAnsi="Calibri"/>
                <w:b/>
                <w:bCs/>
                <w:sz w:val="17"/>
                <w:szCs w:val="17"/>
              </w:rPr>
              <w:t xml:space="preserve">Repository corpus (14 files, 1,382,408 B)</w:t>
            </w:r>
          </w:p>
        </w:tc>
        <w:tc>
          <w:tcPr>
            <w:tcW w:type="dxa" w:w="1300"/>
            <w:shd w:fill="E3EEF2" w:val="clear"/>
            <w:tcMar>
              <w:top w:type="dxa" w:w="80"/>
              <w:left w:type="dxa" w:w="110"/>
              <w:bottom w:type="dxa" w:w="80"/>
              <w:right w:type="dxa" w:w="110"/>
            </w:tcMar>
          </w:tcPr>
          <w:p>
            <w:pPr>
              <w:jc w:val="right"/>
            </w:pPr>
            <w:r>
              <w:rPr>
                <w:rFonts w:ascii="Calibri" w:cs="Calibri" w:eastAsia="Calibri" w:hAnsi="Calibri"/>
                <w:b/>
                <w:bCs/>
                <w:sz w:val="17"/>
                <w:szCs w:val="17"/>
              </w:rPr>
              <w:t xml:space="preserve"/>
            </w:r>
          </w:p>
        </w:tc>
        <w:tc>
          <w:tcPr>
            <w:tcW w:type="dxa" w:w="2000"/>
            <w:shd w:fill="E3EEF2" w:val="clear"/>
            <w:tcMar>
              <w:top w:type="dxa" w:w="80"/>
              <w:left w:type="dxa" w:w="110"/>
              <w:bottom w:type="dxa" w:w="80"/>
              <w:right w:type="dxa" w:w="110"/>
            </w:tcMar>
          </w:tcPr>
          <w:p>
            <w:pPr>
              <w:jc w:val="right"/>
            </w:pPr>
            <w:r>
              <w:rPr>
                <w:rFonts w:ascii="Calibri" w:cs="Calibri" w:eastAsia="Calibri" w:hAnsi="Calibri"/>
                <w:b/>
                <w:bCs/>
                <w:sz w:val="17"/>
                <w:szCs w:val="17"/>
              </w:rPr>
              <w:t xml:space="preserve">GovDocs1 subset (602 files, 23,116,646 B)</w:t>
            </w:r>
          </w:p>
        </w:tc>
        <w:tc>
          <w:tcPr>
            <w:tcW w:type="dxa" w:w="1300"/>
            <w:shd w:fill="E3EEF2" w:val="clear"/>
            <w:tcMar>
              <w:top w:type="dxa" w:w="80"/>
              <w:left w:type="dxa" w:w="110"/>
              <w:bottom w:type="dxa" w:w="80"/>
              <w:right w:type="dxa" w:w="110"/>
            </w:tcMar>
          </w:tcPr>
          <w:p>
            <w:pPr>
              <w:jc w:val="right"/>
            </w:pPr>
            <w:r>
              <w:rPr>
                <w:rFonts w:ascii="Calibri" w:cs="Calibri" w:eastAsia="Calibri" w:hAnsi="Calibri"/>
                <w:b/>
                <w:bCs/>
                <w:sz w:val="17"/>
                <w:szCs w:val="17"/>
              </w:rPr>
              <w:t xml:space="preserve"/>
            </w:r>
          </w:p>
        </w:tc>
      </w:tr>
      <w:tr>
        <w:trPr>
          <w:tblHeader w:val="false"/>
        </w:trPr>
        <w:tc>
          <w:tcPr>
            <w:tcW w:type="dxa" w:w="3200"/>
            <w:tcMar>
              <w:top w:type="dxa" w:w="80"/>
              <w:left w:type="dxa" w:w="110"/>
              <w:bottom w:type="dxa" w:w="80"/>
              <w:right w:type="dxa" w:w="110"/>
            </w:tcMar>
          </w:tcPr>
          <w:p>
            <w:pPr>
              <w:jc w:val="left"/>
            </w:pPr>
            <w:r>
              <w:rPr>
                <w:rFonts w:ascii="Calibri" w:cs="Calibri" w:eastAsia="Calibri" w:hAnsi="Calibri"/>
                <w:b w:val="false"/>
                <w:bCs w:val="false"/>
                <w:sz w:val="17"/>
                <w:szCs w:val="17"/>
              </w:rPr>
              <w:t xml:space="preserve"/>
            </w:r>
          </w:p>
        </w:tc>
        <w:tc>
          <w:tcPr>
            <w:tcW w:type="dxa" w:w="19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AFC bytes</w:t>
            </w:r>
          </w:p>
        </w:tc>
        <w:tc>
          <w:tcPr>
            <w:tcW w:type="dxa" w:w="13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Saved</w:t>
            </w:r>
          </w:p>
        </w:tc>
        <w:tc>
          <w:tcPr>
            <w:tcW w:type="dxa" w:w="20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AFC bytes</w:t>
            </w:r>
          </w:p>
        </w:tc>
        <w:tc>
          <w:tcPr>
            <w:tcW w:type="dxa" w:w="13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Saved</w:t>
            </w:r>
          </w:p>
        </w:tc>
      </w:tr>
      <w:tr>
        <w:trPr>
          <w:tblHeader w:val="false"/>
        </w:trPr>
        <w:tc>
          <w:tcPr>
            <w:tcW w:type="dxa" w:w="3200"/>
            <w:tcMar>
              <w:top w:type="dxa" w:w="80"/>
              <w:left w:type="dxa" w:w="110"/>
              <w:bottom w:type="dxa" w:w="80"/>
              <w:right w:type="dxa" w:w="110"/>
            </w:tcMar>
          </w:tcPr>
          <w:p>
            <w:pPr>
              <w:jc w:val="left"/>
            </w:pPr>
            <w:r>
              <w:rPr>
                <w:rFonts w:ascii="Calibri" w:cs="Calibri" w:eastAsia="Calibri" w:hAnsi="Calibri"/>
                <w:b w:val="false"/>
                <w:bCs w:val="false"/>
                <w:sz w:val="17"/>
                <w:szCs w:val="17"/>
              </w:rPr>
              <w:t xml:space="preserve">Complete system</w:t>
            </w:r>
          </w:p>
        </w:tc>
        <w:tc>
          <w:tcPr>
            <w:tcW w:type="dxa" w:w="19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395,807</w:t>
            </w:r>
          </w:p>
        </w:tc>
        <w:tc>
          <w:tcPr>
            <w:tcW w:type="dxa" w:w="13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71.37%</w:t>
            </w:r>
          </w:p>
        </w:tc>
        <w:tc>
          <w:tcPr>
            <w:tcW w:type="dxa" w:w="20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13,102,156</w:t>
            </w:r>
          </w:p>
        </w:tc>
        <w:tc>
          <w:tcPr>
            <w:tcW w:type="dxa" w:w="13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43.32%</w:t>
            </w:r>
          </w:p>
        </w:tc>
      </w:tr>
      <w:tr>
        <w:trPr>
          <w:tblHeader w:val="false"/>
        </w:trPr>
        <w:tc>
          <w:tcPr>
            <w:tcW w:type="dxa" w:w="3200"/>
            <w:tcMar>
              <w:top w:type="dxa" w:w="80"/>
              <w:left w:type="dxa" w:w="110"/>
              <w:bottom w:type="dxa" w:w="80"/>
              <w:right w:type="dxa" w:w="110"/>
            </w:tcMar>
          </w:tcPr>
          <w:p>
            <w:pPr>
              <w:jc w:val="left"/>
            </w:pPr>
            <w:r>
              <w:rPr>
                <w:rFonts w:ascii="Calibri" w:cs="Calibri" w:eastAsia="Calibri" w:hAnsi="Calibri"/>
                <w:b w:val="false"/>
                <w:bCs w:val="false"/>
                <w:sz w:val="17"/>
                <w:szCs w:val="17"/>
              </w:rPr>
              <w:t xml:space="preserve">Tier 3 disabled</w:t>
            </w:r>
          </w:p>
        </w:tc>
        <w:tc>
          <w:tcPr>
            <w:tcW w:type="dxa" w:w="19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398,716</w:t>
            </w:r>
          </w:p>
        </w:tc>
        <w:tc>
          <w:tcPr>
            <w:tcW w:type="dxa" w:w="13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71.16%</w:t>
            </w:r>
          </w:p>
        </w:tc>
        <w:tc>
          <w:tcPr>
            <w:tcW w:type="dxa" w:w="20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13,207,649</w:t>
            </w:r>
          </w:p>
        </w:tc>
        <w:tc>
          <w:tcPr>
            <w:tcW w:type="dxa" w:w="13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42.87%</w:t>
            </w:r>
          </w:p>
        </w:tc>
      </w:tr>
      <w:tr>
        <w:trPr>
          <w:tblHeader w:val="false"/>
        </w:trPr>
        <w:tc>
          <w:tcPr>
            <w:tcW w:type="dxa" w:w="3200"/>
            <w:tcMar>
              <w:top w:type="dxa" w:w="80"/>
              <w:left w:type="dxa" w:w="110"/>
              <w:bottom w:type="dxa" w:w="80"/>
              <w:right w:type="dxa" w:w="110"/>
            </w:tcMar>
          </w:tcPr>
          <w:p>
            <w:pPr>
              <w:jc w:val="left"/>
            </w:pPr>
            <w:r>
              <w:rPr>
                <w:rFonts w:ascii="Calibri" w:cs="Calibri" w:eastAsia="Calibri" w:hAnsi="Calibri"/>
                <w:b w:val="false"/>
                <w:bCs w:val="false"/>
                <w:sz w:val="17"/>
                <w:szCs w:val="17"/>
              </w:rPr>
              <w:t xml:space="preserve">Tiers 2 and 3 disabled</w:t>
            </w:r>
          </w:p>
        </w:tc>
        <w:tc>
          <w:tcPr>
            <w:tcW w:type="dxa" w:w="19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464,366</w:t>
            </w:r>
          </w:p>
        </w:tc>
        <w:tc>
          <w:tcPr>
            <w:tcW w:type="dxa" w:w="13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66.41%</w:t>
            </w:r>
          </w:p>
        </w:tc>
        <w:tc>
          <w:tcPr>
            <w:tcW w:type="dxa" w:w="20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14,080,913</w:t>
            </w:r>
          </w:p>
        </w:tc>
        <w:tc>
          <w:tcPr>
            <w:tcW w:type="dxa" w:w="13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39.09%</w:t>
            </w:r>
          </w:p>
        </w:tc>
      </w:tr>
      <w:tr>
        <w:trPr>
          <w:tblHeader w:val="false"/>
        </w:trPr>
        <w:tc>
          <w:tcPr>
            <w:tcW w:type="dxa" w:w="3200"/>
            <w:tcMar>
              <w:top w:type="dxa" w:w="80"/>
              <w:left w:type="dxa" w:w="110"/>
              <w:bottom w:type="dxa" w:w="80"/>
              <w:right w:type="dxa" w:w="110"/>
            </w:tcMar>
          </w:tcPr>
          <w:p>
            <w:pPr>
              <w:jc w:val="left"/>
            </w:pPr>
            <w:r>
              <w:rPr>
                <w:rFonts w:ascii="Calibri" w:cs="Calibri" w:eastAsia="Calibri" w:hAnsi="Calibri"/>
                <w:b w:val="false"/>
                <w:bCs w:val="false"/>
                <w:sz w:val="17"/>
                <w:szCs w:val="17"/>
              </w:rPr>
              <w:t xml:space="preserve">Bit Cost Decision Engine replaced</w:t>
            </w:r>
          </w:p>
        </w:tc>
        <w:tc>
          <w:tcPr>
            <w:tcW w:type="dxa" w:w="19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449,346</w:t>
            </w:r>
          </w:p>
        </w:tc>
        <w:tc>
          <w:tcPr>
            <w:tcW w:type="dxa" w:w="13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67.50%</w:t>
            </w:r>
          </w:p>
        </w:tc>
        <w:tc>
          <w:tcPr>
            <w:tcW w:type="dxa" w:w="20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15,400,435</w:t>
            </w:r>
          </w:p>
        </w:tc>
        <w:tc>
          <w:tcPr>
            <w:tcW w:type="dxa" w:w="13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33.38%</w:t>
            </w:r>
          </w:p>
        </w:tc>
      </w:tr>
    </w:tbl>
    <w:p>
      <w:pPr>
        <w:spacing w:after="220" w:before="100"/>
      </w:pPr>
      <w:r>
        <w:rPr>
          <w:rFonts w:ascii="Calibri" w:cs="Calibri" w:eastAsia="Calibri" w:hAnsi="Calibri"/>
          <w:i/>
          <w:iCs/>
          <w:sz w:val="18"/>
          <w:szCs w:val="18"/>
        </w:rPr>
        <w:t xml:space="preserve">Note. </w:t>
      </w:r>
      <w:r>
        <w:rPr>
          <w:rFonts w:ascii="Calibri" w:cs="Calibri" w:eastAsia="Calibri" w:hAnsi="Calibri"/>
          <w:sz w:val="18"/>
          <w:szCs w:val="18"/>
        </w:rPr>
        <w:t xml:space="preserve">Tier 3 disabled removes whole-word structural tokens; Tiers 2 and 3 disabled leaves byte-level Huffman coding only; the Decision Engine build substitutes an unconditional frequency threshold for the bit-cost admission rule. For the fourteen-file corpus all 56 file and configuration pairs were decompressed and SHA-256 verified before being counted; the GovDocs1 extension produced 2,408 such pairs.</w:t>
      </w:r>
    </w:p>
    <w:p>
      <w:pPr>
        <w:spacing w:after="170" w:line="300"/>
      </w:pPr>
      <w:r>
        <w:rPr>
          <w:rFonts w:ascii="Cambria" w:cs="Cambria" w:eastAsia="Cambria" w:hAnsi="Cambria"/>
          <w:b w:val="false"/>
          <w:bCs w:val="false"/>
          <w:i w:val="false"/>
          <w:iCs w:val="false"/>
          <w:color w:val="000000"/>
          <w:sz w:val="21"/>
          <w:szCs w:val="21"/>
        </w:rPr>
        <w:t xml:space="preserve">Table 5 states what each component earns, measured against the build that isolates it.</w:t>
      </w:r>
    </w:p>
    <w:p>
      <w:pPr>
        <w:spacing w:after="40" w:before="280"/>
      </w:pPr>
      <w:r>
        <w:rPr>
          <w:rFonts w:ascii="Calibri" w:cs="Calibri" w:eastAsia="Calibri" w:hAnsi="Calibri"/>
          <w:b/>
          <w:bCs/>
          <w:sz w:val="20"/>
          <w:szCs w:val="20"/>
        </w:rPr>
        <w:t xml:space="preserve">Table 5</w:t>
      </w:r>
    </w:p>
    <w:p>
      <w:pPr>
        <w:spacing w:after="120"/>
      </w:pPr>
      <w:r>
        <w:rPr>
          <w:rFonts w:ascii="Calibri" w:cs="Calibri" w:eastAsia="Calibri" w:hAnsi="Calibri"/>
          <w:i/>
          <w:iCs/>
          <w:sz w:val="20"/>
          <w:szCs w:val="20"/>
        </w:rPr>
        <w:t xml:space="preserve">Contribution of Each Component on Both Ablation Corpora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2800"/>
      </w:tblGrid>
      <w:tr>
        <w:trPr>
          <w:tblHeader/>
        </w:trPr>
        <w:tc>
          <w:tcPr>
            <w:tcW w:type="dxa" w:w="3000"/>
            <w:shd w:fill="E3EEF2" w:val="clear"/>
            <w:tcMar>
              <w:top w:type="dxa" w:w="80"/>
              <w:left w:type="dxa" w:w="110"/>
              <w:bottom w:type="dxa" w:w="80"/>
              <w:right w:type="dxa" w:w="110"/>
            </w:tcMar>
          </w:tcPr>
          <w:p>
            <w:pPr>
              <w:jc w:val="left"/>
            </w:pPr>
            <w:r>
              <w:rPr>
                <w:rFonts w:ascii="Calibri" w:cs="Calibri" w:eastAsia="Calibri" w:hAnsi="Calibri"/>
                <w:b/>
                <w:bCs/>
                <w:sz w:val="17"/>
                <w:szCs w:val="17"/>
              </w:rPr>
              <w:t xml:space="preserve">Component</w:t>
            </w:r>
          </w:p>
        </w:tc>
        <w:tc>
          <w:tcPr>
            <w:tcW w:type="dxa" w:w="2900"/>
            <w:shd w:fill="E3EEF2" w:val="clear"/>
            <w:tcMar>
              <w:top w:type="dxa" w:w="80"/>
              <w:left w:type="dxa" w:w="110"/>
              <w:bottom w:type="dxa" w:w="80"/>
              <w:right w:type="dxa" w:w="110"/>
            </w:tcMar>
          </w:tcPr>
          <w:p>
            <w:pPr>
              <w:jc w:val="right"/>
            </w:pPr>
            <w:r>
              <w:rPr>
                <w:rFonts w:ascii="Calibri" w:cs="Calibri" w:eastAsia="Calibri" w:hAnsi="Calibri"/>
                <w:b/>
                <w:bCs/>
                <w:sz w:val="17"/>
                <w:szCs w:val="17"/>
              </w:rPr>
              <w:t xml:space="preserve">Repository corpus (14 files)</w:t>
            </w:r>
          </w:p>
        </w:tc>
        <w:tc>
          <w:tcPr>
            <w:tcW w:type="dxa" w:w="2800"/>
            <w:shd w:fill="E3EEF2" w:val="clear"/>
            <w:tcMar>
              <w:top w:type="dxa" w:w="80"/>
              <w:left w:type="dxa" w:w="110"/>
              <w:bottom w:type="dxa" w:w="80"/>
              <w:right w:type="dxa" w:w="110"/>
            </w:tcMar>
          </w:tcPr>
          <w:p>
            <w:pPr>
              <w:jc w:val="right"/>
            </w:pPr>
            <w:r>
              <w:rPr>
                <w:rFonts w:ascii="Calibri" w:cs="Calibri" w:eastAsia="Calibri" w:hAnsi="Calibri"/>
                <w:b/>
                <w:bCs/>
                <w:sz w:val="17"/>
                <w:szCs w:val="17"/>
              </w:rPr>
              <w:t xml:space="preserve">GovDocs1 subset (602 files)</w:t>
            </w:r>
          </w:p>
        </w:tc>
      </w:tr>
      <w:tr>
        <w:trPr>
          <w:tblHeader w:val="false"/>
        </w:trPr>
        <w:tc>
          <w:tcPr>
            <w:tcW w:type="dxa" w:w="3000"/>
            <w:tcMar>
              <w:top w:type="dxa" w:w="80"/>
              <w:left w:type="dxa" w:w="110"/>
              <w:bottom w:type="dxa" w:w="80"/>
              <w:right w:type="dxa" w:w="110"/>
            </w:tcMar>
          </w:tcPr>
          <w:p>
            <w:pPr>
              <w:jc w:val="left"/>
            </w:pPr>
            <w:r>
              <w:rPr>
                <w:rFonts w:ascii="Calibri" w:cs="Calibri" w:eastAsia="Calibri" w:hAnsi="Calibri"/>
                <w:b w:val="false"/>
                <w:bCs w:val="false"/>
                <w:sz w:val="17"/>
                <w:szCs w:val="17"/>
              </w:rPr>
              <w:t xml:space="preserve">Tier 3</w:t>
            </w:r>
          </w:p>
        </w:tc>
        <w:tc>
          <w:tcPr>
            <w:tcW w:type="dxa" w:w="29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2,909 B · 0.73%</w:t>
            </w:r>
          </w:p>
        </w:tc>
        <w:tc>
          <w:tcPr>
            <w:tcW w:type="dxa" w:w="28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105,493 B · 0.80%</w:t>
            </w:r>
          </w:p>
        </w:tc>
      </w:tr>
      <w:tr>
        <w:trPr>
          <w:tblHeader w:val="false"/>
        </w:trPr>
        <w:tc>
          <w:tcPr>
            <w:tcW w:type="dxa" w:w="3000"/>
            <w:tcMar>
              <w:top w:type="dxa" w:w="80"/>
              <w:left w:type="dxa" w:w="110"/>
              <w:bottom w:type="dxa" w:w="80"/>
              <w:right w:type="dxa" w:w="110"/>
            </w:tcMar>
          </w:tcPr>
          <w:p>
            <w:pPr>
              <w:jc w:val="left"/>
            </w:pPr>
            <w:r>
              <w:rPr>
                <w:rFonts w:ascii="Calibri" w:cs="Calibri" w:eastAsia="Calibri" w:hAnsi="Calibri"/>
                <w:b w:val="false"/>
                <w:bCs w:val="false"/>
                <w:sz w:val="17"/>
                <w:szCs w:val="17"/>
              </w:rPr>
              <w:t xml:space="preserve">Tier 2</w:t>
            </w:r>
          </w:p>
        </w:tc>
        <w:tc>
          <w:tcPr>
            <w:tcW w:type="dxa" w:w="29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65,650 B · 14.14%</w:t>
            </w:r>
          </w:p>
        </w:tc>
        <w:tc>
          <w:tcPr>
            <w:tcW w:type="dxa" w:w="28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873,264 B · 6.20%</w:t>
            </w:r>
          </w:p>
        </w:tc>
      </w:tr>
      <w:tr>
        <w:trPr>
          <w:tblHeader w:val="false"/>
        </w:trPr>
        <w:tc>
          <w:tcPr>
            <w:tcW w:type="dxa" w:w="3000"/>
            <w:tcMar>
              <w:top w:type="dxa" w:w="80"/>
              <w:left w:type="dxa" w:w="110"/>
              <w:bottom w:type="dxa" w:w="80"/>
              <w:right w:type="dxa" w:w="110"/>
            </w:tcMar>
          </w:tcPr>
          <w:p>
            <w:pPr>
              <w:jc w:val="left"/>
            </w:pPr>
            <w:r>
              <w:rPr>
                <w:rFonts w:ascii="Calibri" w:cs="Calibri" w:eastAsia="Calibri" w:hAnsi="Calibri"/>
                <w:b w:val="false"/>
                <w:bCs w:val="false"/>
                <w:sz w:val="17"/>
                <w:szCs w:val="17"/>
              </w:rPr>
              <w:t xml:space="preserve">Tiers 2 and 3 together</w:t>
            </w:r>
          </w:p>
        </w:tc>
        <w:tc>
          <w:tcPr>
            <w:tcW w:type="dxa" w:w="29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68,559 B · 14.76%</w:t>
            </w:r>
          </w:p>
        </w:tc>
        <w:tc>
          <w:tcPr>
            <w:tcW w:type="dxa" w:w="28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978,757 B · 6.95%</w:t>
            </w:r>
          </w:p>
        </w:tc>
      </w:tr>
      <w:tr>
        <w:trPr>
          <w:tblHeader w:val="false"/>
        </w:trPr>
        <w:tc>
          <w:tcPr>
            <w:tcW w:type="dxa" w:w="3000"/>
            <w:tcMar>
              <w:top w:type="dxa" w:w="80"/>
              <w:left w:type="dxa" w:w="110"/>
              <w:bottom w:type="dxa" w:w="80"/>
              <w:right w:type="dxa" w:w="110"/>
            </w:tcMar>
          </w:tcPr>
          <w:p>
            <w:pPr>
              <w:jc w:val="left"/>
            </w:pPr>
            <w:r>
              <w:rPr>
                <w:rFonts w:ascii="Calibri" w:cs="Calibri" w:eastAsia="Calibri" w:hAnsi="Calibri"/>
                <w:b w:val="false"/>
                <w:bCs w:val="false"/>
                <w:sz w:val="17"/>
                <w:szCs w:val="17"/>
              </w:rPr>
              <w:t xml:space="preserve">Bit Cost Decision Engine</w:t>
            </w:r>
          </w:p>
        </w:tc>
        <w:tc>
          <w:tcPr>
            <w:tcW w:type="dxa" w:w="29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53,539 B · 11.91%</w:t>
            </w:r>
          </w:p>
        </w:tc>
        <w:tc>
          <w:tcPr>
            <w:tcW w:type="dxa" w:w="2800"/>
            <w:tcMar>
              <w:top w:type="dxa" w:w="80"/>
              <w:left w:type="dxa" w:w="110"/>
              <w:bottom w:type="dxa" w:w="80"/>
              <w:right w:type="dxa" w:w="110"/>
            </w:tcMar>
          </w:tcPr>
          <w:p>
            <w:pPr>
              <w:jc w:val="right"/>
            </w:pPr>
            <w:r>
              <w:rPr>
                <w:rFonts w:ascii="Calibri" w:cs="Calibri" w:eastAsia="Calibri" w:hAnsi="Calibri"/>
                <w:b w:val="false"/>
                <w:bCs w:val="false"/>
                <w:sz w:val="17"/>
                <w:szCs w:val="17"/>
              </w:rPr>
              <w:t xml:space="preserve">2,298,279 B · 14.92%</w:t>
            </w:r>
          </w:p>
        </w:tc>
      </w:tr>
    </w:tbl>
    <w:p>
      <w:pPr>
        <w:spacing w:after="220" w:before="100"/>
      </w:pPr>
      <w:r>
        <w:rPr>
          <w:rFonts w:ascii="Calibri" w:cs="Calibri" w:eastAsia="Calibri" w:hAnsi="Calibri"/>
          <w:i/>
          <w:iCs/>
          <w:sz w:val="18"/>
          <w:szCs w:val="18"/>
        </w:rPr>
        <w:t xml:space="preserve">Note. </w:t>
      </w:r>
      <w:r>
        <w:rPr>
          <w:rFonts w:ascii="Calibri" w:cs="Calibri" w:eastAsia="Calibri" w:hAnsi="Calibri"/>
          <w:sz w:val="18"/>
          <w:szCs w:val="18"/>
        </w:rPr>
        <w:t xml:space="preserve">Each percentage is stated relative to the build the component is measured against: Tier 3 against the Tier-3-disabled build, Tier 2 and the two tiers together against the Tiers-2-and-3-disabled build, and the Decision Engine against the frequency-threshold build. Because the rows answer different counterfactuals, the figures are not summable.</w:t>
      </w:r>
    </w:p>
    <w:p>
      <w:pPr>
        <w:spacing w:after="170" w:line="300"/>
      </w:pPr>
      <w:r>
        <w:rPr>
          <w:rFonts w:ascii="Cambria" w:cs="Cambria" w:eastAsia="Cambria" w:hAnsi="Cambria"/>
          <w:b w:val="false"/>
          <w:bCs w:val="false"/>
          <w:i w:val="false"/>
          <w:iCs w:val="false"/>
          <w:color w:val="000000"/>
          <w:sz w:val="21"/>
          <w:szCs w:val="21"/>
        </w:rPr>
        <w:t xml:space="preserve">Each component makes a measurable positive contribution on both corpora, and no aggregate component figure was negative in either. The two corpora order the components differently, which is itself a finding. On the fourteen-file repository corpus Tier 2 is the largest contributor at 14.14 percent, ahead of the Decision Engine at 11.91 percent; on the 602-file GovDocs1 subset the ordering reverses, with the Decision Engine contributing 14.92 percent against Tier 2's 6.20 percent. The bit-cost admission rule therefore earns more on heterogeneous real-world documents than on the curated repository corpus, which is consistent with its function: the more varied the input, the more often a candidate pattern must be rejected as unprofitable, and the more a cost-based decision earns over an unconditional frequency threshold.</w:t>
      </w:r>
    </w:p>
    <w:p>
      <w:pPr>
        <w:spacing w:after="170" w:line="300"/>
      </w:pPr>
      <w:r>
        <w:rPr>
          <w:rFonts w:ascii="Cambria" w:cs="Cambria" w:eastAsia="Cambria" w:hAnsi="Cambria"/>
          <w:b w:val="false"/>
          <w:bCs w:val="false"/>
          <w:i w:val="false"/>
          <w:iCs w:val="false"/>
          <w:color w:val="000000"/>
          <w:sz w:val="21"/>
          <w:szCs w:val="21"/>
        </w:rPr>
        <w:t xml:space="preserve">Tier 3 contributes least on both corpora, 0.73 and 0.80 percent respectively, and that aggregate conceals a division more informative than the total. On the fourteen-file corpus the lexical tier reduced output on nine files by 4,496 bytes in total, concentrated in structured serialization and literary prose — 9.94 percent on a JSON document, 4.13 percent on SQL, 2.03 percent on alice29.txt, and 1.59 percent on English prose — while increasing output on two files by 1,587 bytes in total, those being fixed-width binary records and a LISP source file. The tier is therefore conditional rather than uniform. It pays where repetition occurs at the level of vocabulary and is mildly counter-productive where regularity is positional or where the recurring units are already short.</w:t>
      </w:r>
    </w:p>
    <w:p>
      <w:pPr>
        <w:pStyle w:val="Heading3"/>
        <w:spacing w:after="120" w:before="280"/>
      </w:pPr>
      <w:r>
        <w:rPr>
          <w:rFonts w:ascii="Cambria" w:cs="Cambria" w:eastAsia="Cambria" w:hAnsi="Cambria"/>
          <w:b/>
          <w:bCs/>
          <w:sz w:val="22"/>
          <w:szCs w:val="22"/>
        </w:rPr>
        <w:t xml:space="preserve">Lossless Reconstruction</w:t>
      </w:r>
    </w:p>
    <w:p>
      <w:pPr>
        <w:spacing w:after="170" w:line="300"/>
      </w:pPr>
      <w:r>
        <w:rPr>
          <w:rFonts w:ascii="Cambria" w:cs="Cambria" w:eastAsia="Cambria" w:hAnsi="Cambria"/>
          <w:b w:val="false"/>
          <w:bCs w:val="false"/>
          <w:i w:val="false"/>
          <w:iCs w:val="false"/>
          <w:color w:val="000000"/>
          <w:sz w:val="21"/>
          <w:szCs w:val="21"/>
        </w:rPr>
        <w:t xml:space="preserve">Losslessness was verified rather than assumed. Every file and configuration reported in this section was decompressed and checked by exact byte comparison and by SHA-256 digest comparison against the original input. Across the Silesia Corpus this covered 36 file and preset configurations, across GovDocs1 thread 000 it covered 2,940, and across the two ablation corpora it covered 56 and 2,408 file and configuration pairs respectively. No configuration failed verification. The sixty GovDocs1 files that did not reduce were stored verbatim through the raw-storage fallback and reconstructed exactly, confirming that the size guard prevents expansion on incompressible input rather than producing a container larger than its source.</w:t>
      </w:r>
    </w:p>
    <w:p>
      <w:pPr>
        <w:pStyle w:val="Heading1"/>
        <w:pageBreakBefore/>
        <w:pBdr>
          <w:bottom w:val="single" w:color="1F6F8B" w:sz="8" w:space="6"/>
        </w:pBdr>
        <w:spacing w:after="200" w:before="200"/>
      </w:pPr>
      <w:r>
        <w:rPr>
          <w:rFonts w:ascii="Cambria" w:cs="Cambria" w:eastAsia="Cambria" w:hAnsi="Cambria"/>
          <w:b/>
          <w:bCs/>
          <w:color w:val="1F6F8B"/>
          <w:sz w:val="30"/>
          <w:szCs w:val="30"/>
        </w:rPr>
        <w:t xml:space="preserve">Before You Submit This</w:t>
      </w:r>
    </w:p>
    <w:p>
      <w:pPr>
        <w:spacing w:after="220" w:line="300"/>
      </w:pPr>
      <w:r>
        <w:rPr>
          <w:rFonts w:ascii="Cambria" w:cs="Cambria" w:eastAsia="Cambria" w:hAnsi="Cambria"/>
          <w:b w:val="false"/>
          <w:bCs w:val="false"/>
          <w:i w:val="false"/>
          <w:iCs w:val="false"/>
          <w:color w:val="000000"/>
          <w:sz w:val="21"/>
          <w:szCs w:val="21"/>
        </w:rPr>
        <w:t xml:space="preserve">Four things to check or decide.</w:t>
      </w:r>
    </w:p>
    <w:p>
      <w:pPr>
        <w:pStyle w:val="Heading2"/>
        <w:spacing w:after="150" w:before="340"/>
      </w:pPr>
      <w:r>
        <w:rPr>
          <w:rFonts w:ascii="Cambria" w:cs="Cambria" w:eastAsia="Cambria" w:hAnsi="Cambria"/>
          <w:b/>
          <w:bCs/>
          <w:sz w:val="26"/>
          <w:szCs w:val="26"/>
        </w:rPr>
        <w:t xml:space="preserve">1.  Renumber the measurement tables</w:t>
      </w:r>
    </w:p>
    <w:p>
      <w:pPr>
        <w:spacing w:after="170" w:line="300"/>
      </w:pPr>
      <w:r>
        <w:rPr>
          <w:rFonts w:ascii="Cambria" w:cs="Cambria" w:eastAsia="Cambria" w:hAnsi="Cambria"/>
          <w:b w:val="false"/>
          <w:bCs w:val="false"/>
          <w:i w:val="false"/>
          <w:iCs w:val="false"/>
          <w:color w:val="000000"/>
          <w:sz w:val="21"/>
          <w:szCs w:val="21"/>
        </w:rPr>
        <w:t xml:space="preserve">This subsection takes Tables 1 through 5. Your Automated Source-Code Measurement subsection currently uses Tables 1 through 4 and must become 6 through 9. Update both the table captions and the sentences that refer to them: “Table 1 summarizes the measurement scope and toolchain” becomes Table 6, and so on.</w:t>
      </w:r>
    </w:p>
    <w:p>
      <w:pPr>
        <w:pStyle w:val="Heading2"/>
        <w:spacing w:after="150" w:before="340"/>
      </w:pPr>
      <w:r>
        <w:rPr>
          <w:rFonts w:ascii="Cambria" w:cs="Cambria" w:eastAsia="Cambria" w:hAnsi="Cambria"/>
          <w:b/>
          <w:bCs/>
          <w:sz w:val="26"/>
          <w:szCs w:val="26"/>
        </w:rPr>
        <w:t xml:space="preserve">2.  Verify one figure I could not confirm</w:t>
      </w:r>
    </w:p>
    <w:p>
      <w:pPr>
        <w:spacing w:after="170" w:line="300"/>
      </w:pPr>
      <w:r>
        <w:rPr>
          <w:rFonts w:ascii="Cambria" w:cs="Cambria" w:eastAsia="Cambria" w:hAnsi="Cambria"/>
          <w:b w:val="false"/>
          <w:bCs w:val="false"/>
          <w:i w:val="false"/>
          <w:iCs w:val="false"/>
          <w:color w:val="000000"/>
          <w:sz w:val="21"/>
          <w:szCs w:val="21"/>
        </w:rPr>
        <w:t xml:space="preserve">Your appendix contains a sentence stating that the system “produces a smaller container than GZIP -9 on 60 of the 980 files.” It also states separately that sixty files did not reduce at all and were stored verbatim. Two different facts share the same count, which may be coincidence or may be a transcription error. I have included only the second, which Table F2 states explicitly. Check the first against your data before adding it.</w:t>
      </w:r>
    </w:p>
    <w:p>
      <w:pPr>
        <w:pStyle w:val="Heading2"/>
        <w:spacing w:after="150" w:before="340"/>
      </w:pPr>
      <w:r>
        <w:rPr>
          <w:rFonts w:ascii="Cambria" w:cs="Cambria" w:eastAsia="Cambria" w:hAnsi="Cambria"/>
          <w:b/>
          <w:bCs/>
          <w:sz w:val="26"/>
          <w:szCs w:val="26"/>
        </w:rPr>
        <w:t xml:space="preserve">3.  Decide how much of Appendix F to repeat</w:t>
      </w:r>
    </w:p>
    <w:p>
      <w:pPr>
        <w:spacing w:after="170" w:line="300"/>
      </w:pPr>
      <w:r>
        <w:rPr>
          <w:rFonts w:ascii="Cambria" w:cs="Cambria" w:eastAsia="Cambria" w:hAnsi="Cambria"/>
          <w:b w:val="false"/>
          <w:bCs w:val="false"/>
          <w:i w:val="false"/>
          <w:iCs w:val="false"/>
          <w:color w:val="000000"/>
          <w:sz w:val="21"/>
          <w:szCs w:val="21"/>
        </w:rPr>
        <w:t xml:space="preserve">Table 3 above shows eight of the sixteen formats — the extremes at each end plus the total — and refers the reader to Appendix F for the rest. If your adviser prefers the complete breakdown in the body, paste all sixteen rows from Table F3. If the department prefers lean results chapters, this abbreviated form is defensible and the appendix carries the full detail.</w:t>
      </w:r>
    </w:p>
    <w:p>
      <w:pPr>
        <w:pStyle w:val="Heading2"/>
        <w:spacing w:after="150" w:before="340"/>
      </w:pPr>
      <w:r>
        <w:rPr>
          <w:rFonts w:ascii="Cambria" w:cs="Cambria" w:eastAsia="Cambria" w:hAnsi="Cambria"/>
          <w:b/>
          <w:bCs/>
          <w:sz w:val="26"/>
          <w:szCs w:val="26"/>
        </w:rPr>
        <w:t xml:space="preserve">4.  Keep the reference-compressor paragraph</w:t>
      </w:r>
    </w:p>
    <w:p>
      <w:pPr>
        <w:spacing w:after="170" w:line="300"/>
      </w:pPr>
      <w:r>
        <w:rPr>
          <w:rFonts w:ascii="Cambria" w:cs="Cambria" w:eastAsia="Cambria" w:hAnsi="Cambria"/>
          <w:b w:val="false"/>
          <w:bCs w:val="false"/>
          <w:i w:val="false"/>
          <w:iCs w:val="false"/>
          <w:color w:val="000000"/>
          <w:sz w:val="21"/>
          <w:szCs w:val="21"/>
        </w:rPr>
        <w:t xml:space="preserve">The paragraph reporting that GZIP, BZIP2, and LZMA all outperform the Adaptive System on this corpus is the one most likely to feel uncomfortable and the one you should least want to remove. Your Ethical Consideration section commits the study to reporting results in full, including unfavorable comparisons, and a panel that finds the 18.29 percent figure without the surrounding context will ask what was omitted. Stating the gap and explaining why it exists — no LZ77 back-references, a different scope of claim — converts a weakness into a demonstration of scope discipline.</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Compression Performance — Chapter 4 draft</dc:title>
  <dc:creator>ByteSize research team</dc:creator>
  <cp:lastModifiedBy>Un-named</cp:lastModifiedBy>
  <cp:revision>1</cp:revision>
  <dcterms:created xsi:type="dcterms:W3CDTF">2026-08-26T11:31:30.394Z</dcterms:created>
  <dcterms:modified xsi:type="dcterms:W3CDTF">2026-08-26T11:31:30.408Z</dcterms:modified>
</cp:coreProperties>
</file>

<file path=docProps/custom.xml><?xml version="1.0" encoding="utf-8"?>
<Properties xmlns="http://schemas.openxmlformats.org/officeDocument/2006/custom-properties" xmlns:vt="http://schemas.openxmlformats.org/officeDocument/2006/docPropsVTypes"/>
</file>