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54 —</w:t>
      </w:r>
    </w:p>
    <w:p>
      <w:r>
        <w:rPr>
          <w:rFonts w:ascii="宋体" w:hAnsi="宋体" w:eastAsia="宋体"/>
        </w:rPr>
        <w:t>式样二十二</w:t>
      </w:r>
    </w:p>
    <w:p>
      <w:r>
        <w:rPr>
          <w:rFonts w:ascii="宋体" w:hAnsi="宋体" w:eastAsia="宋体"/>
        </w:rPr>
        <w:t>（此处印制公安机关名称）</w:t>
      </w:r>
    </w:p>
    <w:p>
      <w:r>
        <w:rPr>
          <w:rFonts w:ascii="宋体" w:hAnsi="宋体" w:eastAsia="宋体"/>
        </w:rPr>
        <w:t>收缴/追缴物品清单</w:t>
      </w:r>
    </w:p>
    <w:p>
      <w:r>
        <w:rPr>
          <w:rFonts w:ascii="宋体" w:hAnsi="宋体" w:eastAsia="宋体"/>
        </w:rPr>
        <w:t>X 公（ ）缴字〔 〕 号</w:t>
      </w:r>
    </w:p>
    <w:p>
      <w:r>
        <w:rPr>
          <w:rFonts w:ascii="宋体" w:hAnsi="宋体" w:eastAsia="宋体"/>
        </w:rPr>
        <w:t>根据</w:t>
      </w:r>
    </w:p>
    <w:p>
      <w:r>
        <w:rPr>
          <w:rFonts w:ascii="宋体" w:hAnsi="宋体" w:eastAsia="宋体"/>
        </w:rPr>
        <w:t>□《中华人民共和国治安管理处罚法》第十一条第一款</w:t>
      </w:r>
    </w:p>
    <w:p>
      <w:r>
        <w:rPr>
          <w:rFonts w:ascii="宋体" w:hAnsi="宋体" w:eastAsia="宋体"/>
        </w:rPr>
        <w:t>□《中华人民共和国治安管理处罚法》第十一条第二款</w:t>
      </w:r>
    </w:p>
    <w:p>
      <w:r>
        <w:rPr>
          <w:rFonts w:ascii="宋体" w:hAnsi="宋体" w:eastAsia="宋体"/>
        </w:rPr>
        <w:t>□《公安机关办理行政案件程序规定》第一百六十八条第一款</w:t>
      </w:r>
    </w:p>
    <w:p>
      <w:r>
        <w:rPr>
          <w:rFonts w:ascii="宋体" w:hAnsi="宋体" w:eastAsia="宋体"/>
        </w:rPr>
        <w:t>□《公安机关办理行政案件程序规定》第一百六十八条第三款</w:t>
      </w:r>
    </w:p>
    <w:p>
      <w:r>
        <w:rPr>
          <w:rFonts w:ascii="宋体" w:hAnsi="宋体" w:eastAsia="宋体"/>
        </w:rPr>
        <w:t>之规定，对物品持有人</w:t>
      </w:r>
    </w:p>
    <w:p>
      <w:r>
        <w:rPr>
          <w:rFonts w:ascii="宋体" w:hAnsi="宋体" w:eastAsia="宋体"/>
        </w:rPr>
        <w:t>的下列物品予以收缴/追缴。</w:t>
      </w:r>
    </w:p>
    <w:p>
      <w:r>
        <w:rPr>
          <w:rFonts w:ascii="宋体" w:hAnsi="宋体" w:eastAsia="宋体"/>
        </w:rPr>
        <w:t>如不服本决定，可以在收到本清单之日起六十日内向</w:t>
      </w:r>
    </w:p>
    <w:p>
      <w:r>
        <w:rPr>
          <w:rFonts w:ascii="宋体" w:hAnsi="宋体" w:eastAsia="宋体"/>
        </w:rPr>
        <w:t>申请行政复议或者在三个月内</w:t>
      </w:r>
    </w:p>
    <w:p>
      <w:r>
        <w:rPr>
          <w:rFonts w:ascii="宋体" w:hAnsi="宋体" w:eastAsia="宋体"/>
        </w:rPr>
        <w:t>依法向 人民法院提起行政诉讼。</w:t>
      </w:r>
    </w:p>
    <w:p>
      <w:r>
        <w:rPr>
          <w:rFonts w:ascii="宋体" w:hAnsi="宋体" w:eastAsia="宋体"/>
        </w:rPr>
        <w:t>编号 名称 数量 特征 物品处理情况</w:t>
      </w:r>
    </w:p>
    <w:p>
      <w:r>
        <w:rPr>
          <w:rFonts w:ascii="宋体" w:hAnsi="宋体" w:eastAsia="宋体"/>
        </w:rPr>
        <w:t>（发还的，由接收人签名）</w:t>
      </w:r>
    </w:p>
    <w:p>
      <w:r>
        <w:rPr>
          <w:rFonts w:ascii="宋体" w:hAnsi="宋体" w:eastAsia="宋体"/>
        </w:rPr>
        <w:t>物品持有人、见证人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保管人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办案民警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一式三份，一份交物品持有人，一份交保管人，一份附卷。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