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扣 押 决 定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）扣字〔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我局在侦查                            一案中，根据《中华人民共和国刑事诉讼法》</w:t>
      </w:r>
    </w:p>
    <w:p>
      <w:r>
        <w:rPr>
          <w:rFonts w:ascii="宋体" w:hAnsi="宋体" w:eastAsia="宋体"/>
          <w:b w:val="0"/>
          <w:sz w:val="22"/>
        </w:rPr>
        <w:t>第一百四十一条之规定，决定扣押下列物品、文件：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特征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